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E5" w:rsidRPr="00745DE5" w:rsidRDefault="00745DE5" w:rsidP="00745DE5">
      <w:pPr>
        <w:spacing w:before="100" w:beforeAutospacing="1" w:after="100" w:afterAutospacing="1" w:line="240" w:lineRule="auto"/>
        <w:rPr>
          <w:rFonts w:ascii="Times New Roman" w:eastAsia="Times New Roman" w:hAnsi="Times New Roman"/>
          <w:sz w:val="24"/>
          <w:szCs w:val="24"/>
          <w:lang w:eastAsia="en-GB"/>
        </w:rPr>
      </w:pPr>
      <w:bookmarkStart w:id="0" w:name="_GoBack"/>
      <w:bookmarkEnd w:id="0"/>
      <w:r w:rsidRPr="00745DE5">
        <w:rPr>
          <w:rFonts w:ascii="Times New Roman" w:eastAsia="Times New Roman" w:hAnsi="Times New Roman"/>
          <w:sz w:val="24"/>
          <w:szCs w:val="24"/>
          <w:lang w:eastAsia="en-GB"/>
        </w:rPr>
        <w:t>﻿   </w:t>
      </w:r>
    </w:p>
    <w:p w:rsidR="00745DE5" w:rsidRPr="00745DE5" w:rsidRDefault="00745DE5" w:rsidP="00745DE5">
      <w:pPr>
        <w:spacing w:after="180" w:line="240" w:lineRule="auto"/>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w:t>
      </w:r>
    </w:p>
    <w:p w:rsidR="00745DE5" w:rsidRPr="00745DE5" w:rsidRDefault="00745DE5" w:rsidP="00745DE5">
      <w:pPr>
        <w:spacing w:after="0" w:line="240" w:lineRule="auto"/>
        <w:jc w:val="center"/>
        <w:rPr>
          <w:rFonts w:ascii="Arial" w:eastAsia="Times New Roman" w:hAnsi="Arial" w:cs="Arial"/>
          <w:b/>
          <w:bCs/>
          <w:sz w:val="48"/>
          <w:szCs w:val="48"/>
          <w:lang w:eastAsia="en-GB"/>
        </w:rPr>
      </w:pPr>
      <w:r w:rsidRPr="00745DE5">
        <w:rPr>
          <w:rFonts w:ascii="Arial" w:eastAsia="Times New Roman" w:hAnsi="Arial" w:cs="Arial"/>
          <w:b/>
          <w:bCs/>
          <w:sz w:val="48"/>
          <w:szCs w:val="48"/>
          <w:lang w:eastAsia="en-GB"/>
        </w:rPr>
        <w:t>Barclays PLC</w:t>
      </w:r>
    </w:p>
    <w:p w:rsidR="00745DE5" w:rsidRPr="00745DE5" w:rsidRDefault="00745DE5" w:rsidP="00745DE5">
      <w:pPr>
        <w:spacing w:after="0" w:line="240" w:lineRule="auto"/>
        <w:jc w:val="center"/>
        <w:rPr>
          <w:rFonts w:ascii="Arial" w:eastAsia="Times New Roman" w:hAnsi="Arial" w:cs="Arial"/>
          <w:b/>
          <w:bCs/>
          <w:sz w:val="48"/>
          <w:szCs w:val="48"/>
          <w:lang w:eastAsia="en-GB"/>
        </w:rPr>
      </w:pPr>
      <w:r w:rsidRPr="00745DE5">
        <w:rPr>
          <w:rFonts w:ascii="Arial" w:eastAsia="Times New Roman" w:hAnsi="Arial" w:cs="Arial"/>
          <w:b/>
          <w:bCs/>
          <w:sz w:val="48"/>
          <w:szCs w:val="48"/>
          <w:lang w:eastAsia="en-GB"/>
        </w:rPr>
        <w:t>Interim Management Statement</w:t>
      </w:r>
    </w:p>
    <w:p w:rsidR="00745DE5" w:rsidRPr="00745DE5" w:rsidRDefault="00745DE5" w:rsidP="00745DE5">
      <w:pPr>
        <w:spacing w:after="0" w:line="240" w:lineRule="auto"/>
        <w:jc w:val="center"/>
        <w:rPr>
          <w:rFonts w:ascii="Arial" w:eastAsia="Times New Roman" w:hAnsi="Arial" w:cs="Arial"/>
          <w:sz w:val="24"/>
          <w:szCs w:val="24"/>
          <w:lang w:eastAsia="en-GB"/>
        </w:rPr>
      </w:pPr>
      <w:r w:rsidRPr="00745DE5">
        <w:rPr>
          <w:rFonts w:ascii="Arial" w:eastAsia="Times New Roman" w:hAnsi="Arial" w:cs="Arial"/>
          <w:sz w:val="24"/>
          <w:szCs w:val="24"/>
          <w:lang w:eastAsia="en-GB"/>
        </w:rPr>
        <w:t> </w:t>
      </w:r>
    </w:p>
    <w:p w:rsidR="00745DE5" w:rsidRPr="00745DE5" w:rsidRDefault="00745DE5" w:rsidP="00745DE5">
      <w:pPr>
        <w:spacing w:line="240" w:lineRule="auto"/>
        <w:jc w:val="center"/>
        <w:rPr>
          <w:rFonts w:ascii="Arial" w:eastAsia="Times New Roman" w:hAnsi="Arial" w:cs="Arial"/>
          <w:sz w:val="24"/>
          <w:szCs w:val="24"/>
          <w:lang w:eastAsia="en-GB"/>
        </w:rPr>
      </w:pPr>
      <w:r w:rsidRPr="00745DE5">
        <w:rPr>
          <w:rFonts w:ascii="Arial" w:eastAsia="Times New Roman" w:hAnsi="Arial" w:cs="Arial"/>
          <w:sz w:val="24"/>
          <w:szCs w:val="24"/>
          <w:lang w:eastAsia="en-GB"/>
        </w:rPr>
        <w:t>30 September 2012</w:t>
      </w:r>
    </w:p>
    <w:p w:rsidR="00745DE5" w:rsidRDefault="00745DE5" w:rsidP="00745DE5">
      <w:pPr>
        <w:spacing w:before="100" w:beforeAutospacing="1" w:after="100" w:afterAutospacing="1" w:line="240" w:lineRule="auto"/>
        <w:rPr>
          <w:rFonts w:ascii="Arial" w:eastAsia="Times New Roman" w:hAnsi="Arial" w:cs="Arial"/>
          <w:sz w:val="2"/>
          <w:szCs w:val="2"/>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Table of Contents</w:t>
      </w:r>
    </w:p>
    <w:tbl>
      <w:tblPr>
        <w:tblW w:w="0" w:type="auto"/>
        <w:tblInd w:w="-108" w:type="dxa"/>
        <w:tblCellMar>
          <w:left w:w="0" w:type="dxa"/>
          <w:right w:w="0" w:type="dxa"/>
        </w:tblCellMar>
        <w:tblLook w:val="04A0" w:firstRow="1" w:lastRow="0" w:firstColumn="1" w:lastColumn="0" w:noHBand="0" w:noVBand="1"/>
      </w:tblPr>
      <w:tblGrid>
        <w:gridCol w:w="7382"/>
        <w:gridCol w:w="1968"/>
      </w:tblGrid>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after="180" w:line="240" w:lineRule="auto"/>
              <w:rPr>
                <w:rFonts w:ascii="Arial" w:eastAsia="Times New Roman" w:hAnsi="Arial" w:cs="Arial"/>
                <w:b/>
                <w:bCs/>
                <w:color w:val="000000"/>
                <w:sz w:val="24"/>
                <w:szCs w:val="24"/>
                <w:lang w:eastAsia="en-GB"/>
              </w:rPr>
            </w:pPr>
            <w:r w:rsidRPr="00745DE5">
              <w:rPr>
                <w:rFonts w:ascii="Arial" w:eastAsia="Times New Roman" w:hAnsi="Arial" w:cs="Arial"/>
                <w:b/>
                <w:bCs/>
                <w:sz w:val="24"/>
                <w:szCs w:val="24"/>
                <w:lang w:eastAsia="en-GB"/>
              </w:rPr>
              <w:t>Interim Management Statement</w:t>
            </w:r>
          </w:p>
        </w:tc>
        <w:tc>
          <w:tcPr>
            <w:tcW w:w="1980" w:type="dxa"/>
            <w:tcMar>
              <w:top w:w="0" w:type="dxa"/>
              <w:left w:w="108" w:type="dxa"/>
              <w:bottom w:w="0" w:type="dxa"/>
              <w:right w:w="108" w:type="dxa"/>
            </w:tcMar>
            <w:vAlign w:val="center"/>
            <w:hideMark/>
          </w:tcPr>
          <w:p w:rsidR="00745DE5" w:rsidRPr="00745DE5" w:rsidRDefault="00745DE5" w:rsidP="00745DE5">
            <w:pPr>
              <w:spacing w:after="180" w:line="240" w:lineRule="auto"/>
              <w:jc w:val="right"/>
              <w:rPr>
                <w:rFonts w:ascii="Arial" w:eastAsia="Times New Roman" w:hAnsi="Arial" w:cs="Arial"/>
                <w:b/>
                <w:bCs/>
                <w:color w:val="000000"/>
                <w:sz w:val="24"/>
                <w:szCs w:val="24"/>
                <w:lang w:eastAsia="en-GB"/>
              </w:rPr>
            </w:pPr>
            <w:r w:rsidRPr="00745DE5">
              <w:rPr>
                <w:rFonts w:ascii="Arial" w:eastAsia="Times New Roman" w:hAnsi="Arial" w:cs="Arial"/>
                <w:b/>
                <w:bCs/>
                <w:sz w:val="24"/>
                <w:szCs w:val="24"/>
                <w:lang w:eastAsia="en-GB"/>
              </w:rPr>
              <w:t>Page</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rPr>
                <w:rFonts w:ascii="Arial" w:eastAsia="Times New Roman" w:hAnsi="Arial" w:cs="Arial"/>
                <w:sz w:val="18"/>
                <w:szCs w:val="18"/>
                <w:lang w:eastAsia="en-GB"/>
              </w:rPr>
            </w:pPr>
            <w:r w:rsidRPr="00745DE5">
              <w:rPr>
                <w:rFonts w:ascii="Arial" w:eastAsia="Times New Roman" w:hAnsi="Arial" w:cs="Arial"/>
                <w:sz w:val="18"/>
                <w:szCs w:val="18"/>
                <w:lang w:eastAsia="en-GB"/>
              </w:rPr>
              <w:t>Performance Highlights</w:t>
            </w:r>
          </w:p>
        </w:tc>
        <w:tc>
          <w:tcPr>
            <w:tcW w:w="1980" w:type="dxa"/>
            <w:tcMar>
              <w:top w:w="0" w:type="dxa"/>
              <w:left w:w="108" w:type="dxa"/>
              <w:bottom w:w="0" w:type="dxa"/>
              <w:right w:w="108" w:type="dxa"/>
            </w:tcMar>
            <w:hideMark/>
          </w:tcPr>
          <w:p w:rsidR="00745DE5" w:rsidRPr="00745DE5" w:rsidRDefault="00745DE5" w:rsidP="00745DE5">
            <w:pPr>
              <w:spacing w:before="96" w:after="96" w:line="240" w:lineRule="auto"/>
              <w:jc w:val="right"/>
              <w:rPr>
                <w:rFonts w:ascii="Arial" w:eastAsia="Times New Roman" w:hAnsi="Arial" w:cs="Arial"/>
                <w:sz w:val="18"/>
                <w:szCs w:val="18"/>
                <w:lang w:eastAsia="en-GB"/>
              </w:rPr>
            </w:pPr>
            <w:r w:rsidRPr="00745DE5">
              <w:rPr>
                <w:rFonts w:ascii="Arial" w:eastAsia="Times New Roman" w:hAnsi="Arial" w:cs="Arial"/>
                <w:sz w:val="18"/>
                <w:szCs w:val="18"/>
                <w:lang w:eastAsia="en-GB"/>
              </w:rPr>
              <w:t>4</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rPr>
                <w:rFonts w:ascii="Arial" w:eastAsia="Times New Roman" w:hAnsi="Arial" w:cs="Arial"/>
                <w:sz w:val="18"/>
                <w:szCs w:val="18"/>
                <w:lang w:eastAsia="en-GB"/>
              </w:rPr>
            </w:pPr>
            <w:r w:rsidRPr="00745DE5">
              <w:rPr>
                <w:rFonts w:ascii="Arial" w:eastAsia="Times New Roman" w:hAnsi="Arial" w:cs="Arial"/>
                <w:sz w:val="18"/>
                <w:szCs w:val="18"/>
                <w:lang w:eastAsia="en-GB"/>
              </w:rPr>
              <w:t>Barclays Results by Quarter</w:t>
            </w:r>
          </w:p>
        </w:tc>
        <w:tc>
          <w:tcPr>
            <w:tcW w:w="1980" w:type="dxa"/>
            <w:tcMar>
              <w:top w:w="0" w:type="dxa"/>
              <w:left w:w="108" w:type="dxa"/>
              <w:bottom w:w="0" w:type="dxa"/>
              <w:right w:w="108" w:type="dxa"/>
            </w:tcMar>
            <w:hideMark/>
          </w:tcPr>
          <w:p w:rsidR="00745DE5" w:rsidRPr="00745DE5" w:rsidRDefault="00745DE5" w:rsidP="00745DE5">
            <w:pPr>
              <w:spacing w:before="96" w:after="96" w:line="240" w:lineRule="auto"/>
              <w:jc w:val="right"/>
              <w:rPr>
                <w:rFonts w:ascii="Arial" w:eastAsia="Times New Roman" w:hAnsi="Arial" w:cs="Arial"/>
                <w:sz w:val="18"/>
                <w:szCs w:val="18"/>
                <w:lang w:eastAsia="en-GB"/>
              </w:rPr>
            </w:pPr>
            <w:r w:rsidRPr="00745DE5">
              <w:rPr>
                <w:rFonts w:ascii="Arial" w:eastAsia="Times New Roman" w:hAnsi="Arial" w:cs="Arial"/>
                <w:sz w:val="18"/>
                <w:szCs w:val="18"/>
                <w:lang w:eastAsia="en-GB"/>
              </w:rPr>
              <w:t>6</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ind w:left="284" w:hanging="284"/>
              <w:rPr>
                <w:rFonts w:ascii="Arial" w:eastAsia="Times New Roman" w:hAnsi="Arial" w:cs="Arial"/>
                <w:sz w:val="18"/>
                <w:szCs w:val="18"/>
                <w:lang w:eastAsia="en-GB"/>
              </w:rPr>
            </w:pPr>
            <w:r w:rsidRPr="00745DE5">
              <w:rPr>
                <w:rFonts w:ascii="Arial" w:eastAsia="Times New Roman" w:hAnsi="Arial" w:cs="Arial"/>
                <w:sz w:val="18"/>
                <w:szCs w:val="18"/>
                <w:lang w:eastAsia="en-GB"/>
              </w:rPr>
              <w:t>Group Performance Review</w:t>
            </w:r>
          </w:p>
        </w:tc>
        <w:tc>
          <w:tcPr>
            <w:tcW w:w="1980" w:type="dxa"/>
            <w:tcMar>
              <w:top w:w="0" w:type="dxa"/>
              <w:left w:w="108" w:type="dxa"/>
              <w:bottom w:w="0" w:type="dxa"/>
              <w:right w:w="108" w:type="dxa"/>
            </w:tcMar>
            <w:hideMark/>
          </w:tcPr>
          <w:p w:rsidR="00745DE5" w:rsidRPr="00745DE5" w:rsidRDefault="00745DE5" w:rsidP="00745DE5">
            <w:pPr>
              <w:spacing w:before="96" w:after="96" w:line="240" w:lineRule="auto"/>
              <w:jc w:val="right"/>
              <w:rPr>
                <w:rFonts w:ascii="Arial" w:eastAsia="Times New Roman" w:hAnsi="Arial" w:cs="Arial"/>
                <w:sz w:val="18"/>
                <w:szCs w:val="18"/>
                <w:lang w:eastAsia="en-GB"/>
              </w:rPr>
            </w:pPr>
            <w:r w:rsidRPr="00745DE5">
              <w:rPr>
                <w:rFonts w:ascii="Arial" w:eastAsia="Times New Roman" w:hAnsi="Arial" w:cs="Arial"/>
                <w:sz w:val="18"/>
                <w:szCs w:val="18"/>
                <w:lang w:eastAsia="en-GB"/>
              </w:rPr>
              <w:t>7</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ind w:left="284" w:hanging="284"/>
              <w:rPr>
                <w:rFonts w:ascii="Arial" w:eastAsia="Times New Roman" w:hAnsi="Arial" w:cs="Arial"/>
                <w:sz w:val="18"/>
                <w:szCs w:val="18"/>
                <w:lang w:eastAsia="en-GB"/>
              </w:rPr>
            </w:pPr>
            <w:r w:rsidRPr="00745DE5">
              <w:rPr>
                <w:rFonts w:ascii="Arial" w:eastAsia="Times New Roman" w:hAnsi="Arial" w:cs="Arial"/>
                <w:sz w:val="18"/>
                <w:szCs w:val="18"/>
                <w:lang w:eastAsia="en-GB"/>
              </w:rPr>
              <w:t>Results by Business</w:t>
            </w:r>
          </w:p>
        </w:tc>
        <w:tc>
          <w:tcPr>
            <w:tcW w:w="1980" w:type="dxa"/>
            <w:tcMar>
              <w:top w:w="0" w:type="dxa"/>
              <w:left w:w="108" w:type="dxa"/>
              <w:bottom w:w="0" w:type="dxa"/>
              <w:right w:w="108" w:type="dxa"/>
            </w:tcMar>
            <w:hideMark/>
          </w:tcPr>
          <w:p w:rsidR="00745DE5" w:rsidRPr="00745DE5" w:rsidRDefault="00745DE5" w:rsidP="00745DE5">
            <w:pPr>
              <w:spacing w:before="96" w:after="96" w:line="240" w:lineRule="auto"/>
              <w:jc w:val="right"/>
              <w:rPr>
                <w:rFonts w:ascii="Arial" w:eastAsia="Times New Roman" w:hAnsi="Arial" w:cs="Arial"/>
                <w:b/>
                <w:bCs/>
                <w:sz w:val="18"/>
                <w:szCs w:val="18"/>
                <w:lang w:eastAsia="en-GB"/>
              </w:rPr>
            </w:pP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ind w:left="284" w:hanging="284"/>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UK Retail and Business Banking</w:t>
            </w:r>
          </w:p>
        </w:tc>
        <w:tc>
          <w:tcPr>
            <w:tcW w:w="1980" w:type="dxa"/>
            <w:tcMar>
              <w:top w:w="0" w:type="dxa"/>
              <w:left w:w="108" w:type="dxa"/>
              <w:bottom w:w="0" w:type="dxa"/>
              <w:right w:w="108" w:type="dxa"/>
            </w:tcMar>
            <w:vAlign w:val="center"/>
            <w:hideMark/>
          </w:tcPr>
          <w:p w:rsidR="00745DE5" w:rsidRPr="00745DE5" w:rsidRDefault="00745DE5" w:rsidP="00745DE5">
            <w:pPr>
              <w:spacing w:before="96" w:after="96" w:line="240" w:lineRule="auto"/>
              <w:jc w:val="right"/>
              <w:rPr>
                <w:rFonts w:ascii="Arial" w:eastAsia="Times New Roman" w:hAnsi="Arial" w:cs="Arial"/>
                <w:sz w:val="16"/>
                <w:szCs w:val="16"/>
                <w:lang w:eastAsia="en-GB"/>
              </w:rPr>
            </w:pPr>
            <w:r w:rsidRPr="00745DE5">
              <w:rPr>
                <w:rFonts w:ascii="Arial" w:eastAsia="Times New Roman" w:hAnsi="Arial" w:cs="Arial"/>
                <w:sz w:val="18"/>
                <w:szCs w:val="18"/>
                <w:lang w:eastAsia="en-GB"/>
              </w:rPr>
              <w:t>10</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ind w:left="284" w:hanging="284"/>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Europe Retail and Business Banking</w:t>
            </w:r>
          </w:p>
        </w:tc>
        <w:tc>
          <w:tcPr>
            <w:tcW w:w="1980" w:type="dxa"/>
            <w:tcMar>
              <w:top w:w="0" w:type="dxa"/>
              <w:left w:w="108" w:type="dxa"/>
              <w:bottom w:w="0" w:type="dxa"/>
              <w:right w:w="108" w:type="dxa"/>
            </w:tcMar>
            <w:vAlign w:val="center"/>
            <w:hideMark/>
          </w:tcPr>
          <w:p w:rsidR="00745DE5" w:rsidRPr="00745DE5" w:rsidRDefault="00745DE5" w:rsidP="00745DE5">
            <w:pPr>
              <w:spacing w:before="96" w:after="96" w:line="240" w:lineRule="auto"/>
              <w:jc w:val="right"/>
              <w:rPr>
                <w:rFonts w:ascii="Arial" w:eastAsia="Times New Roman" w:hAnsi="Arial" w:cs="Arial"/>
                <w:sz w:val="16"/>
                <w:szCs w:val="16"/>
                <w:lang w:eastAsia="en-GB"/>
              </w:rPr>
            </w:pPr>
            <w:r w:rsidRPr="00745DE5">
              <w:rPr>
                <w:rFonts w:ascii="Arial" w:eastAsia="Times New Roman" w:hAnsi="Arial" w:cs="Arial"/>
                <w:sz w:val="18"/>
                <w:szCs w:val="18"/>
                <w:lang w:eastAsia="en-GB"/>
              </w:rPr>
              <w:t>11</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ind w:left="284" w:hanging="284"/>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Africa Retail and Business Banking</w:t>
            </w:r>
          </w:p>
        </w:tc>
        <w:tc>
          <w:tcPr>
            <w:tcW w:w="1980" w:type="dxa"/>
            <w:tcMar>
              <w:top w:w="0" w:type="dxa"/>
              <w:left w:w="108" w:type="dxa"/>
              <w:bottom w:w="0" w:type="dxa"/>
              <w:right w:w="108" w:type="dxa"/>
            </w:tcMar>
            <w:vAlign w:val="center"/>
            <w:hideMark/>
          </w:tcPr>
          <w:p w:rsidR="00745DE5" w:rsidRPr="00745DE5" w:rsidRDefault="00745DE5" w:rsidP="00745DE5">
            <w:pPr>
              <w:spacing w:before="96" w:after="96" w:line="240" w:lineRule="auto"/>
              <w:jc w:val="right"/>
              <w:rPr>
                <w:rFonts w:ascii="Arial" w:eastAsia="Times New Roman" w:hAnsi="Arial" w:cs="Arial"/>
                <w:sz w:val="16"/>
                <w:szCs w:val="16"/>
                <w:lang w:eastAsia="en-GB"/>
              </w:rPr>
            </w:pPr>
            <w:r w:rsidRPr="00745DE5">
              <w:rPr>
                <w:rFonts w:ascii="Arial" w:eastAsia="Times New Roman" w:hAnsi="Arial" w:cs="Arial"/>
                <w:sz w:val="18"/>
                <w:szCs w:val="18"/>
                <w:lang w:eastAsia="en-GB"/>
              </w:rPr>
              <w:t>12</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ind w:left="284" w:hanging="284"/>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Barclaycard</w:t>
            </w:r>
          </w:p>
        </w:tc>
        <w:tc>
          <w:tcPr>
            <w:tcW w:w="1980" w:type="dxa"/>
            <w:tcMar>
              <w:top w:w="0" w:type="dxa"/>
              <w:left w:w="108" w:type="dxa"/>
              <w:bottom w:w="0" w:type="dxa"/>
              <w:right w:w="108" w:type="dxa"/>
            </w:tcMar>
            <w:vAlign w:val="center"/>
            <w:hideMark/>
          </w:tcPr>
          <w:p w:rsidR="00745DE5" w:rsidRPr="00745DE5" w:rsidRDefault="00745DE5" w:rsidP="00745DE5">
            <w:pPr>
              <w:spacing w:before="96" w:after="96" w:line="240" w:lineRule="auto"/>
              <w:jc w:val="right"/>
              <w:rPr>
                <w:rFonts w:ascii="Arial" w:eastAsia="Times New Roman" w:hAnsi="Arial" w:cs="Arial"/>
                <w:sz w:val="16"/>
                <w:szCs w:val="16"/>
                <w:lang w:eastAsia="en-GB"/>
              </w:rPr>
            </w:pPr>
            <w:r w:rsidRPr="00745DE5">
              <w:rPr>
                <w:rFonts w:ascii="Arial" w:eastAsia="Times New Roman" w:hAnsi="Arial" w:cs="Arial"/>
                <w:sz w:val="18"/>
                <w:szCs w:val="18"/>
                <w:lang w:eastAsia="en-GB"/>
              </w:rPr>
              <w:t>13</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ind w:left="284" w:hanging="284"/>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Investment Bank</w:t>
            </w:r>
          </w:p>
        </w:tc>
        <w:tc>
          <w:tcPr>
            <w:tcW w:w="1980" w:type="dxa"/>
            <w:tcMar>
              <w:top w:w="0" w:type="dxa"/>
              <w:left w:w="108" w:type="dxa"/>
              <w:bottom w:w="0" w:type="dxa"/>
              <w:right w:w="108" w:type="dxa"/>
            </w:tcMar>
            <w:vAlign w:val="center"/>
            <w:hideMark/>
          </w:tcPr>
          <w:p w:rsidR="00745DE5" w:rsidRPr="00745DE5" w:rsidRDefault="00745DE5" w:rsidP="00745DE5">
            <w:pPr>
              <w:spacing w:before="96" w:after="96" w:line="240" w:lineRule="auto"/>
              <w:jc w:val="right"/>
              <w:rPr>
                <w:rFonts w:ascii="Arial" w:eastAsia="Times New Roman" w:hAnsi="Arial" w:cs="Arial"/>
                <w:sz w:val="16"/>
                <w:szCs w:val="16"/>
                <w:lang w:eastAsia="en-GB"/>
              </w:rPr>
            </w:pPr>
            <w:r w:rsidRPr="00745DE5">
              <w:rPr>
                <w:rFonts w:ascii="Arial" w:eastAsia="Times New Roman" w:hAnsi="Arial" w:cs="Arial"/>
                <w:sz w:val="18"/>
                <w:szCs w:val="18"/>
                <w:lang w:eastAsia="en-GB"/>
              </w:rPr>
              <w:t>14</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ind w:left="284" w:hanging="284"/>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Corporate Banking</w:t>
            </w:r>
          </w:p>
        </w:tc>
        <w:tc>
          <w:tcPr>
            <w:tcW w:w="1980" w:type="dxa"/>
            <w:tcMar>
              <w:top w:w="0" w:type="dxa"/>
              <w:left w:w="108" w:type="dxa"/>
              <w:bottom w:w="0" w:type="dxa"/>
              <w:right w:w="108" w:type="dxa"/>
            </w:tcMar>
            <w:vAlign w:val="center"/>
            <w:hideMark/>
          </w:tcPr>
          <w:p w:rsidR="00745DE5" w:rsidRPr="00745DE5" w:rsidRDefault="00745DE5" w:rsidP="00745DE5">
            <w:pPr>
              <w:spacing w:before="96" w:after="96" w:line="240" w:lineRule="auto"/>
              <w:jc w:val="right"/>
              <w:rPr>
                <w:rFonts w:ascii="Arial" w:eastAsia="Times New Roman" w:hAnsi="Arial" w:cs="Arial"/>
                <w:sz w:val="16"/>
                <w:szCs w:val="16"/>
                <w:lang w:eastAsia="en-GB"/>
              </w:rPr>
            </w:pPr>
            <w:r w:rsidRPr="00745DE5">
              <w:rPr>
                <w:rFonts w:ascii="Arial" w:eastAsia="Times New Roman" w:hAnsi="Arial" w:cs="Arial"/>
                <w:sz w:val="18"/>
                <w:szCs w:val="18"/>
                <w:lang w:eastAsia="en-GB"/>
              </w:rPr>
              <w:t>16</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ind w:left="284" w:hanging="284"/>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Wealth and Investment Management</w:t>
            </w:r>
          </w:p>
        </w:tc>
        <w:tc>
          <w:tcPr>
            <w:tcW w:w="1980" w:type="dxa"/>
            <w:tcMar>
              <w:top w:w="0" w:type="dxa"/>
              <w:left w:w="108" w:type="dxa"/>
              <w:bottom w:w="0" w:type="dxa"/>
              <w:right w:w="108" w:type="dxa"/>
            </w:tcMar>
            <w:vAlign w:val="center"/>
            <w:hideMark/>
          </w:tcPr>
          <w:p w:rsidR="00745DE5" w:rsidRPr="00745DE5" w:rsidRDefault="00745DE5" w:rsidP="00745DE5">
            <w:pPr>
              <w:spacing w:before="96" w:after="96" w:line="240" w:lineRule="auto"/>
              <w:jc w:val="right"/>
              <w:rPr>
                <w:rFonts w:ascii="Arial" w:eastAsia="Times New Roman" w:hAnsi="Arial" w:cs="Arial"/>
                <w:sz w:val="16"/>
                <w:szCs w:val="16"/>
                <w:lang w:eastAsia="en-GB"/>
              </w:rPr>
            </w:pPr>
            <w:r w:rsidRPr="00745DE5">
              <w:rPr>
                <w:rFonts w:ascii="Arial" w:eastAsia="Times New Roman" w:hAnsi="Arial" w:cs="Arial"/>
                <w:sz w:val="18"/>
                <w:szCs w:val="18"/>
                <w:lang w:eastAsia="en-GB"/>
              </w:rPr>
              <w:t>17</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ind w:left="284" w:hanging="284"/>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Head Office and Other Operations</w:t>
            </w:r>
          </w:p>
        </w:tc>
        <w:tc>
          <w:tcPr>
            <w:tcW w:w="1980" w:type="dxa"/>
            <w:tcMar>
              <w:top w:w="0" w:type="dxa"/>
              <w:left w:w="108" w:type="dxa"/>
              <w:bottom w:w="0" w:type="dxa"/>
              <w:right w:w="108" w:type="dxa"/>
            </w:tcMar>
            <w:vAlign w:val="center"/>
            <w:hideMark/>
          </w:tcPr>
          <w:p w:rsidR="00745DE5" w:rsidRPr="00745DE5" w:rsidRDefault="00745DE5" w:rsidP="00745DE5">
            <w:pPr>
              <w:spacing w:before="96" w:after="96" w:line="240" w:lineRule="auto"/>
              <w:jc w:val="right"/>
              <w:rPr>
                <w:rFonts w:ascii="Arial" w:eastAsia="Times New Roman" w:hAnsi="Arial" w:cs="Arial"/>
                <w:sz w:val="16"/>
                <w:szCs w:val="16"/>
                <w:lang w:eastAsia="en-GB"/>
              </w:rPr>
            </w:pPr>
            <w:r w:rsidRPr="00745DE5">
              <w:rPr>
                <w:rFonts w:ascii="Arial" w:eastAsia="Times New Roman" w:hAnsi="Arial" w:cs="Arial"/>
                <w:sz w:val="18"/>
                <w:szCs w:val="18"/>
                <w:lang w:eastAsia="en-GB"/>
              </w:rPr>
              <w:t>18</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rPr>
                <w:rFonts w:ascii="Arial" w:eastAsia="Times New Roman" w:hAnsi="Arial" w:cs="Arial"/>
                <w:sz w:val="16"/>
                <w:szCs w:val="16"/>
                <w:lang w:eastAsia="en-GB"/>
              </w:rPr>
            </w:pPr>
            <w:r w:rsidRPr="00745DE5">
              <w:rPr>
                <w:rFonts w:ascii="Arial" w:eastAsia="Times New Roman" w:hAnsi="Arial" w:cs="Arial"/>
                <w:sz w:val="18"/>
                <w:szCs w:val="18"/>
                <w:lang w:eastAsia="en-GB"/>
              </w:rPr>
              <w:t>Appendix I - Quarterly Results Summary</w:t>
            </w:r>
          </w:p>
        </w:tc>
        <w:tc>
          <w:tcPr>
            <w:tcW w:w="1980" w:type="dxa"/>
            <w:tcMar>
              <w:top w:w="0" w:type="dxa"/>
              <w:left w:w="108" w:type="dxa"/>
              <w:bottom w:w="0" w:type="dxa"/>
              <w:right w:w="108" w:type="dxa"/>
            </w:tcMar>
            <w:hideMark/>
          </w:tcPr>
          <w:p w:rsidR="00745DE5" w:rsidRPr="00745DE5" w:rsidRDefault="00745DE5" w:rsidP="00745DE5">
            <w:pPr>
              <w:spacing w:before="96" w:after="96" w:line="240" w:lineRule="auto"/>
              <w:jc w:val="right"/>
              <w:rPr>
                <w:rFonts w:ascii="Arial" w:eastAsia="Times New Roman" w:hAnsi="Arial" w:cs="Arial"/>
                <w:sz w:val="18"/>
                <w:szCs w:val="18"/>
                <w:lang w:eastAsia="en-GB"/>
              </w:rPr>
            </w:pPr>
            <w:r w:rsidRPr="00745DE5">
              <w:rPr>
                <w:rFonts w:ascii="Arial" w:eastAsia="Times New Roman" w:hAnsi="Arial" w:cs="Arial"/>
                <w:sz w:val="18"/>
                <w:szCs w:val="18"/>
                <w:lang w:eastAsia="en-GB"/>
              </w:rPr>
              <w:t>19</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rPr>
                <w:rFonts w:ascii="Arial" w:eastAsia="Times New Roman" w:hAnsi="Arial" w:cs="Arial"/>
                <w:sz w:val="16"/>
                <w:szCs w:val="16"/>
                <w:lang w:eastAsia="en-GB"/>
              </w:rPr>
            </w:pPr>
            <w:r w:rsidRPr="00745DE5">
              <w:rPr>
                <w:rFonts w:ascii="Arial" w:eastAsia="Times New Roman" w:hAnsi="Arial" w:cs="Arial"/>
                <w:sz w:val="18"/>
                <w:szCs w:val="18"/>
                <w:lang w:eastAsia="en-GB"/>
              </w:rPr>
              <w:t>Appendix II - Margins and Income by Geography</w:t>
            </w:r>
          </w:p>
        </w:tc>
        <w:tc>
          <w:tcPr>
            <w:tcW w:w="1980" w:type="dxa"/>
            <w:tcMar>
              <w:top w:w="0" w:type="dxa"/>
              <w:left w:w="108" w:type="dxa"/>
              <w:bottom w:w="0" w:type="dxa"/>
              <w:right w:w="108" w:type="dxa"/>
            </w:tcMar>
            <w:hideMark/>
          </w:tcPr>
          <w:p w:rsidR="00745DE5" w:rsidRPr="00745DE5" w:rsidRDefault="00745DE5" w:rsidP="00745DE5">
            <w:pPr>
              <w:spacing w:before="96" w:after="96" w:line="240" w:lineRule="auto"/>
              <w:jc w:val="right"/>
              <w:rPr>
                <w:rFonts w:ascii="Arial" w:eastAsia="Times New Roman" w:hAnsi="Arial" w:cs="Arial"/>
                <w:sz w:val="18"/>
                <w:szCs w:val="18"/>
                <w:lang w:eastAsia="en-GB"/>
              </w:rPr>
            </w:pPr>
            <w:r w:rsidRPr="00745DE5">
              <w:rPr>
                <w:rFonts w:ascii="Arial" w:eastAsia="Times New Roman" w:hAnsi="Arial" w:cs="Arial"/>
                <w:sz w:val="18"/>
                <w:szCs w:val="18"/>
                <w:lang w:eastAsia="en-GB"/>
              </w:rPr>
              <w:t>21</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rPr>
                <w:rFonts w:ascii="Arial" w:eastAsia="Times New Roman" w:hAnsi="Arial" w:cs="Arial"/>
                <w:sz w:val="18"/>
                <w:szCs w:val="18"/>
                <w:lang w:eastAsia="en-GB"/>
              </w:rPr>
            </w:pPr>
            <w:r w:rsidRPr="00745DE5">
              <w:rPr>
                <w:rFonts w:ascii="Arial" w:eastAsia="Times New Roman" w:hAnsi="Arial" w:cs="Arial"/>
                <w:sz w:val="18"/>
                <w:szCs w:val="18"/>
                <w:lang w:eastAsia="en-GB"/>
              </w:rPr>
              <w:t>Appendix III - Balance Sheet and Capital</w:t>
            </w:r>
          </w:p>
        </w:tc>
        <w:tc>
          <w:tcPr>
            <w:tcW w:w="1980" w:type="dxa"/>
            <w:tcMar>
              <w:top w:w="0" w:type="dxa"/>
              <w:left w:w="108" w:type="dxa"/>
              <w:bottom w:w="0" w:type="dxa"/>
              <w:right w:w="108" w:type="dxa"/>
            </w:tcMar>
            <w:hideMark/>
          </w:tcPr>
          <w:p w:rsidR="00745DE5" w:rsidRPr="00745DE5" w:rsidRDefault="00745DE5" w:rsidP="00745DE5">
            <w:pPr>
              <w:spacing w:before="96" w:after="96" w:line="240" w:lineRule="auto"/>
              <w:jc w:val="right"/>
              <w:rPr>
                <w:rFonts w:ascii="Arial" w:eastAsia="Times New Roman" w:hAnsi="Arial" w:cs="Arial"/>
                <w:sz w:val="18"/>
                <w:szCs w:val="18"/>
                <w:lang w:eastAsia="en-GB"/>
              </w:rPr>
            </w:pPr>
            <w:r w:rsidRPr="00745DE5">
              <w:rPr>
                <w:rFonts w:ascii="Arial" w:eastAsia="Times New Roman" w:hAnsi="Arial" w:cs="Arial"/>
                <w:sz w:val="18"/>
                <w:szCs w:val="18"/>
                <w:lang w:eastAsia="en-GB"/>
              </w:rPr>
              <w:t>22</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rPr>
                <w:rFonts w:ascii="Arial" w:eastAsia="Times New Roman" w:hAnsi="Arial" w:cs="Arial"/>
                <w:sz w:val="18"/>
                <w:szCs w:val="18"/>
                <w:lang w:eastAsia="en-GB"/>
              </w:rPr>
            </w:pPr>
            <w:r w:rsidRPr="00745DE5">
              <w:rPr>
                <w:rFonts w:ascii="Arial" w:eastAsia="Times New Roman" w:hAnsi="Arial" w:cs="Arial"/>
                <w:sz w:val="18"/>
                <w:szCs w:val="18"/>
                <w:lang w:eastAsia="en-GB"/>
              </w:rPr>
              <w:t>Appendix IV - Group Exposures to Selected Countries</w:t>
            </w:r>
          </w:p>
        </w:tc>
        <w:tc>
          <w:tcPr>
            <w:tcW w:w="1980" w:type="dxa"/>
            <w:tcMar>
              <w:top w:w="0" w:type="dxa"/>
              <w:left w:w="108" w:type="dxa"/>
              <w:bottom w:w="0" w:type="dxa"/>
              <w:right w:w="108" w:type="dxa"/>
            </w:tcMar>
            <w:hideMark/>
          </w:tcPr>
          <w:p w:rsidR="00745DE5" w:rsidRPr="00745DE5" w:rsidRDefault="00745DE5" w:rsidP="00745DE5">
            <w:pPr>
              <w:spacing w:before="96" w:after="96" w:line="240" w:lineRule="auto"/>
              <w:jc w:val="right"/>
              <w:rPr>
                <w:rFonts w:ascii="Arial" w:eastAsia="Times New Roman" w:hAnsi="Arial" w:cs="Arial"/>
                <w:sz w:val="18"/>
                <w:szCs w:val="18"/>
                <w:lang w:eastAsia="en-GB"/>
              </w:rPr>
            </w:pPr>
            <w:r w:rsidRPr="00745DE5">
              <w:rPr>
                <w:rFonts w:ascii="Arial" w:eastAsia="Times New Roman" w:hAnsi="Arial" w:cs="Arial"/>
                <w:sz w:val="18"/>
                <w:szCs w:val="18"/>
                <w:lang w:eastAsia="en-GB"/>
              </w:rPr>
              <w:t>27</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rPr>
                <w:rFonts w:ascii="Arial" w:eastAsia="Times New Roman" w:hAnsi="Arial" w:cs="Arial"/>
                <w:sz w:val="18"/>
                <w:szCs w:val="18"/>
                <w:lang w:eastAsia="en-GB"/>
              </w:rPr>
            </w:pPr>
            <w:r w:rsidRPr="00745DE5">
              <w:rPr>
                <w:rFonts w:ascii="Arial" w:eastAsia="Times New Roman" w:hAnsi="Arial" w:cs="Arial"/>
                <w:sz w:val="18"/>
                <w:szCs w:val="18"/>
                <w:lang w:eastAsia="en-GB"/>
              </w:rPr>
              <w:t>Appendix V - Credit Market Exposures</w:t>
            </w:r>
          </w:p>
        </w:tc>
        <w:tc>
          <w:tcPr>
            <w:tcW w:w="1980" w:type="dxa"/>
            <w:tcMar>
              <w:top w:w="0" w:type="dxa"/>
              <w:left w:w="108" w:type="dxa"/>
              <w:bottom w:w="0" w:type="dxa"/>
              <w:right w:w="108" w:type="dxa"/>
            </w:tcMar>
            <w:hideMark/>
          </w:tcPr>
          <w:p w:rsidR="00745DE5" w:rsidRPr="00745DE5" w:rsidRDefault="00745DE5" w:rsidP="00745DE5">
            <w:pPr>
              <w:spacing w:before="96" w:after="96" w:line="240" w:lineRule="auto"/>
              <w:jc w:val="right"/>
              <w:rPr>
                <w:rFonts w:ascii="Arial" w:eastAsia="Times New Roman" w:hAnsi="Arial" w:cs="Arial"/>
                <w:sz w:val="18"/>
                <w:szCs w:val="18"/>
                <w:lang w:eastAsia="en-GB"/>
              </w:rPr>
            </w:pPr>
            <w:r w:rsidRPr="00745DE5">
              <w:rPr>
                <w:rFonts w:ascii="Arial" w:eastAsia="Times New Roman" w:hAnsi="Arial" w:cs="Arial"/>
                <w:sz w:val="18"/>
                <w:szCs w:val="18"/>
                <w:lang w:eastAsia="en-GB"/>
              </w:rPr>
              <w:t>35</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rPr>
                <w:rFonts w:ascii="Arial" w:eastAsia="Times New Roman" w:hAnsi="Arial" w:cs="Arial"/>
                <w:sz w:val="16"/>
                <w:szCs w:val="16"/>
                <w:lang w:eastAsia="en-GB"/>
              </w:rPr>
            </w:pPr>
            <w:r w:rsidRPr="00745DE5">
              <w:rPr>
                <w:rFonts w:ascii="Arial" w:eastAsia="Times New Roman" w:hAnsi="Arial" w:cs="Arial"/>
                <w:sz w:val="18"/>
                <w:szCs w:val="18"/>
                <w:lang w:eastAsia="en-GB"/>
              </w:rPr>
              <w:t>Appendix VI - Other Legal and Regulatory Matters</w:t>
            </w:r>
          </w:p>
        </w:tc>
        <w:tc>
          <w:tcPr>
            <w:tcW w:w="1980" w:type="dxa"/>
            <w:tcMar>
              <w:top w:w="0" w:type="dxa"/>
              <w:left w:w="108" w:type="dxa"/>
              <w:bottom w:w="0" w:type="dxa"/>
              <w:right w:w="108" w:type="dxa"/>
            </w:tcMar>
            <w:hideMark/>
          </w:tcPr>
          <w:p w:rsidR="00745DE5" w:rsidRPr="00745DE5" w:rsidRDefault="00745DE5" w:rsidP="00745DE5">
            <w:pPr>
              <w:spacing w:before="96" w:after="96" w:line="240" w:lineRule="auto"/>
              <w:jc w:val="right"/>
              <w:rPr>
                <w:rFonts w:ascii="Arial" w:eastAsia="Times New Roman" w:hAnsi="Arial" w:cs="Arial"/>
                <w:sz w:val="18"/>
                <w:szCs w:val="18"/>
                <w:lang w:eastAsia="en-GB"/>
              </w:rPr>
            </w:pPr>
            <w:r w:rsidRPr="00745DE5">
              <w:rPr>
                <w:rFonts w:ascii="Arial" w:eastAsia="Times New Roman" w:hAnsi="Arial" w:cs="Arial"/>
                <w:sz w:val="18"/>
                <w:szCs w:val="18"/>
                <w:lang w:eastAsia="en-GB"/>
              </w:rPr>
              <w:t>36</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rPr>
                <w:rFonts w:ascii="Arial" w:eastAsia="Times New Roman" w:hAnsi="Arial" w:cs="Arial"/>
                <w:sz w:val="18"/>
                <w:szCs w:val="18"/>
                <w:lang w:eastAsia="en-GB"/>
              </w:rPr>
            </w:pPr>
            <w:r w:rsidRPr="00745DE5">
              <w:rPr>
                <w:rFonts w:ascii="Arial" w:eastAsia="Times New Roman" w:hAnsi="Arial" w:cs="Arial"/>
                <w:sz w:val="18"/>
                <w:szCs w:val="18"/>
                <w:lang w:eastAsia="en-GB"/>
              </w:rPr>
              <w:t>Appendix VII - Other Information</w:t>
            </w:r>
          </w:p>
        </w:tc>
        <w:tc>
          <w:tcPr>
            <w:tcW w:w="1980" w:type="dxa"/>
            <w:tcMar>
              <w:top w:w="0" w:type="dxa"/>
              <w:left w:w="108" w:type="dxa"/>
              <w:bottom w:w="0" w:type="dxa"/>
              <w:right w:w="108" w:type="dxa"/>
            </w:tcMar>
            <w:hideMark/>
          </w:tcPr>
          <w:p w:rsidR="00745DE5" w:rsidRPr="00745DE5" w:rsidRDefault="00745DE5" w:rsidP="00745DE5">
            <w:pPr>
              <w:spacing w:before="96" w:after="96" w:line="240" w:lineRule="auto"/>
              <w:jc w:val="right"/>
              <w:rPr>
                <w:rFonts w:ascii="Arial" w:eastAsia="Times New Roman" w:hAnsi="Arial" w:cs="Arial"/>
                <w:sz w:val="18"/>
                <w:szCs w:val="18"/>
                <w:lang w:eastAsia="en-GB"/>
              </w:rPr>
            </w:pPr>
            <w:r w:rsidRPr="00745DE5">
              <w:rPr>
                <w:rFonts w:ascii="Arial" w:eastAsia="Times New Roman" w:hAnsi="Arial" w:cs="Arial"/>
                <w:sz w:val="18"/>
                <w:szCs w:val="18"/>
                <w:lang w:eastAsia="en-GB"/>
              </w:rPr>
              <w:t>37</w:t>
            </w:r>
          </w:p>
        </w:tc>
      </w:tr>
      <w:tr w:rsidR="00745DE5" w:rsidRPr="00745DE5" w:rsidTr="00745DE5">
        <w:tc>
          <w:tcPr>
            <w:tcW w:w="7440" w:type="dxa"/>
            <w:tcMar>
              <w:top w:w="0" w:type="dxa"/>
              <w:left w:w="108" w:type="dxa"/>
              <w:bottom w:w="0" w:type="dxa"/>
              <w:right w:w="108" w:type="dxa"/>
            </w:tcMar>
            <w:vAlign w:val="center"/>
            <w:hideMark/>
          </w:tcPr>
          <w:p w:rsidR="00745DE5" w:rsidRPr="00745DE5" w:rsidRDefault="00745DE5" w:rsidP="00745DE5">
            <w:pPr>
              <w:spacing w:before="96" w:after="96" w:line="240" w:lineRule="auto"/>
              <w:rPr>
                <w:rFonts w:ascii="Arial" w:eastAsia="Times New Roman" w:hAnsi="Arial" w:cs="Arial"/>
                <w:sz w:val="18"/>
                <w:szCs w:val="18"/>
                <w:lang w:eastAsia="en-GB"/>
              </w:rPr>
            </w:pPr>
            <w:r w:rsidRPr="00745DE5">
              <w:rPr>
                <w:rFonts w:ascii="Arial" w:eastAsia="Times New Roman" w:hAnsi="Arial" w:cs="Arial"/>
                <w:sz w:val="18"/>
                <w:szCs w:val="18"/>
                <w:lang w:eastAsia="en-GB"/>
              </w:rPr>
              <w:t> </w:t>
            </w:r>
          </w:p>
        </w:tc>
        <w:tc>
          <w:tcPr>
            <w:tcW w:w="1980" w:type="dxa"/>
            <w:tcMar>
              <w:top w:w="0" w:type="dxa"/>
              <w:left w:w="108" w:type="dxa"/>
              <w:bottom w:w="0" w:type="dxa"/>
              <w:right w:w="108" w:type="dxa"/>
            </w:tcMar>
            <w:vAlign w:val="center"/>
            <w:hideMark/>
          </w:tcPr>
          <w:p w:rsidR="00745DE5" w:rsidRPr="00745DE5" w:rsidRDefault="00745DE5" w:rsidP="00745DE5">
            <w:pPr>
              <w:spacing w:before="96" w:after="96" w:line="240" w:lineRule="auto"/>
              <w:jc w:val="right"/>
              <w:rPr>
                <w:rFonts w:ascii="Arial" w:eastAsia="Times New Roman" w:hAnsi="Arial" w:cs="Arial"/>
                <w:b/>
                <w:bCs/>
                <w:sz w:val="18"/>
                <w:szCs w:val="18"/>
                <w:lang w:eastAsia="en-GB"/>
              </w:rPr>
            </w:pPr>
          </w:p>
        </w:tc>
      </w:tr>
    </w:tbl>
    <w:p w:rsidR="00745DE5" w:rsidRPr="00745DE5" w:rsidRDefault="00745DE5" w:rsidP="00745DE5">
      <w:pPr>
        <w:spacing w:before="180" w:after="180" w:line="240" w:lineRule="auto"/>
        <w:jc w:val="center"/>
        <w:rPr>
          <w:rFonts w:ascii="Arial" w:eastAsia="Times New Roman" w:hAnsi="Arial" w:cs="Arial"/>
          <w:sz w:val="12"/>
          <w:szCs w:val="12"/>
          <w:lang w:eastAsia="en-GB"/>
        </w:rPr>
      </w:pPr>
      <w:r w:rsidRPr="00745DE5">
        <w:rPr>
          <w:rFonts w:ascii="Arial" w:eastAsia="Times New Roman" w:hAnsi="Arial" w:cs="Arial"/>
          <w:sz w:val="12"/>
          <w:szCs w:val="12"/>
          <w:lang w:eastAsia="en-GB"/>
        </w:rPr>
        <w:t> </w:t>
      </w:r>
    </w:p>
    <w:p w:rsidR="00745DE5" w:rsidRPr="00745DE5" w:rsidRDefault="00745DE5" w:rsidP="00745DE5">
      <w:pPr>
        <w:spacing w:before="180" w:after="180" w:line="240" w:lineRule="auto"/>
        <w:jc w:val="center"/>
        <w:rPr>
          <w:rFonts w:ascii="Arial" w:eastAsia="Times New Roman" w:hAnsi="Arial" w:cs="Arial"/>
          <w:sz w:val="12"/>
          <w:szCs w:val="12"/>
          <w:lang w:eastAsia="en-GB"/>
        </w:rPr>
      </w:pPr>
      <w:r w:rsidRPr="00745DE5">
        <w:rPr>
          <w:rFonts w:ascii="Arial" w:eastAsia="Times New Roman" w:hAnsi="Arial" w:cs="Arial"/>
          <w:sz w:val="12"/>
          <w:szCs w:val="12"/>
          <w:lang w:eastAsia="en-GB"/>
        </w:rPr>
        <w:t> </w:t>
      </w:r>
    </w:p>
    <w:p w:rsidR="00745DE5" w:rsidRPr="00745DE5" w:rsidRDefault="00745DE5" w:rsidP="00745DE5">
      <w:pPr>
        <w:spacing w:before="180" w:line="240" w:lineRule="auto"/>
        <w:jc w:val="center"/>
        <w:rPr>
          <w:rFonts w:ascii="Arial" w:eastAsia="Times New Roman" w:hAnsi="Arial" w:cs="Arial"/>
          <w:sz w:val="12"/>
          <w:szCs w:val="12"/>
          <w:lang w:eastAsia="en-GB"/>
        </w:rPr>
      </w:pPr>
      <w:r w:rsidRPr="00745DE5">
        <w:rPr>
          <w:rFonts w:ascii="Arial" w:eastAsia="Times New Roman" w:hAnsi="Arial" w:cs="Arial"/>
          <w:sz w:val="12"/>
          <w:szCs w:val="12"/>
          <w:lang w:eastAsia="en-GB"/>
        </w:rPr>
        <w:t>BARCLAYS PLC, 1 CHURCHILL PLACE, LONDON, E14 5HP, UNITED KINGDOM. TELEPHONE: +44 (0) 20 7116 1000. COMPANY NO. 48839</w:t>
      </w:r>
    </w:p>
    <w:p w:rsidR="00745DE5" w:rsidRDefault="00745DE5" w:rsidP="00745DE5">
      <w:pPr>
        <w:spacing w:before="100" w:beforeAutospacing="1" w:after="100" w:afterAutospacing="1" w:line="240" w:lineRule="auto"/>
        <w:rPr>
          <w:rFonts w:ascii="Arial" w:eastAsia="Times New Roman" w:hAnsi="Arial" w:cs="Arial"/>
          <w:sz w:val="2"/>
          <w:szCs w:val="2"/>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sz w:val="24"/>
          <w:szCs w:val="24"/>
          <w:lang w:eastAsia="en-GB"/>
        </w:rPr>
      </w:pPr>
    </w:p>
    <w:p w:rsidR="00745DE5" w:rsidRPr="00745DE5" w:rsidRDefault="00745DE5" w:rsidP="00745DE5">
      <w:pPr>
        <w:spacing w:after="6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sz w:val="24"/>
          <w:szCs w:val="24"/>
          <w:lang w:eastAsia="en-GB"/>
        </w:rPr>
        <w:t>Notes</w:t>
      </w:r>
    </w:p>
    <w:p w:rsidR="00745DE5" w:rsidRPr="00745DE5" w:rsidRDefault="00745DE5" w:rsidP="00745DE5">
      <w:pPr>
        <w:spacing w:after="60" w:line="240" w:lineRule="auto"/>
        <w:jc w:val="both"/>
        <w:rPr>
          <w:rFonts w:ascii="Arial" w:eastAsia="Times New Roman" w:hAnsi="Arial" w:cs="Arial"/>
          <w:sz w:val="18"/>
          <w:szCs w:val="18"/>
          <w:lang w:eastAsia="en-GB"/>
        </w:rPr>
      </w:pPr>
      <w:r w:rsidRPr="00745DE5">
        <w:rPr>
          <w:rFonts w:ascii="Arial" w:eastAsia="Times New Roman" w:hAnsi="Arial" w:cs="Arial"/>
          <w:sz w:val="16"/>
          <w:szCs w:val="16"/>
          <w:lang w:eastAsia="en-GB"/>
        </w:rPr>
        <w:t>The term Barclays or Group refers to Barclays PLC together with its subsidiaries. Unless otherwise stated, the income statement analysis compares the 9 months to 30 September 2012 to the corresponding 9 months of 2011 and balance sheet comparatives relate to 30 June 2012. The abbreviations '£m' and '£</w:t>
      </w:r>
      <w:proofErr w:type="spellStart"/>
      <w:r w:rsidRPr="00745DE5">
        <w:rPr>
          <w:rFonts w:ascii="Arial" w:eastAsia="Times New Roman" w:hAnsi="Arial" w:cs="Arial"/>
          <w:sz w:val="16"/>
          <w:szCs w:val="16"/>
          <w:lang w:eastAsia="en-GB"/>
        </w:rPr>
        <w:t>bn</w:t>
      </w:r>
      <w:proofErr w:type="spellEnd"/>
      <w:r w:rsidRPr="00745DE5">
        <w:rPr>
          <w:rFonts w:ascii="Arial" w:eastAsia="Times New Roman" w:hAnsi="Arial" w:cs="Arial"/>
          <w:sz w:val="16"/>
          <w:szCs w:val="16"/>
          <w:lang w:eastAsia="en-GB"/>
        </w:rPr>
        <w:t>' represent millions and thousands of millions of pounds sterling respectively; the abbreviations '$m' and '$</w:t>
      </w:r>
      <w:proofErr w:type="spellStart"/>
      <w:r w:rsidRPr="00745DE5">
        <w:rPr>
          <w:rFonts w:ascii="Arial" w:eastAsia="Times New Roman" w:hAnsi="Arial" w:cs="Arial"/>
          <w:sz w:val="16"/>
          <w:szCs w:val="16"/>
          <w:lang w:eastAsia="en-GB"/>
        </w:rPr>
        <w:t>bn</w:t>
      </w:r>
      <w:proofErr w:type="spellEnd"/>
      <w:r w:rsidRPr="00745DE5">
        <w:rPr>
          <w:rFonts w:ascii="Arial" w:eastAsia="Times New Roman" w:hAnsi="Arial" w:cs="Arial"/>
          <w:sz w:val="16"/>
          <w:szCs w:val="16"/>
          <w:lang w:eastAsia="en-GB"/>
        </w:rPr>
        <w:t>' represent millions and thousands of millions of US dollars respectively.</w:t>
      </w:r>
    </w:p>
    <w:p w:rsidR="00745DE5" w:rsidRPr="00745DE5" w:rsidRDefault="00745DE5" w:rsidP="00745DE5">
      <w:pPr>
        <w:spacing w:before="180" w:after="60" w:line="240" w:lineRule="auto"/>
        <w:jc w:val="both"/>
        <w:rPr>
          <w:rFonts w:ascii="Arial" w:eastAsia="Times New Roman" w:hAnsi="Arial" w:cs="Arial"/>
          <w:sz w:val="18"/>
          <w:szCs w:val="18"/>
          <w:lang w:eastAsia="en-GB"/>
        </w:rPr>
      </w:pPr>
      <w:r w:rsidRPr="00745DE5">
        <w:rPr>
          <w:rFonts w:ascii="Arial" w:eastAsia="Times New Roman" w:hAnsi="Arial" w:cs="Arial"/>
          <w:sz w:val="16"/>
          <w:szCs w:val="16"/>
          <w:lang w:eastAsia="en-GB"/>
        </w:rPr>
        <w:t xml:space="preserve">Adjusted profit before tax and adjusted performance metrics have been presented to provide a more consistent basis for comparing business performance between periods. Adjusting items are considered to be significant and one-off in nature and hence not representative of the underlying business performance. Items excluded from the adjusted measures are: the impact of own credit; gains on debt buy-backs; impairment and disposal of the investment in </w:t>
      </w:r>
      <w:proofErr w:type="spellStart"/>
      <w:r w:rsidRPr="00745DE5">
        <w:rPr>
          <w:rFonts w:ascii="Arial" w:eastAsia="Times New Roman" w:hAnsi="Arial" w:cs="Arial"/>
          <w:sz w:val="16"/>
          <w:szCs w:val="16"/>
          <w:lang w:eastAsia="en-GB"/>
        </w:rPr>
        <w:t>BlackRock</w:t>
      </w:r>
      <w:proofErr w:type="spellEnd"/>
      <w:r w:rsidRPr="00745DE5">
        <w:rPr>
          <w:rFonts w:ascii="Arial" w:eastAsia="Times New Roman" w:hAnsi="Arial" w:cs="Arial"/>
          <w:sz w:val="16"/>
          <w:szCs w:val="16"/>
          <w:lang w:eastAsia="en-GB"/>
        </w:rPr>
        <w:t>, Inc.; the provision for Payment Protection Insurance redress payments and claims management costs (PPI redress); the provision for interest rate hedging products redress; goodwill impairments; and gains and losses on acquisitions and disposals. The regulatory penalties relating to the industry-wide investigation into the setting of interbank offered rates have not been excluded from adjusted measures.</w:t>
      </w:r>
    </w:p>
    <w:p w:rsidR="00745DE5" w:rsidRPr="00745DE5" w:rsidRDefault="00745DE5" w:rsidP="00745DE5">
      <w:pPr>
        <w:spacing w:before="180" w:after="60" w:line="240" w:lineRule="auto"/>
        <w:jc w:val="both"/>
        <w:rPr>
          <w:rFonts w:ascii="Arial" w:eastAsia="Times New Roman" w:hAnsi="Arial" w:cs="Arial"/>
          <w:sz w:val="18"/>
          <w:szCs w:val="18"/>
          <w:lang w:eastAsia="en-GB"/>
        </w:rPr>
      </w:pPr>
      <w:r w:rsidRPr="00745DE5">
        <w:rPr>
          <w:rFonts w:ascii="Arial" w:eastAsia="Times New Roman" w:hAnsi="Arial" w:cs="Arial"/>
          <w:sz w:val="16"/>
          <w:szCs w:val="16"/>
          <w:lang w:eastAsia="en-GB"/>
        </w:rPr>
        <w:t xml:space="preserve">Relevant terms that are used in this document but are not defined under applicable regulatory guidance or International Financial Reporting Standards (IFRS) are explained in the Results glossary that can be accessed at </w:t>
      </w:r>
      <w:hyperlink r:id="rId5" w:anchor="institutional-investors" w:history="1">
        <w:r w:rsidRPr="00745DE5">
          <w:rPr>
            <w:rFonts w:ascii="Arial" w:eastAsia="Times New Roman" w:hAnsi="Arial" w:cs="Arial"/>
            <w:color w:val="0000FF"/>
            <w:sz w:val="16"/>
            <w:szCs w:val="16"/>
            <w:u w:val="single"/>
            <w:lang w:eastAsia="en-GB"/>
          </w:rPr>
          <w:t>http://group.barclays.com/about-barclays/investor-relations#institutional-investors</w:t>
        </w:r>
      </w:hyperlink>
      <w:r w:rsidRPr="00745DE5">
        <w:rPr>
          <w:rFonts w:ascii="Arial" w:eastAsia="Times New Roman" w:hAnsi="Arial" w:cs="Arial"/>
          <w:sz w:val="16"/>
          <w:szCs w:val="16"/>
          <w:lang w:eastAsia="en-GB"/>
        </w:rPr>
        <w:t>.</w:t>
      </w:r>
    </w:p>
    <w:p w:rsidR="00745DE5" w:rsidRPr="00745DE5" w:rsidRDefault="00745DE5" w:rsidP="00745DE5">
      <w:pPr>
        <w:spacing w:before="180" w:after="60" w:line="240" w:lineRule="auto"/>
        <w:jc w:val="both"/>
        <w:rPr>
          <w:rFonts w:ascii="Arial" w:eastAsia="Times New Roman" w:hAnsi="Arial" w:cs="Arial"/>
          <w:sz w:val="18"/>
          <w:szCs w:val="18"/>
          <w:lang w:eastAsia="en-GB"/>
        </w:rPr>
      </w:pPr>
      <w:r w:rsidRPr="00745DE5">
        <w:rPr>
          <w:rFonts w:ascii="Arial" w:eastAsia="Times New Roman" w:hAnsi="Arial" w:cs="Arial"/>
          <w:sz w:val="16"/>
          <w:szCs w:val="16"/>
          <w:lang w:eastAsia="en-GB"/>
        </w:rPr>
        <w:t>The financial information on which this Interim Management Statement is based, and other data set out in the appendices to this statement, are unaudited and have been prepared in accordance with Barclays previously stated accounting policies described in the 2011 Annual Report.</w:t>
      </w:r>
    </w:p>
    <w:p w:rsidR="00745DE5" w:rsidRPr="00745DE5" w:rsidRDefault="00745DE5" w:rsidP="00745DE5">
      <w:pPr>
        <w:spacing w:before="180" w:after="180" w:line="240" w:lineRule="auto"/>
        <w:jc w:val="both"/>
        <w:rPr>
          <w:rFonts w:ascii="Arial" w:eastAsia="Times New Roman" w:hAnsi="Arial" w:cs="Arial"/>
          <w:sz w:val="18"/>
          <w:szCs w:val="18"/>
          <w:lang w:eastAsia="en-GB"/>
        </w:rPr>
      </w:pPr>
      <w:r w:rsidRPr="00745DE5">
        <w:rPr>
          <w:rFonts w:ascii="Arial" w:eastAsia="Times New Roman" w:hAnsi="Arial" w:cs="Arial"/>
          <w:sz w:val="16"/>
          <w:szCs w:val="16"/>
          <w:lang w:eastAsia="en-GB"/>
        </w:rPr>
        <w:t>The information in this announcement, which was approved by the Board of Directors on 30 October 2012, does not comprise statutory accounts within the meaning of Section 434 of the Companies Act 2006. Statutory accounts for the year ended 31 December 2011, which included certain information required for the Joint Annual Report on Form 20-F of Barclays PLC and Barclays Bank PLC to the US Securities and Exchange Commission (SEC) and which contained an unqualified audit report under Section 495 of the Companies Act 2006 and which did not make any statements under Section 498 of the Companies Act 2006, have been delivered to the Registrar of Companies in accordance with Section 441 of the Companies Act 2006.</w:t>
      </w:r>
    </w:p>
    <w:p w:rsidR="00745DE5" w:rsidRPr="00745DE5" w:rsidRDefault="00745DE5" w:rsidP="00745DE5">
      <w:pPr>
        <w:spacing w:before="180" w:after="60" w:line="240" w:lineRule="auto"/>
        <w:jc w:val="both"/>
        <w:rPr>
          <w:rFonts w:ascii="Arial" w:eastAsia="Times New Roman" w:hAnsi="Arial" w:cs="Arial"/>
          <w:sz w:val="18"/>
          <w:szCs w:val="18"/>
          <w:lang w:eastAsia="en-GB"/>
        </w:rPr>
      </w:pPr>
      <w:r w:rsidRPr="00745DE5">
        <w:rPr>
          <w:rFonts w:ascii="Arial" w:eastAsia="Times New Roman" w:hAnsi="Arial" w:cs="Arial"/>
          <w:sz w:val="16"/>
          <w:szCs w:val="16"/>
          <w:lang w:eastAsia="en-GB"/>
        </w:rPr>
        <w:t>For qualifying US and Canadian resident ADR holders, the interim dividend of 1p per ordinary share becomes 4p per ADS (representing four shares). The ADR depositary will mail the interim dividend on 7 December 2012 to ADR holders on the record on 9 November 2012.</w:t>
      </w:r>
    </w:p>
    <w:p w:rsidR="00745DE5" w:rsidRPr="00745DE5" w:rsidRDefault="00745DE5" w:rsidP="00745DE5">
      <w:pPr>
        <w:spacing w:after="6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sz w:val="24"/>
          <w:szCs w:val="24"/>
          <w:lang w:eastAsia="en-GB"/>
        </w:rPr>
        <w:t>Forward-looking Statements</w:t>
      </w:r>
    </w:p>
    <w:p w:rsidR="00745DE5" w:rsidRPr="00745DE5" w:rsidRDefault="00745DE5" w:rsidP="00745DE5">
      <w:pPr>
        <w:spacing w:after="60" w:line="240" w:lineRule="auto"/>
        <w:jc w:val="both"/>
        <w:rPr>
          <w:rFonts w:ascii="Arial" w:eastAsia="Times New Roman" w:hAnsi="Arial" w:cs="Arial"/>
          <w:sz w:val="18"/>
          <w:szCs w:val="18"/>
          <w:lang w:eastAsia="en-GB"/>
        </w:rPr>
      </w:pPr>
      <w:r w:rsidRPr="00745DE5">
        <w:rPr>
          <w:rFonts w:ascii="Arial" w:eastAsia="Times New Roman" w:hAnsi="Arial" w:cs="Arial"/>
          <w:sz w:val="16"/>
          <w:szCs w:val="16"/>
          <w:lang w:eastAsia="en-GB"/>
        </w:rPr>
        <w:t>This document contains certain forward-looking statements within the meaning of Section 21E of the US Securities Exchange Act of 1934, as amended, and Section 27A of the US Securities Act of 1933, as amended, with respect to certain of the Group's 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These forward-looking statements can be identified by the fact that they do not relate only to historical or current facts. Forward-looking statements sometimes use words such as "may", "will", "seek", "continue", "aim", "anticipate", "target", "expect", "estimate", "intend", "plan", "goal", "believe" or other words of similar meaning. Examples of forward-looking statements include, among others, statements regarding the Group's future financial position, income growth, assets, impairment charges, business strategy, capital ratios, leverage, payment of dividends, projected levels of growth in the banking and financial markets, projected costs, estimates of capital expenditures and plans and objectives for future operations and other statements that are not historical fact. By their nature, forward-looking statements involve risk and uncertainty because they relate to future events and circumstances, including, but not limited to, UK domestic, Eurozone and global economic and business conditions, the effects of continued volatility in credit markets, market related risks such as changes in interest rates and exchange rates, effects of changes in valuation of credit market exposures, changes in valuation of issued notes, the policies and actions of governmental and regulatory authorities (including requirements regarding capital and Group structures and the potential for one or more countries exiting the Euro), changes in legislation, the further development of standards and interpretations under IFRS applicable to past, current and future periods, evolving practices with regard to the interpretation and application of standards under IFRS, the outcome of current and future legal proceedings, the success of future acquisitions and other strategic transactions and the impact of competition - a number of such factors being beyond the Group's control. As a result, the Group's actual future results may differ materially from the plans, goals, and expectations set forth in the Group's forward-looking statements.</w:t>
      </w:r>
    </w:p>
    <w:p w:rsidR="00745DE5" w:rsidRPr="00745DE5" w:rsidRDefault="00745DE5" w:rsidP="00745DE5">
      <w:pPr>
        <w:spacing w:line="240" w:lineRule="auto"/>
        <w:jc w:val="both"/>
        <w:rPr>
          <w:rFonts w:ascii="Arial" w:eastAsia="Times New Roman" w:hAnsi="Arial" w:cs="Arial"/>
          <w:sz w:val="18"/>
          <w:szCs w:val="18"/>
          <w:lang w:eastAsia="en-GB"/>
        </w:rPr>
      </w:pPr>
      <w:r w:rsidRPr="00745DE5">
        <w:rPr>
          <w:rFonts w:ascii="Arial" w:eastAsia="Times New Roman" w:hAnsi="Arial" w:cs="Arial"/>
          <w:sz w:val="16"/>
          <w:szCs w:val="16"/>
          <w:lang w:eastAsia="en-GB"/>
        </w:rPr>
        <w:t xml:space="preserve">Any forward-looking statements made herein speak only as of the date they are made. Except as required by the UK Financial Services Authority (FSA), the London Stock Exchange </w:t>
      </w:r>
      <w:proofErr w:type="spellStart"/>
      <w:r w:rsidRPr="00745DE5">
        <w:rPr>
          <w:rFonts w:ascii="Arial" w:eastAsia="Times New Roman" w:hAnsi="Arial" w:cs="Arial"/>
          <w:sz w:val="16"/>
          <w:szCs w:val="16"/>
          <w:lang w:eastAsia="en-GB"/>
        </w:rPr>
        <w:t>plc</w:t>
      </w:r>
      <w:proofErr w:type="spellEnd"/>
      <w:r w:rsidRPr="00745DE5">
        <w:rPr>
          <w:rFonts w:ascii="Arial" w:eastAsia="Times New Roman" w:hAnsi="Arial" w:cs="Arial"/>
          <w:sz w:val="16"/>
          <w:szCs w:val="16"/>
          <w:lang w:eastAsia="en-GB"/>
        </w:rPr>
        <w:t xml:space="preserve"> (LSE) or applicable law, Barclays expressly disclaims any obligation or undertaking to release publicly any updates or revisions to any forward-looking statements contained in this announcement to reflect any change in Barclays expectations with regard thereto or any change in events, conditions or circumstances on which any such statement is based. The reader should, however, consult any additional disclosures that Barclays has made or may make in documents it has filed or may file with the LSE and/or the SEC.</w:t>
      </w:r>
    </w:p>
    <w:p w:rsidR="00745DE5" w:rsidRDefault="00745DE5" w:rsidP="00745DE5">
      <w:pPr>
        <w:spacing w:before="100" w:beforeAutospacing="1" w:after="100" w:afterAutospacing="1" w:line="240" w:lineRule="auto"/>
        <w:rPr>
          <w:rFonts w:ascii="Arial" w:eastAsia="Times New Roman" w:hAnsi="Arial" w:cs="Arial"/>
          <w:sz w:val="2"/>
          <w:szCs w:val="2"/>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sz w:val="24"/>
          <w:szCs w:val="24"/>
          <w:lang w:eastAsia="en-GB"/>
        </w:rPr>
      </w:pPr>
    </w:p>
    <w:p w:rsidR="00745DE5" w:rsidRPr="00745DE5" w:rsidRDefault="00745DE5" w:rsidP="00745DE5">
      <w:pPr>
        <w:spacing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Performance Highlights</w:t>
      </w:r>
    </w:p>
    <w:p w:rsidR="00745DE5" w:rsidRPr="00745DE5" w:rsidRDefault="00745DE5" w:rsidP="00745DE5">
      <w:pPr>
        <w:spacing w:after="180" w:line="240" w:lineRule="auto"/>
        <w:jc w:val="both"/>
        <w:rPr>
          <w:rFonts w:ascii="Arial" w:eastAsia="Times New Roman" w:hAnsi="Arial" w:cs="Arial"/>
          <w:b/>
          <w:bCs/>
          <w:i/>
          <w:iCs/>
          <w:color w:val="000000"/>
          <w:sz w:val="24"/>
          <w:szCs w:val="24"/>
          <w:lang w:eastAsia="en-GB"/>
        </w:rPr>
      </w:pPr>
      <w:r w:rsidRPr="00745DE5">
        <w:rPr>
          <w:rFonts w:ascii="Arial" w:eastAsia="Times New Roman" w:hAnsi="Arial" w:cs="Arial"/>
          <w:i/>
          <w:iCs/>
          <w:sz w:val="18"/>
          <w:szCs w:val="18"/>
          <w:lang w:eastAsia="en-GB"/>
        </w:rPr>
        <w:lastRenderedPageBreak/>
        <w:t xml:space="preserve">"These results demonstrate that we continue to have good momentum in our businesses despite the difficulties we faced through this period. While we have much to do to restore trust among stakeholders, our universal banking franchise remains strong and well positioned. I am proud of how our colleagues have continued to focus on delivering for our customers and clients, and am grateful for our customers' and clients' continued loyalty to Barclays.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18"/>
          <w:szCs w:val="18"/>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18"/>
          <w:szCs w:val="18"/>
          <w:lang w:eastAsia="en-GB"/>
        </w:rPr>
        <w:t>We look forward to closing out 2012 in a strong position, and to sharing more with you in February 2013 about how we intend to make Barclays the 'Go-To' bank for all of our stakeholders."</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18"/>
          <w:szCs w:val="18"/>
          <w:lang w:eastAsia="en-GB"/>
        </w:rPr>
        <w:t> </w:t>
      </w:r>
    </w:p>
    <w:p w:rsidR="00745DE5" w:rsidRPr="00745DE5" w:rsidRDefault="00745DE5" w:rsidP="00745DE5">
      <w:pPr>
        <w:spacing w:before="180" w:after="180" w:line="240" w:lineRule="auto"/>
        <w:jc w:val="both"/>
        <w:rPr>
          <w:rFonts w:ascii="Arial" w:eastAsia="Times New Roman" w:hAnsi="Arial" w:cs="Arial"/>
          <w:b/>
          <w:bCs/>
          <w:sz w:val="18"/>
          <w:szCs w:val="18"/>
          <w:lang w:eastAsia="en-GB"/>
        </w:rPr>
      </w:pPr>
      <w:r w:rsidRPr="00745DE5">
        <w:rPr>
          <w:rFonts w:ascii="Arial" w:eastAsia="Times New Roman" w:hAnsi="Arial" w:cs="Arial"/>
          <w:b/>
          <w:bCs/>
          <w:sz w:val="18"/>
          <w:szCs w:val="18"/>
          <w:lang w:eastAsia="en-GB"/>
        </w:rPr>
        <w:t>Antony Jenkins, Chief Executive</w:t>
      </w:r>
    </w:p>
    <w:p w:rsidR="00745DE5" w:rsidRPr="00745DE5" w:rsidRDefault="00745DE5" w:rsidP="00745DE5">
      <w:pPr>
        <w:spacing w:after="0" w:line="240" w:lineRule="auto"/>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w:t>
      </w:r>
    </w:p>
    <w:p w:rsidR="00745DE5" w:rsidRPr="00745DE5" w:rsidRDefault="00745DE5" w:rsidP="00745DE5">
      <w:pPr>
        <w:spacing w:after="3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profit before tax up 18% to £5,954m for the nine months ended 30 September 2012, with an improvement of 27% in Corporate and Investment Banking</w:t>
      </w:r>
    </w:p>
    <w:p w:rsidR="00745DE5" w:rsidRPr="00745DE5" w:rsidRDefault="00745DE5" w:rsidP="00745DE5">
      <w:pPr>
        <w:spacing w:after="3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Statutory profit before tax down 86% to £712m, including an own credit charge of £4,019m (2011: gain of £2,971m), gain on disposal of </w:t>
      </w:r>
      <w:proofErr w:type="spellStart"/>
      <w:r w:rsidRPr="00745DE5">
        <w:rPr>
          <w:rFonts w:ascii="Arial" w:eastAsia="Times New Roman" w:hAnsi="Arial" w:cs="Arial"/>
          <w:sz w:val="18"/>
          <w:szCs w:val="18"/>
          <w:lang w:eastAsia="en-GB"/>
        </w:rPr>
        <w:t>BlackRock</w:t>
      </w:r>
      <w:proofErr w:type="spellEnd"/>
      <w:r w:rsidRPr="00745DE5">
        <w:rPr>
          <w:rFonts w:ascii="Arial" w:eastAsia="Times New Roman" w:hAnsi="Arial" w:cs="Arial"/>
          <w:sz w:val="18"/>
          <w:szCs w:val="18"/>
          <w:lang w:eastAsia="en-GB"/>
        </w:rPr>
        <w:t xml:space="preserve"> investment of £227m (2011: impairment/loss of £1,858m) and a £1,000m (2011: £1,000m) provision for Payment Protection Insurance (PPI) redress, of which £700m was recognised in Q3</w:t>
      </w:r>
    </w:p>
    <w:p w:rsidR="00745DE5" w:rsidRPr="00745DE5" w:rsidRDefault="00745DE5" w:rsidP="00745DE5">
      <w:pPr>
        <w:spacing w:after="3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return on average shareholders' equity increased to 8.8% (2011: 8.4%) with improvements in the majority of our businesses. Statutory return on average shareholders' equity was negative 0.5% (2011: positive 6.9%)</w:t>
      </w:r>
    </w:p>
    <w:p w:rsidR="00745DE5" w:rsidRPr="00745DE5" w:rsidRDefault="00745DE5" w:rsidP="00745DE5">
      <w:pPr>
        <w:spacing w:after="3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income is in line with prior year at £22,347m despite challenging economic conditions, the continuing low interest rate environment and non recurrence of gains from the disposal of hedging instruments in Q3 11</w:t>
      </w:r>
    </w:p>
    <w:p w:rsidR="00745DE5" w:rsidRPr="00745DE5" w:rsidRDefault="00745DE5" w:rsidP="00745DE5">
      <w:pPr>
        <w:spacing w:after="3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Investment Bank income improved 7% to £9,129m. Q3 12 Investment Bank income was £2,633m, up 17% on Q3 11 but down 13% on the strong Q2 12 performance</w:t>
      </w:r>
    </w:p>
    <w:p w:rsidR="00745DE5" w:rsidRPr="00745DE5" w:rsidRDefault="00745DE5" w:rsidP="00745DE5">
      <w:pPr>
        <w:spacing w:after="3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Credit impairment charges were down 7% at £2,657m, principally reflecting improvements in the UK businesses, offset by higher charges in the Investment Bank and the RBB businesses in Europe and Africa</w:t>
      </w:r>
    </w:p>
    <w:p w:rsidR="00745DE5" w:rsidRPr="00745DE5" w:rsidRDefault="00745DE5" w:rsidP="00745DE5">
      <w:pPr>
        <w:spacing w:after="3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Operating expenses, excluding the £1,000m (2011: £1,000m) provision for PPI redress and £450m (2011: nil) provision for interest rate hedging products redress, were down 4% to £13,832m. Non-performance costs reduced 3% to £11,837m and performance costs reduced 9% to £1,995m</w:t>
      </w:r>
    </w:p>
    <w:p w:rsidR="00745DE5" w:rsidRPr="00745DE5" w:rsidRDefault="00745DE5" w:rsidP="00745DE5">
      <w:pPr>
        <w:spacing w:after="3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During Q3 12, sovereign exposures to Spain, Italy, Portugal, Ireland, Greece and Cyprus reduced 15% to £4.8bn. The Group reduced local Euro funding mismatches in Spain by £2.4bn to £0.1bn and in Portugal by £0.4bn to £3.3bn</w:t>
      </w:r>
    </w:p>
    <w:p w:rsidR="00745DE5" w:rsidRPr="00745DE5" w:rsidRDefault="00745DE5" w:rsidP="00745DE5">
      <w:pPr>
        <w:spacing w:after="3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Core Tier 1 ratio strengthened to 11.2% in Q3 12 (30 June 2012: 10.9%). Risk weighted assets reduced 3% to £379bn, principally reflecting risk reduction in Corporate and Investment Banking and foreign exchange movements, partially offset by a change in methodology on loss given default for sovereign exposures</w:t>
      </w:r>
    </w:p>
    <w:p w:rsidR="00745DE5" w:rsidRPr="00745DE5" w:rsidRDefault="00745DE5" w:rsidP="00745DE5">
      <w:pPr>
        <w:spacing w:after="3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The Group continues to access both secured and unsecured term funding markets and has met its term funding needs for 2012 having raised £22bn of term funding in the first nine months of 2012, including £1bn through Barclays participation in the Bank of England's Funding for Lending Scheme</w:t>
      </w:r>
    </w:p>
    <w:p w:rsidR="00745DE5" w:rsidRPr="00745DE5" w:rsidRDefault="00745DE5" w:rsidP="00745DE5">
      <w:pPr>
        <w:spacing w:after="3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The liquidity pool was £160bn (30 June 2012: £170bn), remaining well above our liquidity risk appetite and within the month end range of £152bn to £173bn for the year to date (Full Year 2011: £140bn to £167bn)</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Performance Highlights</w:t>
      </w:r>
    </w:p>
    <w:tbl>
      <w:tblPr>
        <w:tblW w:w="0" w:type="auto"/>
        <w:tblInd w:w="-36" w:type="dxa"/>
        <w:tblCellMar>
          <w:left w:w="0" w:type="dxa"/>
          <w:right w:w="0" w:type="dxa"/>
        </w:tblCellMar>
        <w:tblLook w:val="04A0" w:firstRow="1" w:lastRow="0" w:firstColumn="1" w:lastColumn="0" w:noHBand="0" w:noVBand="1"/>
      </w:tblPr>
      <w:tblGrid>
        <w:gridCol w:w="3556"/>
        <w:gridCol w:w="2737"/>
        <w:gridCol w:w="105"/>
        <w:gridCol w:w="2736"/>
      </w:tblGrid>
      <w:tr w:rsidR="00745DE5" w:rsidRPr="00745DE5" w:rsidTr="00745DE5">
        <w:trPr>
          <w:trHeight w:val="240"/>
        </w:trPr>
        <w:tc>
          <w:tcPr>
            <w:tcW w:w="364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lastRenderedPageBreak/>
              <w:t xml:space="preserve">Barclays Unaudited Results </w:t>
            </w:r>
            <w:r w:rsidRPr="00745DE5">
              <w:rPr>
                <w:rFonts w:ascii="Arial" w:eastAsia="Times New Roman" w:hAnsi="Arial" w:cs="Arial"/>
                <w:b/>
                <w:bCs/>
                <w:sz w:val="16"/>
                <w:szCs w:val="16"/>
                <w:vertAlign w:val="superscript"/>
                <w:lang w:eastAsia="en-GB"/>
              </w:rPr>
              <w:t> </w:t>
            </w:r>
          </w:p>
        </w:tc>
        <w:tc>
          <w:tcPr>
            <w:tcW w:w="280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Adjusted</w:t>
            </w:r>
            <w:r w:rsidRPr="00745DE5">
              <w:rPr>
                <w:rFonts w:ascii="Arial" w:eastAsia="Times New Roman" w:hAnsi="Arial" w:cs="Arial"/>
                <w:b/>
                <w:bCs/>
                <w:sz w:val="13"/>
                <w:szCs w:val="13"/>
                <w:vertAlign w:val="superscript"/>
                <w:lang w:eastAsia="en-GB"/>
              </w:rPr>
              <w:t>1</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vertAlign w:val="superscript"/>
                <w:lang w:eastAsia="en-GB"/>
              </w:rPr>
              <w:t> </w:t>
            </w:r>
          </w:p>
        </w:tc>
        <w:tc>
          <w:tcPr>
            <w:tcW w:w="280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Statutory</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645"/>
        <w:gridCol w:w="885"/>
        <w:gridCol w:w="885"/>
        <w:gridCol w:w="885"/>
        <w:gridCol w:w="105"/>
        <w:gridCol w:w="885"/>
        <w:gridCol w:w="885"/>
        <w:gridCol w:w="885"/>
      </w:tblGrid>
      <w:tr w:rsidR="00745DE5" w:rsidRPr="00745DE5" w:rsidTr="00745DE5">
        <w:trPr>
          <w:trHeight w:val="240"/>
        </w:trPr>
        <w:tc>
          <w:tcPr>
            <w:tcW w:w="364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for the nine months ended</w:t>
            </w:r>
            <w:r w:rsidRPr="00745DE5">
              <w:rPr>
                <w:rFonts w:ascii="Arial" w:eastAsia="Times New Roman" w:hAnsi="Arial" w:cs="Arial"/>
                <w:b/>
                <w:bCs/>
                <w:sz w:val="16"/>
                <w:szCs w:val="16"/>
                <w:vertAlign w:val="superscript"/>
                <w:lang w:eastAsia="en-GB"/>
              </w:rPr>
              <w:t xml:space="preserve">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Change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Change</w:t>
            </w:r>
          </w:p>
        </w:tc>
      </w:tr>
      <w:tr w:rsidR="00745DE5" w:rsidRPr="00745DE5" w:rsidTr="00745DE5">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22,347 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22,300 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18,555 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25,213 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w:t>
            </w:r>
          </w:p>
        </w:tc>
      </w:tr>
      <w:tr w:rsidR="00745DE5" w:rsidRPr="00745DE5" w:rsidTr="00745DE5">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Impairment charges and other provisions </w:t>
            </w:r>
            <w:r w:rsidRPr="00745DE5">
              <w:rPr>
                <w:rFonts w:ascii="Arial" w:eastAsia="Times New Roman" w:hAnsi="Arial" w:cs="Arial"/>
                <w:sz w:val="13"/>
                <w:szCs w:val="13"/>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(2,657)</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(2,851)</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(7)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(2,657)</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(4,651)</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(43)</w:t>
            </w:r>
          </w:p>
        </w:tc>
      </w:tr>
      <w:tr w:rsidR="00745DE5" w:rsidRPr="00745DE5" w:rsidTr="00745DE5">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Net operating income </w:t>
            </w:r>
            <w:r w:rsidRPr="00745DE5">
              <w:rPr>
                <w:rFonts w:ascii="Arial" w:eastAsia="Times New Roman" w:hAnsi="Arial" w:cs="Arial"/>
                <w:sz w:val="16"/>
                <w:szCs w:val="16"/>
                <w:vertAlign w:val="superscript"/>
                <w:lang w:eastAsia="en-GB"/>
              </w:rPr>
              <w:t>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19,690 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19,449 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1 </w:t>
            </w:r>
            <w:r w:rsidRPr="00745DE5">
              <w:rPr>
                <w:rFonts w:ascii="Arial" w:eastAsia="Times New Roman" w:hAnsi="Arial" w:cs="Arial"/>
                <w:sz w:val="16"/>
                <w:szCs w:val="16"/>
                <w:vertAlign w:val="superscript"/>
                <w:lang w:eastAsia="en-GB"/>
              </w:rPr>
              <w:t xml:space="preserve">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15,898 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20,562 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(23)</w:t>
            </w: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(13,832)</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(14,441)</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(4)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(15,282)</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(15,488)</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r>
      <w:tr w:rsidR="00745DE5" w:rsidRPr="00745DE5" w:rsidTr="00745DE5">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 net income/(expense)</w:t>
            </w:r>
            <w:r w:rsidRPr="00745DE5">
              <w:rPr>
                <w:rFonts w:ascii="Arial" w:eastAsia="Times New Roman" w:hAnsi="Arial" w:cs="Arial"/>
                <w:sz w:val="13"/>
                <w:szCs w:val="13"/>
                <w:vertAlign w:val="superscript"/>
                <w:lang w:eastAsia="en-GB"/>
              </w:rPr>
              <w:t>2 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96 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54 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96 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Profit before tax </w:t>
            </w:r>
            <w:r w:rsidRPr="00745DE5">
              <w:rPr>
                <w:rFonts w:ascii="Arial" w:eastAsia="Times New Roman" w:hAnsi="Arial" w:cs="Arial"/>
                <w:sz w:val="16"/>
                <w:szCs w:val="16"/>
                <w:vertAlign w:val="superscript"/>
                <w:lang w:eastAsia="en-GB"/>
              </w:rPr>
              <w:t>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5,954 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5,062 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18 </w:t>
            </w:r>
            <w:r w:rsidRPr="00745DE5">
              <w:rPr>
                <w:rFonts w:ascii="Arial" w:eastAsia="Times New Roman" w:hAnsi="Arial" w:cs="Arial"/>
                <w:sz w:val="16"/>
                <w:szCs w:val="16"/>
                <w:vertAlign w:val="superscript"/>
                <w:lang w:eastAsia="en-GB"/>
              </w:rPr>
              <w:t xml:space="preserve">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712 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5,066 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(86)</w:t>
            </w: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Profit after tax  </w:t>
            </w:r>
            <w:r w:rsidRPr="00745DE5">
              <w:rPr>
                <w:rFonts w:ascii="Arial" w:eastAsia="Times New Roman" w:hAnsi="Arial" w:cs="Arial"/>
                <w:sz w:val="13"/>
                <w:szCs w:val="13"/>
                <w:vertAlign w:val="superscript"/>
                <w:lang w:eastAsia="en-GB"/>
              </w:rPr>
              <w:t>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4,167 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3,868 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8 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374 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3,349 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(89)</w:t>
            </w: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3"/>
                <w:szCs w:val="13"/>
                <w:vertAlign w:val="superscript"/>
                <w:lang w:eastAsia="en-GB"/>
              </w:rPr>
              <w:t>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85"/>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Performance Measures</w:t>
            </w:r>
            <w:r w:rsidRPr="00745DE5">
              <w:rPr>
                <w:rFonts w:ascii="Arial" w:eastAsia="Times New Roman" w:hAnsi="Arial" w:cs="Arial"/>
                <w:b/>
                <w:bCs/>
                <w:sz w:val="16"/>
                <w:szCs w:val="16"/>
                <w:vertAlign w:val="superscript"/>
                <w:lang w:eastAsia="en-GB"/>
              </w:rPr>
              <w:t xml:space="preserve">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shareholders' equity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8.8%</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8.4%</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(0.5%)</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6.9%</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tangible shareholders' equity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10.3%</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10.1%</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(0.6%)</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8.3%</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risk weighted assets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0.1%</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Cost: income ratio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62%</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65%</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82%</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61%</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 loss rate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69bps</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74bps</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69bps</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74bps</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Basic earnings per share </w:t>
            </w:r>
            <w:r w:rsidRPr="00745DE5">
              <w:rPr>
                <w:rFonts w:ascii="Arial" w:eastAsia="Times New Roman" w:hAnsi="Arial" w:cs="Arial"/>
                <w:b/>
                <w:bCs/>
                <w:sz w:val="13"/>
                <w:szCs w:val="13"/>
                <w:vertAlign w:val="superscript"/>
                <w:lang w:eastAsia="en-GB"/>
              </w:rPr>
              <w:t>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29.3p</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26.5p</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(1.7p)</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22.2p</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Dividend per share </w:t>
            </w:r>
            <w:r w:rsidRPr="00745DE5">
              <w:rPr>
                <w:rFonts w:ascii="Arial" w:eastAsia="Times New Roman" w:hAnsi="Arial" w:cs="Arial"/>
                <w:b/>
                <w:bCs/>
                <w:sz w:val="13"/>
                <w:szCs w:val="13"/>
                <w:vertAlign w:val="superscript"/>
                <w:lang w:eastAsia="en-GB"/>
              </w:rPr>
              <w:t>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3.0p</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3.0p</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3.0p</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3.0p</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w:t>
            </w:r>
            <w:r w:rsidRPr="00745DE5">
              <w:rPr>
                <w:rFonts w:ascii="Arial" w:eastAsia="Times New Roman" w:hAnsi="Arial" w:cs="Arial"/>
                <w:sz w:val="13"/>
                <w:szCs w:val="13"/>
                <w:vertAlign w:val="superscript"/>
                <w:lang w:eastAsia="en-GB"/>
              </w:rPr>
              <w:t>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85"/>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 xml:space="preserve">Capital and Balance Sheet </w:t>
            </w:r>
            <w:r w:rsidRPr="00745DE5">
              <w:rPr>
                <w:rFonts w:ascii="Arial" w:eastAsia="Times New Roman" w:hAnsi="Arial" w:cs="Arial"/>
                <w:b/>
                <w:bCs/>
                <w:sz w:val="16"/>
                <w:szCs w:val="16"/>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Change</w:t>
            </w:r>
          </w:p>
        </w:tc>
      </w:tr>
      <w:tr w:rsidR="00745DE5" w:rsidRPr="00745DE5" w:rsidTr="00745DE5">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Core Tier 1 ratio </w:t>
            </w:r>
            <w:r w:rsidRPr="00745DE5">
              <w:rPr>
                <w:rFonts w:ascii="Arial" w:eastAsia="Times New Roman" w:hAnsi="Arial" w:cs="Arial"/>
                <w:sz w:val="13"/>
                <w:szCs w:val="13"/>
                <w:vertAlign w:val="superscript"/>
                <w:lang w:eastAsia="en-GB"/>
              </w:rPr>
              <w:t>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11.2%</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10.9%</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Risk weighted assets </w:t>
            </w:r>
            <w:r w:rsidRPr="00745DE5">
              <w:rPr>
                <w:rFonts w:ascii="Arial" w:eastAsia="Times New Roman" w:hAnsi="Arial" w:cs="Arial"/>
                <w:sz w:val="13"/>
                <w:szCs w:val="13"/>
                <w:vertAlign w:val="superscript"/>
                <w:lang w:eastAsia="en-GB"/>
              </w:rPr>
              <w:t>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£379bn</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£390bn</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w:t>
            </w: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gross leverage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20x</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20x</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Group liquidity pool </w:t>
            </w:r>
            <w:r w:rsidRPr="00745DE5">
              <w:rPr>
                <w:rFonts w:ascii="Arial" w:eastAsia="Times New Roman" w:hAnsi="Arial" w:cs="Arial"/>
                <w:sz w:val="13"/>
                <w:szCs w:val="13"/>
                <w:vertAlign w:val="superscript"/>
                <w:lang w:eastAsia="en-GB"/>
              </w:rPr>
              <w:t>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£160bn</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£170bn</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w:t>
            </w: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Net asset value per share </w:t>
            </w:r>
            <w:r w:rsidRPr="00745DE5">
              <w:rPr>
                <w:rFonts w:ascii="Arial" w:eastAsia="Times New Roman" w:hAnsi="Arial" w:cs="Arial"/>
                <w:sz w:val="13"/>
                <w:szCs w:val="13"/>
                <w:vertAlign w:val="superscript"/>
                <w:lang w:eastAsia="en-GB"/>
              </w:rPr>
              <w:t>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444p</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443p</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Net tangible asset value per share </w:t>
            </w:r>
            <w:r w:rsidRPr="00745DE5">
              <w:rPr>
                <w:rFonts w:ascii="Arial" w:eastAsia="Times New Roman" w:hAnsi="Arial" w:cs="Arial"/>
                <w:sz w:val="13"/>
                <w:szCs w:val="13"/>
                <w:vertAlign w:val="superscript"/>
                <w:lang w:eastAsia="en-GB"/>
              </w:rPr>
              <w:t>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379p</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379p</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 deposit ratio </w:t>
            </w:r>
            <w:r w:rsidRPr="00745DE5">
              <w:rPr>
                <w:rFonts w:ascii="Arial" w:eastAsia="Times New Roman" w:hAnsi="Arial" w:cs="Arial"/>
                <w:sz w:val="13"/>
                <w:szCs w:val="13"/>
                <w:vertAlign w:val="superscript"/>
                <w:lang w:eastAsia="en-GB"/>
              </w:rPr>
              <w:t>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111%</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111%</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539"/>
        <w:gridCol w:w="2745"/>
        <w:gridCol w:w="105"/>
        <w:gridCol w:w="2745"/>
      </w:tblGrid>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28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Adjusted</w:t>
            </w:r>
            <w:r w:rsidRPr="00745DE5">
              <w:rPr>
                <w:rFonts w:ascii="Arial" w:eastAsia="Times New Roman" w:hAnsi="Arial" w:cs="Arial"/>
                <w:b/>
                <w:bCs/>
                <w:sz w:val="13"/>
                <w:szCs w:val="13"/>
                <w:vertAlign w:val="superscript"/>
                <w:lang w:eastAsia="en-GB"/>
              </w:rPr>
              <w:t>1</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vertAlign w:val="superscript"/>
                <w:lang w:eastAsia="en-GB"/>
              </w:rPr>
              <w:t> </w:t>
            </w:r>
          </w:p>
        </w:tc>
        <w:tc>
          <w:tcPr>
            <w:tcW w:w="28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Statutory</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645"/>
        <w:gridCol w:w="885"/>
        <w:gridCol w:w="885"/>
        <w:gridCol w:w="885"/>
        <w:gridCol w:w="105"/>
        <w:gridCol w:w="885"/>
        <w:gridCol w:w="885"/>
        <w:gridCol w:w="885"/>
      </w:tblGrid>
      <w:tr w:rsidR="00745DE5" w:rsidRPr="00745DE5" w:rsidTr="00745DE5">
        <w:trPr>
          <w:trHeight w:val="240"/>
        </w:trPr>
        <w:tc>
          <w:tcPr>
            <w:tcW w:w="364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0"/>
                <w:szCs w:val="20"/>
                <w:lang w:eastAsia="en-GB"/>
              </w:rPr>
              <w:t>Profit/(Loss) Before Tax by Business</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Change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Change</w:t>
            </w:r>
          </w:p>
        </w:tc>
      </w:tr>
      <w:tr w:rsidR="00745DE5" w:rsidRPr="00745DE5" w:rsidTr="00745DE5">
        <w:trPr>
          <w:trHeight w:val="255"/>
        </w:trPr>
        <w:tc>
          <w:tcPr>
            <w:tcW w:w="3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UK</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1,146 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1,198 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(4)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296 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798 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(63)</w:t>
            </w:r>
          </w:p>
        </w:tc>
      </w:tr>
      <w:tr w:rsidR="00745DE5" w:rsidRPr="00745DE5" w:rsidTr="00745DE5">
        <w:trPr>
          <w:trHeight w:val="255"/>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Europe</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(151)</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(109)</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39 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(151)</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(109)</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39 </w:t>
            </w:r>
          </w:p>
        </w:tc>
      </w:tr>
      <w:tr w:rsidR="00745DE5" w:rsidRPr="00745DE5" w:rsidTr="00745DE5">
        <w:trPr>
          <w:trHeight w:val="255"/>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Africa</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330 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561 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(41)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330 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563 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(41)</w:t>
            </w:r>
          </w:p>
        </w:tc>
      </w:tr>
      <w:tr w:rsidR="00745DE5" w:rsidRPr="00745DE5" w:rsidTr="00745DE5">
        <w:trPr>
          <w:trHeight w:val="255"/>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Barclaycard</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1,150 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949 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21 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1,000 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302 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231 </w:t>
            </w:r>
          </w:p>
        </w:tc>
      </w:tr>
      <w:tr w:rsidR="00745DE5" w:rsidRPr="00745DE5" w:rsidTr="00745DE5">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Retail and Business Banking</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2,475 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2,599 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(5)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1,475 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1,554 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w:t>
            </w: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Investment Bank</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3,205 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2,698 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19 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3,205 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2,698 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19 </w:t>
            </w:r>
          </w:p>
        </w:tc>
      </w:tr>
      <w:tr w:rsidR="00745DE5" w:rsidRPr="00745DE5" w:rsidTr="00745DE5">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 Banking</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444 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167 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166 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103 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Corporate and Investment Banking</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3,649 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2,865 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27 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3,199 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2,801 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14 </w:t>
            </w:r>
          </w:p>
        </w:tc>
      </w:tr>
      <w:tr w:rsidR="00745DE5" w:rsidRPr="00745DE5" w:rsidTr="00745DE5">
        <w:trPr>
          <w:trHeight w:val="240"/>
        </w:trPr>
        <w:tc>
          <w:tcPr>
            <w:tcW w:w="36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Wealth and Investment Management</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200 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153 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31 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200 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153 </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31 </w:t>
            </w:r>
          </w:p>
        </w:tc>
      </w:tr>
      <w:tr w:rsidR="00745DE5" w:rsidRPr="00745DE5" w:rsidTr="00745DE5">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Head Office and Other Operations</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(370)</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(555)</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(33)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(4,162)</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558 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 profit before tax</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5,954 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5,062 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18 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712 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5,066 </w:t>
            </w: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(86)</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r w:rsidRPr="00745DE5">
        <w:rPr>
          <w:rFonts w:ascii="Arial" w:eastAsia="Times New Roman" w:hAnsi="Arial" w:cs="Arial"/>
          <w:sz w:val="14"/>
          <w:szCs w:val="14"/>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284" w:hanging="284"/>
        <w:jc w:val="both"/>
        <w:rPr>
          <w:rFonts w:ascii="Times New Roman" w:eastAsia="Times New Roman" w:hAnsi="Times New Roman"/>
          <w:sz w:val="24"/>
          <w:szCs w:val="24"/>
          <w:lang w:eastAsia="en-GB"/>
        </w:rPr>
      </w:pPr>
      <w:r>
        <w:rPr>
          <w:rFonts w:ascii="Arial" w:eastAsia="Times New Roman" w:hAnsi="Arial" w:cs="Arial"/>
          <w:i/>
          <w:iCs/>
          <w:sz w:val="14"/>
          <w:szCs w:val="14"/>
          <w:lang w:eastAsia="en-GB"/>
        </w:rPr>
        <w:t>1     </w:t>
      </w:r>
      <w:r w:rsidRPr="00745DE5">
        <w:rPr>
          <w:rFonts w:ascii="Arial" w:eastAsia="Times New Roman" w:hAnsi="Arial" w:cs="Arial"/>
          <w:i/>
          <w:iCs/>
          <w:sz w:val="14"/>
          <w:szCs w:val="14"/>
          <w:lang w:eastAsia="en-GB"/>
        </w:rPr>
        <w:t xml:space="preserve"> Adjusted performance measures and profit before tax exclude the impact of an own credit charge of £4,019m (2011: gain of £2,971m), gain on disposal of strategic investment in </w:t>
      </w:r>
      <w:proofErr w:type="spellStart"/>
      <w:r w:rsidRPr="00745DE5">
        <w:rPr>
          <w:rFonts w:ascii="Arial" w:eastAsia="Times New Roman" w:hAnsi="Arial" w:cs="Arial"/>
          <w:i/>
          <w:iCs/>
          <w:sz w:val="14"/>
          <w:szCs w:val="14"/>
          <w:lang w:eastAsia="en-GB"/>
        </w:rPr>
        <w:t>BlackRock</w:t>
      </w:r>
      <w:proofErr w:type="spellEnd"/>
      <w:r w:rsidRPr="00745DE5">
        <w:rPr>
          <w:rFonts w:ascii="Arial" w:eastAsia="Times New Roman" w:hAnsi="Arial" w:cs="Arial"/>
          <w:i/>
          <w:iCs/>
          <w:sz w:val="14"/>
          <w:szCs w:val="14"/>
          <w:lang w:eastAsia="en-GB"/>
        </w:rPr>
        <w:t xml:space="preserve">, Inc. of £227m (2011: loss of £58m), impairment of investment in </w:t>
      </w:r>
      <w:proofErr w:type="spellStart"/>
      <w:r w:rsidRPr="00745DE5">
        <w:rPr>
          <w:rFonts w:ascii="Arial" w:eastAsia="Times New Roman" w:hAnsi="Arial" w:cs="Arial"/>
          <w:i/>
          <w:iCs/>
          <w:sz w:val="14"/>
          <w:szCs w:val="14"/>
          <w:lang w:eastAsia="en-GB"/>
        </w:rPr>
        <w:t>BlackRock</w:t>
      </w:r>
      <w:proofErr w:type="spellEnd"/>
      <w:r w:rsidRPr="00745DE5">
        <w:rPr>
          <w:rFonts w:ascii="Arial" w:eastAsia="Times New Roman" w:hAnsi="Arial" w:cs="Arial"/>
          <w:i/>
          <w:iCs/>
          <w:sz w:val="14"/>
          <w:szCs w:val="14"/>
          <w:lang w:eastAsia="en-GB"/>
        </w:rPr>
        <w:t xml:space="preserve"> Inc. of £nil (2011: £1,800m), provision for PPI redress of £1,000m (2011: £1,000m), provision for interest rate hedging products redress of £450m (2011: £nil), gains on acquisitions and disposals of £nil (2011: loss of £62m) and goodwill impairment of £nil (2011: £47m). </w:t>
      </w:r>
    </w:p>
    <w:p w:rsidR="00745DE5" w:rsidRPr="00745DE5" w:rsidRDefault="00745DE5" w:rsidP="00745DE5">
      <w:pPr>
        <w:spacing w:before="20" w:line="240" w:lineRule="auto"/>
        <w:ind w:left="284" w:hanging="284"/>
        <w:jc w:val="both"/>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2    </w:t>
      </w:r>
      <w:r>
        <w:rPr>
          <w:rFonts w:ascii="Arial" w:eastAsia="Times New Roman" w:hAnsi="Arial" w:cs="Arial"/>
          <w:i/>
          <w:iCs/>
          <w:sz w:val="14"/>
          <w:szCs w:val="14"/>
          <w:lang w:eastAsia="en-GB"/>
        </w:rPr>
        <w:t xml:space="preserve"> </w:t>
      </w:r>
      <w:r w:rsidRPr="00745DE5">
        <w:rPr>
          <w:rFonts w:ascii="Arial" w:eastAsia="Times New Roman" w:hAnsi="Arial" w:cs="Arial"/>
          <w:i/>
          <w:iCs/>
          <w:sz w:val="14"/>
          <w:szCs w:val="14"/>
          <w:lang w:eastAsia="en-GB"/>
        </w:rPr>
        <w:t>Comprises: share of post-tax results of associates and joint ventures; profit or loss on disposal of subsidiaries, associates and joint ventures; and gains on acquisitions.</w:t>
      </w:r>
    </w:p>
    <w:p w:rsidR="00745DE5" w:rsidRDefault="00745DE5" w:rsidP="00745DE5">
      <w:pPr>
        <w:spacing w:before="100" w:beforeAutospacing="1" w:after="100" w:afterAutospacing="1" w:line="240" w:lineRule="auto"/>
        <w:rPr>
          <w:rFonts w:ascii="Arial" w:eastAsia="Times New Roman" w:hAnsi="Arial" w:cs="Arial"/>
          <w:sz w:val="2"/>
          <w:szCs w:val="2"/>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lastRenderedPageBreak/>
        <w:t>Barclays Results by Quarter</w:t>
      </w:r>
    </w:p>
    <w:tbl>
      <w:tblPr>
        <w:tblW w:w="0" w:type="auto"/>
        <w:tblInd w:w="-36" w:type="dxa"/>
        <w:tblCellMar>
          <w:left w:w="0" w:type="dxa"/>
          <w:right w:w="0" w:type="dxa"/>
        </w:tblCellMar>
        <w:tblLook w:val="04A0" w:firstRow="1" w:lastRow="0" w:firstColumn="1" w:lastColumn="0" w:noHBand="0" w:noVBand="1"/>
      </w:tblPr>
      <w:tblGrid>
        <w:gridCol w:w="4425"/>
        <w:gridCol w:w="645"/>
        <w:gridCol w:w="645"/>
        <w:gridCol w:w="645"/>
        <w:gridCol w:w="78"/>
        <w:gridCol w:w="645"/>
        <w:gridCol w:w="645"/>
        <w:gridCol w:w="645"/>
        <w:gridCol w:w="645"/>
      </w:tblGrid>
      <w:tr w:rsidR="00745DE5" w:rsidRPr="00745DE5" w:rsidTr="00745DE5">
        <w:trPr>
          <w:trHeight w:val="297"/>
        </w:trPr>
        <w:tc>
          <w:tcPr>
            <w:tcW w:w="442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Barclays Results by Quarter</w:t>
            </w:r>
            <w:r w:rsidRPr="00745DE5">
              <w:rPr>
                <w:rFonts w:ascii="Arial" w:eastAsia="Times New Roman" w:hAnsi="Arial" w:cs="Arial"/>
                <w:sz w:val="20"/>
                <w:szCs w:val="20"/>
                <w:vertAlign w:val="superscript"/>
                <w:lang w:eastAsia="en-GB"/>
              </w:rPr>
              <w:t xml:space="preserve"> </w:t>
            </w: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Q312</w:t>
            </w: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Q212</w:t>
            </w: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Q112</w:t>
            </w:r>
          </w:p>
        </w:tc>
        <w:tc>
          <w:tcPr>
            <w:tcW w:w="6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Q411</w:t>
            </w: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Q311</w:t>
            </w: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Q211</w:t>
            </w: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Q111</w:t>
            </w:r>
          </w:p>
        </w:tc>
      </w:tr>
      <w:tr w:rsidR="00745DE5" w:rsidRPr="00745DE5" w:rsidTr="00745DE5">
        <w:trPr>
          <w:trHeight w:val="240"/>
        </w:trPr>
        <w:tc>
          <w:tcPr>
            <w:tcW w:w="44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Adjusted basis </w:t>
            </w:r>
            <w:r w:rsidRPr="00745DE5">
              <w:rPr>
                <w:rFonts w:ascii="Arial" w:eastAsia="Times New Roman" w:hAnsi="Arial" w:cs="Arial"/>
                <w:sz w:val="16"/>
                <w:szCs w:val="16"/>
                <w:vertAlign w:val="superscript"/>
                <w:lang w:eastAsia="en-GB"/>
              </w:rPr>
              <w:t>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r w:rsidRPr="00745DE5">
              <w:rPr>
                <w:rFonts w:ascii="Arial" w:eastAsia="Times New Roman" w:hAnsi="Arial" w:cs="Arial"/>
                <w:sz w:val="13"/>
                <w:szCs w:val="13"/>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6,872 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7,337 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8,138 </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6,212 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7,001 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7,549 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7,750 </w:t>
            </w:r>
          </w:p>
        </w:tc>
      </w:tr>
      <w:tr w:rsidR="00745DE5" w:rsidRPr="00745DE5" w:rsidTr="00745DE5">
        <w:trPr>
          <w:trHeight w:val="240"/>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r w:rsidRPr="00745DE5">
              <w:rPr>
                <w:rFonts w:ascii="Arial" w:eastAsia="Times New Roman" w:hAnsi="Arial" w:cs="Arial"/>
                <w:sz w:val="13"/>
                <w:szCs w:val="13"/>
                <w:vertAlign w:val="superscript"/>
                <w:lang w:eastAsia="en-GB"/>
              </w:rPr>
              <w:t>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(825)</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(1,054)</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(778)</w:t>
            </w:r>
          </w:p>
        </w:tc>
        <w:tc>
          <w:tcPr>
            <w:tcW w:w="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(951)</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(1,023)</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(907)</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(921)</w:t>
            </w:r>
          </w:p>
        </w:tc>
      </w:tr>
      <w:tr w:rsidR="00745DE5" w:rsidRPr="00745DE5" w:rsidTr="00745DE5">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Net operating income </w:t>
            </w:r>
            <w:r w:rsidRPr="00745DE5">
              <w:rPr>
                <w:rFonts w:ascii="Arial" w:eastAsia="Times New Roman" w:hAnsi="Arial" w:cs="Arial"/>
                <w:sz w:val="16"/>
                <w:szCs w:val="16"/>
                <w:vertAlign w:val="superscript"/>
                <w:lang w:eastAsia="en-GB"/>
              </w:rPr>
              <w:t>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6,047 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6,283 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7,360 </w:t>
            </w:r>
          </w:p>
        </w:tc>
        <w:tc>
          <w:tcPr>
            <w:tcW w:w="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5,261 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5,978 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6,642 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6,829 </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(excluding UK bank levy) </w:t>
            </w:r>
            <w:r w:rsidRPr="00745DE5">
              <w:rPr>
                <w:rFonts w:ascii="Arial" w:eastAsia="Times New Roman" w:hAnsi="Arial" w:cs="Arial"/>
                <w:sz w:val="13"/>
                <w:szCs w:val="13"/>
                <w:vertAlign w:val="superscript"/>
                <w:lang w:eastAsia="en-GB"/>
              </w:rPr>
              <w:t>1 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(4,341)</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(4,542)</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(4,949)</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(4,414)</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(4,659)</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(4,940)</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(4,842)</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UK bank levy </w:t>
            </w:r>
            <w:r w:rsidRPr="00745DE5">
              <w:rPr>
                <w:rFonts w:ascii="Arial" w:eastAsia="Times New Roman" w:hAnsi="Arial" w:cs="Arial"/>
                <w:sz w:val="13"/>
                <w:szCs w:val="13"/>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(325)</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41 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34 </w:t>
            </w:r>
          </w:p>
        </w:tc>
        <w:tc>
          <w:tcPr>
            <w:tcW w:w="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17 </w:t>
            </w:r>
          </w:p>
        </w:tc>
      </w:tr>
      <w:tr w:rsidR="00745DE5" w:rsidRPr="00745DE5" w:rsidTr="00745DE5">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Adjusted profit before tax </w:t>
            </w:r>
            <w:r w:rsidRPr="00745DE5">
              <w:rPr>
                <w:rFonts w:ascii="Arial" w:eastAsia="Times New Roman" w:hAnsi="Arial" w:cs="Arial"/>
                <w:sz w:val="16"/>
                <w:szCs w:val="16"/>
                <w:vertAlign w:val="superscript"/>
                <w:lang w:eastAsia="en-GB"/>
              </w:rPr>
              <w:t>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1,727 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1,782 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2,445 </w:t>
            </w:r>
          </w:p>
        </w:tc>
        <w:tc>
          <w:tcPr>
            <w:tcW w:w="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528 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1,337 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1,721 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2,004 </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  </w:t>
            </w:r>
            <w:r w:rsidRPr="00745DE5">
              <w:rPr>
                <w:rFonts w:ascii="Arial" w:eastAsia="Times New Roman" w:hAnsi="Arial" w:cs="Arial"/>
                <w:sz w:val="16"/>
                <w:szCs w:val="16"/>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Adjusting items </w:t>
            </w:r>
            <w:r w:rsidRPr="00745DE5">
              <w:rPr>
                <w:rFonts w:ascii="Arial" w:eastAsia="Times New Roman" w:hAnsi="Arial" w:cs="Arial"/>
                <w:sz w:val="16"/>
                <w:szCs w:val="16"/>
                <w:vertAlign w:val="superscript"/>
                <w:lang w:eastAsia="en-GB"/>
              </w:rPr>
              <w:t>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Own credit </w:t>
            </w:r>
            <w:r w:rsidRPr="00745DE5">
              <w:rPr>
                <w:rFonts w:ascii="Arial" w:eastAsia="Times New Roman" w:hAnsi="Arial" w:cs="Arial"/>
                <w:sz w:val="13"/>
                <w:szCs w:val="13"/>
                <w:vertAlign w:val="superscript"/>
                <w:lang w:eastAsia="en-GB"/>
              </w:rPr>
              <w:t>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(1,074)</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(325)</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(2,620)</w:t>
            </w:r>
          </w:p>
        </w:tc>
        <w:tc>
          <w:tcPr>
            <w:tcW w:w="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(263)</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2,882 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440 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(351)</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Gains on debt buy-backs </w:t>
            </w:r>
            <w:r w:rsidRPr="00745DE5">
              <w:rPr>
                <w:rFonts w:ascii="Arial" w:eastAsia="Times New Roman" w:hAnsi="Arial" w:cs="Arial"/>
                <w:sz w:val="13"/>
                <w:szCs w:val="13"/>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1,130 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Impairment and gain/(loss) on disposal of </w:t>
            </w:r>
            <w:proofErr w:type="spellStart"/>
            <w:r w:rsidRPr="00745DE5">
              <w:rPr>
                <w:rFonts w:ascii="Arial" w:eastAsia="Times New Roman" w:hAnsi="Arial" w:cs="Arial"/>
                <w:sz w:val="16"/>
                <w:szCs w:val="16"/>
                <w:lang w:eastAsia="en-GB"/>
              </w:rPr>
              <w:t>BlackRock</w:t>
            </w:r>
            <w:proofErr w:type="spellEnd"/>
            <w:r w:rsidRPr="00745DE5">
              <w:rPr>
                <w:rFonts w:ascii="Arial" w:eastAsia="Times New Roman" w:hAnsi="Arial" w:cs="Arial"/>
                <w:sz w:val="16"/>
                <w:szCs w:val="16"/>
                <w:lang w:eastAsia="en-GB"/>
              </w:rPr>
              <w:t xml:space="preserve"> investment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227 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(1,800)</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(58)</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55"/>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Provision for PPI redress</w:t>
            </w:r>
            <w:r w:rsidRPr="00745DE5">
              <w:rPr>
                <w:rFonts w:ascii="Arial" w:eastAsia="Times New Roman" w:hAnsi="Arial" w:cs="Arial"/>
                <w:sz w:val="13"/>
                <w:szCs w:val="13"/>
                <w:vertAlign w:val="superscript"/>
                <w:lang w:eastAsia="en-GB"/>
              </w:rPr>
              <w:t>1 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(700)</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(300)</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(1,000)</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55"/>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Provision for interest rate hedging products redress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(450)</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Goodwill impairment </w:t>
            </w:r>
            <w:r w:rsidRPr="00745DE5">
              <w:rPr>
                <w:rFonts w:ascii="Arial" w:eastAsia="Times New Roman" w:hAnsi="Arial" w:cs="Arial"/>
                <w:sz w:val="13"/>
                <w:szCs w:val="13"/>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(550)</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(47)</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(Losses)/gains on acquisitions and disposals </w:t>
            </w:r>
            <w:r w:rsidRPr="00745DE5">
              <w:rPr>
                <w:rFonts w:ascii="Arial" w:eastAsia="Times New Roman" w:hAnsi="Arial" w:cs="Arial"/>
                <w:sz w:val="13"/>
                <w:szCs w:val="13"/>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(32)</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(67)</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r>
      <w:tr w:rsidR="00745DE5" w:rsidRPr="00745DE5" w:rsidTr="00745DE5">
        <w:trPr>
          <w:trHeight w:val="240"/>
        </w:trPr>
        <w:tc>
          <w:tcPr>
            <w:tcW w:w="442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Statutory (loss)/profit before tax </w:t>
            </w:r>
          </w:p>
        </w:tc>
        <w:tc>
          <w:tcPr>
            <w:tcW w:w="64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(47)</w:t>
            </w:r>
          </w:p>
        </w:tc>
        <w:tc>
          <w:tcPr>
            <w:tcW w:w="64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1,234 </w:t>
            </w:r>
          </w:p>
        </w:tc>
        <w:tc>
          <w:tcPr>
            <w:tcW w:w="64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(475)</w:t>
            </w:r>
          </w:p>
        </w:tc>
        <w:tc>
          <w:tcPr>
            <w:tcW w:w="6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813 </w:t>
            </w:r>
          </w:p>
        </w:tc>
        <w:tc>
          <w:tcPr>
            <w:tcW w:w="64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2,422 </w:t>
            </w:r>
          </w:p>
        </w:tc>
        <w:tc>
          <w:tcPr>
            <w:tcW w:w="64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989 </w:t>
            </w:r>
          </w:p>
        </w:tc>
        <w:tc>
          <w:tcPr>
            <w:tcW w:w="64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1,655 </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Statutory (loss)/profit after tax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(106)</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817 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(337)</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602 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1,366 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742 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1,241 </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w:t>
            </w:r>
            <w:r w:rsidRPr="00745DE5">
              <w:rPr>
                <w:rFonts w:ascii="Arial" w:eastAsia="Times New Roman" w:hAnsi="Arial" w:cs="Arial"/>
                <w:sz w:val="13"/>
                <w:szCs w:val="13"/>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basic earnings per share </w:t>
            </w:r>
            <w:r w:rsidRPr="00745DE5">
              <w:rPr>
                <w:rFonts w:ascii="Arial" w:eastAsia="Times New Roman" w:hAnsi="Arial" w:cs="Arial"/>
                <w:sz w:val="13"/>
                <w:szCs w:val="13"/>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7.5p</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8.2p</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13.6p</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1.2p</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6.9p</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8.9p</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10.7p</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cost: income ratio </w:t>
            </w:r>
            <w:r w:rsidRPr="00745DE5">
              <w:rPr>
                <w:rFonts w:ascii="Arial" w:eastAsia="Times New Roman" w:hAnsi="Arial" w:cs="Arial"/>
                <w:sz w:val="13"/>
                <w:szCs w:val="13"/>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63%</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62%</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61%</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76%</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67%</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65%</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62%</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Basic earnings per share </w:t>
            </w:r>
            <w:r w:rsidRPr="00745DE5">
              <w:rPr>
                <w:rFonts w:ascii="Arial" w:eastAsia="Times New Roman" w:hAnsi="Arial" w:cs="Arial"/>
                <w:sz w:val="13"/>
                <w:szCs w:val="13"/>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(2.3p)</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5.1p</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(4.5p)</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2.9p</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9.7p</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4.0p</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8.5p</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Cost: income ratio </w:t>
            </w:r>
            <w:r w:rsidRPr="00745DE5">
              <w:rPr>
                <w:rFonts w:ascii="Arial" w:eastAsia="Times New Roman" w:hAnsi="Arial" w:cs="Arial"/>
                <w:sz w:val="13"/>
                <w:szCs w:val="13"/>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87%</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69%</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95%</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75%</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47%</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75%</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65%</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425"/>
        <w:gridCol w:w="645"/>
        <w:gridCol w:w="645"/>
        <w:gridCol w:w="645"/>
        <w:gridCol w:w="78"/>
        <w:gridCol w:w="645"/>
        <w:gridCol w:w="645"/>
        <w:gridCol w:w="645"/>
        <w:gridCol w:w="645"/>
      </w:tblGrid>
      <w:tr w:rsidR="00745DE5" w:rsidRPr="00745DE5" w:rsidTr="00745DE5">
        <w:trPr>
          <w:trHeight w:val="293"/>
        </w:trPr>
        <w:tc>
          <w:tcPr>
            <w:tcW w:w="442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Adjusted Profit/(Loss) Before Tax by Business</w:t>
            </w:r>
            <w:r w:rsidRPr="00745DE5">
              <w:rPr>
                <w:rFonts w:ascii="Arial" w:eastAsia="Times New Roman" w:hAnsi="Arial" w:cs="Arial"/>
                <w:sz w:val="16"/>
                <w:szCs w:val="16"/>
                <w:vertAlign w:val="superscript"/>
                <w:lang w:eastAsia="en-GB"/>
              </w:rPr>
              <w:t xml:space="preserve"> </w:t>
            </w: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Q312</w:t>
            </w: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Q212</w:t>
            </w: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Q112</w:t>
            </w:r>
          </w:p>
        </w:tc>
        <w:tc>
          <w:tcPr>
            <w:tcW w:w="6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Q411</w:t>
            </w: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Q311</w:t>
            </w: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Q211</w:t>
            </w:r>
          </w:p>
        </w:tc>
        <w:tc>
          <w:tcPr>
            <w:tcW w:w="6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Q111</w:t>
            </w:r>
          </w:p>
        </w:tc>
      </w:tr>
      <w:tr w:rsidR="00745DE5" w:rsidRPr="00745DE5" w:rsidTr="00745DE5">
        <w:trPr>
          <w:trHeight w:val="240"/>
        </w:trPr>
        <w:tc>
          <w:tcPr>
            <w:tcW w:w="44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 </w:t>
            </w:r>
            <w:r w:rsidRPr="00745DE5">
              <w:rPr>
                <w:rFonts w:ascii="Arial" w:eastAsia="Times New Roman" w:hAnsi="Arial" w:cs="Arial"/>
                <w:b/>
                <w:bCs/>
                <w:sz w:val="18"/>
                <w:szCs w:val="18"/>
                <w:vertAlign w:val="superscript"/>
                <w:lang w:eastAsia="en-GB"/>
              </w:rPr>
              <w:t> </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55"/>
        </w:trPr>
        <w:tc>
          <w:tcPr>
            <w:tcW w:w="44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UK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400 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412 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334 </w:t>
            </w:r>
          </w:p>
        </w:tc>
        <w:tc>
          <w:tcPr>
            <w:tcW w:w="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222 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494 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416 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288 </w:t>
            </w:r>
          </w:p>
        </w:tc>
      </w:tr>
      <w:tr w:rsidR="00745DE5" w:rsidRPr="00745DE5" w:rsidTr="00745DE5">
        <w:trPr>
          <w:trHeight w:val="255"/>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Europe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(59)</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(49)</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(43)</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(125)</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52 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(102)</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(59)</w:t>
            </w:r>
          </w:p>
        </w:tc>
      </w:tr>
      <w:tr w:rsidR="00745DE5" w:rsidRPr="00745DE5" w:rsidTr="00745DE5">
        <w:trPr>
          <w:trHeight w:val="255"/>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Africa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97 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177 </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269 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219 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195 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147 </w:t>
            </w:r>
          </w:p>
        </w:tc>
      </w:tr>
      <w:tr w:rsidR="00745DE5" w:rsidRPr="00745DE5" w:rsidTr="00745DE5">
        <w:trPr>
          <w:trHeight w:val="255"/>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Barclaycard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397 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404 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349 </w:t>
            </w:r>
          </w:p>
        </w:tc>
        <w:tc>
          <w:tcPr>
            <w:tcW w:w="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259 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378 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275 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296 </w:t>
            </w:r>
          </w:p>
        </w:tc>
      </w:tr>
      <w:tr w:rsidR="00745DE5" w:rsidRPr="00745DE5" w:rsidTr="00745DE5">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Retail and Business Banking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794 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864 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817 </w:t>
            </w:r>
          </w:p>
        </w:tc>
        <w:tc>
          <w:tcPr>
            <w:tcW w:w="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625 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1,143 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784 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672 </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Investment Bank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937 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1,002 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1,266 </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267 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388 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977 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1,333 </w:t>
            </w:r>
          </w:p>
        </w:tc>
      </w:tr>
      <w:tr w:rsidR="00745DE5" w:rsidRPr="00745DE5" w:rsidTr="00745DE5">
        <w:trPr>
          <w:trHeight w:val="240"/>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Corporate Banking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98 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127 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219 </w:t>
            </w:r>
          </w:p>
        </w:tc>
        <w:tc>
          <w:tcPr>
            <w:tcW w:w="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113 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21 </w:t>
            </w:r>
          </w:p>
        </w:tc>
      </w:tr>
      <w:tr w:rsidR="00745DE5" w:rsidRPr="00745DE5" w:rsidTr="00745DE5">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Corporate and Investment Banking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1,035 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1,129 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1,485 </w:t>
            </w:r>
          </w:p>
        </w:tc>
        <w:tc>
          <w:tcPr>
            <w:tcW w:w="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304 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501 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1,010 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1,354 </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Wealth and Investment Management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79 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61 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60 </w:t>
            </w: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54 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65 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42 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46 </w:t>
            </w:r>
          </w:p>
        </w:tc>
      </w:tr>
      <w:tr w:rsidR="00745DE5" w:rsidRPr="00745DE5" w:rsidTr="00745DE5">
        <w:trPr>
          <w:trHeight w:val="240"/>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Head Office and Other Operations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(181)</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(272)</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83 </w:t>
            </w:r>
          </w:p>
        </w:tc>
        <w:tc>
          <w:tcPr>
            <w:tcW w:w="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(455)</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(372)</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(115)</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(68)</w:t>
            </w:r>
          </w:p>
        </w:tc>
      </w:tr>
      <w:tr w:rsidR="00745DE5" w:rsidRPr="00745DE5" w:rsidTr="00745DE5">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profit before tax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1,727 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1,782 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2,445 </w:t>
            </w:r>
          </w:p>
        </w:tc>
        <w:tc>
          <w:tcPr>
            <w:tcW w:w="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528 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1,337 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1,721 </w:t>
            </w:r>
          </w:p>
        </w:tc>
        <w:tc>
          <w:tcPr>
            <w:tcW w:w="6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2,004 </w:t>
            </w:r>
          </w:p>
        </w:tc>
      </w:tr>
      <w:tr w:rsidR="00745DE5" w:rsidRPr="00745DE5" w:rsidTr="00745DE5">
        <w:trPr>
          <w:trHeight w:val="240"/>
        </w:trPr>
        <w:tc>
          <w:tcPr>
            <w:tcW w:w="44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bl>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14"/>
          <w:szCs w:val="14"/>
          <w:lang w:eastAsia="en-GB"/>
        </w:rPr>
        <w:t> </w:t>
      </w: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line="240" w:lineRule="auto"/>
        <w:ind w:left="284" w:hanging="284"/>
        <w:jc w:val="both"/>
        <w:rPr>
          <w:rFonts w:ascii="Times New Roman" w:eastAsia="Times New Roman" w:hAnsi="Times New Roman"/>
          <w:sz w:val="24"/>
          <w:szCs w:val="24"/>
          <w:lang w:eastAsia="en-GB"/>
        </w:rPr>
      </w:pPr>
      <w:r>
        <w:rPr>
          <w:rFonts w:ascii="Arial" w:eastAsia="Times New Roman" w:hAnsi="Arial" w:cs="Arial"/>
          <w:i/>
          <w:iCs/>
          <w:sz w:val="14"/>
          <w:szCs w:val="14"/>
          <w:lang w:eastAsia="en-GB"/>
        </w:rPr>
        <w:t>1    </w:t>
      </w:r>
      <w:r w:rsidRPr="00745DE5">
        <w:rPr>
          <w:rFonts w:ascii="Arial" w:eastAsia="Times New Roman" w:hAnsi="Arial" w:cs="Arial"/>
          <w:i/>
          <w:iCs/>
          <w:sz w:val="14"/>
          <w:szCs w:val="14"/>
          <w:lang w:eastAsia="en-GB"/>
        </w:rPr>
        <w:t>The Q3 12 £700m provision for PPI redress includes claims management costs of £52m relating to Q2 12: £28m and Q1 12: £24m, previously recorded within operating expenses as a non-adjusting item.</w:t>
      </w:r>
    </w:p>
    <w:p w:rsidR="00745DE5" w:rsidRDefault="00745DE5" w:rsidP="00745DE5">
      <w:pPr>
        <w:spacing w:before="100" w:beforeAutospacing="1" w:after="100" w:afterAutospacing="1" w:line="240" w:lineRule="auto"/>
        <w:rPr>
          <w:rFonts w:ascii="Arial" w:eastAsia="Times New Roman" w:hAnsi="Arial" w:cs="Arial"/>
          <w:i/>
          <w:iCs/>
          <w:sz w:val="14"/>
          <w:szCs w:val="14"/>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i/>
          <w:iCs/>
          <w:sz w:val="24"/>
          <w:szCs w:val="24"/>
          <w:lang w:eastAsia="en-GB"/>
        </w:rPr>
      </w:pPr>
    </w:p>
    <w:p w:rsidR="00745DE5" w:rsidRPr="00745DE5" w:rsidRDefault="00745DE5" w:rsidP="00745DE5">
      <w:pPr>
        <w:spacing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Group Performance Review</w:t>
      </w:r>
    </w:p>
    <w:p w:rsidR="00745DE5" w:rsidRPr="00745DE5" w:rsidRDefault="00745DE5" w:rsidP="00745DE5">
      <w:pPr>
        <w:spacing w:after="180" w:line="240" w:lineRule="auto"/>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lastRenderedPageBreak/>
        <w:t>For the first nine months of 2012 we reported a good performance as adjusted profits increased 18% year on year. Our Core Tier 1 ratio improved to 11.2%, while funding and liquidity remained strong.</w:t>
      </w:r>
    </w:p>
    <w:p w:rsidR="00745DE5" w:rsidRPr="00745DE5" w:rsidRDefault="00745DE5" w:rsidP="00745DE5">
      <w:pPr>
        <w:spacing w:after="180" w:line="240" w:lineRule="auto"/>
        <w:jc w:val="both"/>
        <w:rPr>
          <w:rFonts w:ascii="Arial" w:eastAsia="Times New Roman" w:hAnsi="Arial" w:cs="Arial"/>
          <w:b/>
          <w:bCs/>
          <w:sz w:val="18"/>
          <w:szCs w:val="18"/>
          <w:lang w:eastAsia="en-GB"/>
        </w:rPr>
      </w:pPr>
      <w:r w:rsidRPr="00745DE5">
        <w:rPr>
          <w:rFonts w:ascii="Arial" w:eastAsia="Times New Roman" w:hAnsi="Arial" w:cs="Arial"/>
          <w:b/>
          <w:bCs/>
          <w:sz w:val="24"/>
          <w:szCs w:val="24"/>
          <w:lang w:eastAsia="en-GB"/>
        </w:rPr>
        <w:t>Income Statement</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profit before tax increased 18% to £5,954m. Adjusted results provide a more consistent basis for comparing business performance between periods</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Statutory profit before tax down 86% to £712m, including an own credit charge of £4,019m (2011: gain of £2,971m) and a £1,000m (2011: £1,000m) provision for PPI redress </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return on average shareholders' equity increased to 8.8% (2011: 8.4%) with improvements in UK RBB, Barclaycard, Investment Bank, Corporate Banking and Wealth and Investment Management</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income was flat at £22,347m despite challenging economic conditions, the continuing low interest rate environment and non-recurrence of gains of £1,000m from the disposal of hedging instruments in Q3 11</w:t>
      </w:r>
    </w:p>
    <w:p w:rsidR="00745DE5" w:rsidRPr="00745DE5" w:rsidRDefault="00745DE5" w:rsidP="00745DE5">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Customer net interest income for Retail and Business Banking, Corporate Banking and Wealth and Investment Management was stable at £7,345m. Total net interest income reduced 9% to £8,334m and the net interest margin declined 23bps to 186bps, principally reflecting the non recurrence of gains from the disposal of hedging instruments in Q3 11</w:t>
      </w:r>
    </w:p>
    <w:p w:rsidR="00745DE5" w:rsidRPr="00745DE5" w:rsidRDefault="00745DE5" w:rsidP="00745DE5">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Total income in the Investment Bank increased 7% to £9,129m driven by increases in Fixed Income, Currencies and Commodities (FICC), and Equities</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Credit impairment charges were down 7% at £2,657m, principally reflecting improvements in UK RBB, Barclaycard and Corporate Banking. This was partially offset by higher charges in the Investment Bank, driven by ABS CDO Super Senior positions, higher losses on single name exposures and a non-recurring release of £223m in 2011; as well as increases in Europe RBB and Africa RBB</w:t>
      </w:r>
    </w:p>
    <w:p w:rsidR="00745DE5" w:rsidRPr="00745DE5" w:rsidRDefault="00745DE5" w:rsidP="00745DE5">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The annualised loan loss rate reduced to 69bps (2011: 74bps)</w:t>
      </w:r>
    </w:p>
    <w:p w:rsidR="00745DE5" w:rsidRPr="00745DE5" w:rsidRDefault="00745DE5" w:rsidP="00745DE5">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During 2012, delinquency trends have improved in our main cards portfolios and UK unsecured lending, however, weak local economic conditions have led to some deterioration in the European home loan portfolios</w:t>
      </w:r>
    </w:p>
    <w:p w:rsidR="00745DE5" w:rsidRPr="00745DE5" w:rsidRDefault="00745DE5" w:rsidP="00745DE5">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While a number of credit metrics in the wholesale portfolios have shown some improvement during 2012, the challenging conditions in Europe have lead to some deterioration to metrics in Corporate Europe</w:t>
      </w:r>
    </w:p>
    <w:p w:rsidR="00745DE5" w:rsidRPr="00745DE5" w:rsidRDefault="00745DE5" w:rsidP="00745DE5">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The credit risk loans (CRL) coverage ratio increased to 51.0% (30 June 2012: 50.4%) as CRL balances and impairment allowances fell 3.1% and 1.8%, respectively during Q3 12</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Operating expenses, excluding the provision for PPI redress of £1,000m (2011: £1,000m) and  provision for interest rate hedging products redress of £450m (2011: nil), were down 4% to £13,832m</w:t>
      </w:r>
    </w:p>
    <w:p w:rsidR="00745DE5" w:rsidRPr="00745DE5" w:rsidRDefault="00745DE5" w:rsidP="00745DE5">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Non-performance costs decreased 3% to £11,837m after absorbing regulatory penalties of £290m relating to the industry-wide investigation into the setting of interbank offered rates. Cost reductions from management cost saving initiatives, business restructuring and foreign exchange movements, more than offset the impact of continued business investment, including 2011 acquisitions, and increased Financial Services Compensation Scheme costs</w:t>
      </w:r>
    </w:p>
    <w:p w:rsidR="00745DE5" w:rsidRPr="00745DE5" w:rsidRDefault="00745DE5" w:rsidP="00745DE5">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Performance costs reduced 9% to £1,995m despite an increase in the charge for bonuses deferred from prior years to £942m (2011: £751m). The Investment Bank compensation: income ratio reduced to 39% (2011: 46%)</w:t>
      </w:r>
    </w:p>
    <w:p w:rsidR="00745DE5" w:rsidRPr="00745DE5" w:rsidRDefault="00745DE5" w:rsidP="00745DE5">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2012 bonus pool awards have not yet been granted as discretionary incentive award decisions are not taken by the Remuneration Committee until the performance for the full year can be assessed. The current year bonus charge represents an accrual for estimated costs in accordance with accounting requirements</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The adjusted cost: income ratio decreased to 62% (2011: 65%). The Investment Bank cost: net operating </w:t>
      </w:r>
      <w:r>
        <w:rPr>
          <w:rFonts w:ascii="Arial" w:eastAsia="Times New Roman" w:hAnsi="Arial" w:cs="Arial"/>
          <w:sz w:val="18"/>
          <w:szCs w:val="18"/>
          <w:lang w:eastAsia="en-GB"/>
        </w:rPr>
        <w:t xml:space="preserve"> </w:t>
      </w:r>
      <w:r w:rsidRPr="00745DE5">
        <w:rPr>
          <w:rFonts w:ascii="Arial" w:eastAsia="Times New Roman" w:hAnsi="Arial" w:cs="Arial"/>
          <w:sz w:val="18"/>
          <w:szCs w:val="18"/>
          <w:lang w:eastAsia="en-GB"/>
        </w:rPr>
        <w:t>income ratio improved to 64% (2011: 68%)</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Since the end of the first half 2012 Barclays has experienced higher than previously anticipated levels of PPI claim volumes, and has therefore determined that it is appropriate to provide a further £700m for PPI redress as at 30 September 2012. This is in addition to provisions recognised of £1bn in 2011 and £300m in Q1 12. Based on claims experience to date and anticipated future volumes, the resulting provision includes Barclays best estimate of expected future PPI redress payments and claims management costs. Barclays will continue to monitor actual claims volumes and the assumptions underlying the calculation of its PPI provision</w:t>
      </w:r>
    </w:p>
    <w:p w:rsidR="00745DE5" w:rsidRDefault="00745DE5" w:rsidP="00745DE5">
      <w:pPr>
        <w:spacing w:after="180" w:line="240" w:lineRule="auto"/>
        <w:jc w:val="both"/>
        <w:rPr>
          <w:rFonts w:ascii="Arial" w:eastAsia="Times New Roman" w:hAnsi="Arial" w:cs="Arial"/>
          <w:color w:val="000000"/>
          <w:sz w:val="24"/>
          <w:szCs w:val="24"/>
          <w:lang w:eastAsia="en-GB"/>
        </w:rPr>
      </w:pPr>
    </w:p>
    <w:p w:rsidR="00745DE5" w:rsidRDefault="00745DE5" w:rsidP="00745DE5">
      <w:pPr>
        <w:spacing w:after="180" w:line="240" w:lineRule="auto"/>
        <w:jc w:val="both"/>
        <w:rPr>
          <w:rFonts w:ascii="Arial" w:eastAsia="Times New Roman" w:hAnsi="Arial" w:cs="Arial"/>
          <w:color w:val="000000"/>
          <w:sz w:val="24"/>
          <w:szCs w:val="24"/>
          <w:lang w:eastAsia="en-GB"/>
        </w:rPr>
      </w:pPr>
    </w:p>
    <w:p w:rsidR="00745DE5" w:rsidRPr="00745DE5" w:rsidRDefault="00745DE5" w:rsidP="00745DE5">
      <w:pPr>
        <w:spacing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Group Performance Review</w:t>
      </w:r>
    </w:p>
    <w:p w:rsidR="00745DE5" w:rsidRPr="00745DE5" w:rsidRDefault="00745DE5" w:rsidP="00745DE5">
      <w:pPr>
        <w:spacing w:after="180" w:line="240" w:lineRule="auto"/>
        <w:jc w:val="both"/>
        <w:rPr>
          <w:rFonts w:ascii="Arial" w:eastAsia="Times New Roman" w:hAnsi="Arial" w:cs="Arial"/>
          <w:b/>
          <w:bCs/>
          <w:sz w:val="18"/>
          <w:szCs w:val="18"/>
          <w:lang w:eastAsia="en-GB"/>
        </w:rPr>
      </w:pPr>
      <w:r w:rsidRPr="00745DE5">
        <w:rPr>
          <w:rFonts w:ascii="Arial" w:eastAsia="Times New Roman" w:hAnsi="Arial" w:cs="Arial"/>
          <w:b/>
          <w:bCs/>
          <w:sz w:val="24"/>
          <w:szCs w:val="24"/>
          <w:lang w:eastAsia="en-GB"/>
        </w:rPr>
        <w:t>Balance Sheet</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During Q312 total loans and advances remained stable at £502bn (30 June 2012: £504bn) with increases in UK mortgage lending being offset by reductions in lending in Europe RBB and Corporate Bank</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The Group's loan to deposit ratio was stable at 111% (30 June 2012: 111%), with both loans and advances to customers and customer deposits flat at £452.9bn and £407.3bn respectively</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Total assets reduced 2% to £1,599bn, principally reflecting lower derivative assets and reductions in cash and balances at central banks partially offset by increases in reverse repurchase agreements and other similar secured lending</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Total shareholders' equity, including non-controlling interests, remained at £63.7bn, principally reflecting increases in the value of available for sale debt investments of £0.6bn and cash flow hedges of £0.4bn, offset by £0.7bn negative currency translation differences due to depreciation of US dollar and South African Rand against Sterling, and dividends paid during the quarter of £0.3bn. After allowing for non-controlling interests, principally preference shares and Absa Group minority interests, statutory profit attributable to equity shareholders of the parent reduced to negative £0.2bn (2011: £2.7bn profit)  </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Net asset value per share was 444p (30 June 2012: 443p) and the net tangible asset value per share remained at 379p</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gross leverage remained stable at 20x and during Q3 moved within a month end range of 20x to 21x. Excluding the liquidity pool, adjusted gross leverage remained flat at 17x</w:t>
      </w:r>
    </w:p>
    <w:p w:rsidR="00745DE5" w:rsidRPr="00745DE5" w:rsidRDefault="00745DE5" w:rsidP="00745DE5">
      <w:pPr>
        <w:spacing w:after="160" w:line="240" w:lineRule="auto"/>
        <w:jc w:val="both"/>
        <w:rPr>
          <w:rFonts w:ascii="Arial" w:eastAsia="Times New Roman" w:hAnsi="Arial" w:cs="Arial"/>
          <w:b/>
          <w:bCs/>
          <w:sz w:val="18"/>
          <w:szCs w:val="18"/>
          <w:lang w:eastAsia="en-GB"/>
        </w:rPr>
      </w:pPr>
      <w:r w:rsidRPr="00745DE5">
        <w:rPr>
          <w:rFonts w:ascii="Arial" w:eastAsia="Times New Roman" w:hAnsi="Arial" w:cs="Arial"/>
          <w:b/>
          <w:bCs/>
          <w:sz w:val="24"/>
          <w:szCs w:val="24"/>
          <w:lang w:eastAsia="en-GB"/>
        </w:rPr>
        <w:t>Capital Management</w:t>
      </w:r>
    </w:p>
    <w:p w:rsidR="00745DE5" w:rsidRPr="00745DE5" w:rsidRDefault="00745DE5" w:rsidP="00745DE5">
      <w:pPr>
        <w:spacing w:before="16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The Core Tier 1 ratio increased to 11.2% (30 June 2012: 10.9%), reflecting a broadly stable Core Tier 1 equity at £42.5bn and a 3% reduction in risk weighted assets to £379bn, principally reflecting risk reduction in the Corporate and Investment Bank and foreign exchange movements. The benefit of risk reduction was partially offset by increases from adopting revised guidance from the FSA requiring higher loss given default assumptions on sovereign exposures </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Barclays generated £0.7bn Core Tier 1 capital from earnings in Q3, after absorbing the impact of the additional provision for PPI redress and the Group's quarterly interim dividend. The increase from earnings was offset by a £0.6bn reduction in reserves due to foreign exchange movements, which for the Core Tier 1 ratio was matched by a broadly offsetting £5.2bn foreign exchange reduction in risk weighted assets</w:t>
      </w:r>
    </w:p>
    <w:p w:rsidR="00745DE5" w:rsidRPr="00745DE5" w:rsidRDefault="00745DE5" w:rsidP="00745DE5">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The EU was due to finalise the requirements of CRD IV by July 2012, in order to implement Basel 3 by 1 January 2013. However, there are a number of areas still under consideration and the European Parliament is not due to consider the final proposals until November 2012. While the expectation is that CRD IV will be delayed, in the absence of official guidance we are continuing to progress implementation activities in line with the original timetable</w:t>
      </w:r>
    </w:p>
    <w:p w:rsidR="00745DE5" w:rsidRPr="00745DE5" w:rsidRDefault="00745DE5" w:rsidP="00745DE5">
      <w:pPr>
        <w:spacing w:after="160" w:line="240" w:lineRule="auto"/>
        <w:jc w:val="both"/>
        <w:rPr>
          <w:rFonts w:ascii="Arial" w:eastAsia="Times New Roman" w:hAnsi="Arial" w:cs="Arial"/>
          <w:b/>
          <w:bCs/>
          <w:sz w:val="18"/>
          <w:szCs w:val="18"/>
          <w:lang w:eastAsia="en-GB"/>
        </w:rPr>
      </w:pPr>
      <w:r w:rsidRPr="00745DE5">
        <w:rPr>
          <w:rFonts w:ascii="Arial" w:eastAsia="Times New Roman" w:hAnsi="Arial" w:cs="Arial"/>
          <w:b/>
          <w:bCs/>
          <w:sz w:val="24"/>
          <w:szCs w:val="24"/>
          <w:lang w:eastAsia="en-GB"/>
        </w:rPr>
        <w:t>Funding and Liquidity</w:t>
      </w:r>
    </w:p>
    <w:p w:rsidR="00745DE5" w:rsidRPr="00745DE5" w:rsidRDefault="00745DE5" w:rsidP="00745DE5">
      <w:pPr>
        <w:spacing w:before="160" w:after="12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The liquidity pool was £160bn (30 June 2012: £170bn), remaining well above our liquidity risk appetite and within the month end range of £152bn to £173bn for the year to date (Full Year 2011: £140bn to £167bn). We have also taken steps to realign the composition of the pool to reduce the cost of liquidity, in particular moving funds from deposits with central banks into government bonds</w:t>
      </w:r>
      <w:r w:rsidRPr="00745DE5">
        <w:rPr>
          <w:rFonts w:ascii="Arial" w:eastAsia="Times New Roman" w:hAnsi="Arial" w:cs="Arial"/>
          <w:sz w:val="14"/>
          <w:szCs w:val="14"/>
          <w:vertAlign w:val="superscript"/>
          <w:lang w:eastAsia="en-GB"/>
        </w:rPr>
        <w:t>1</w:t>
      </w:r>
    </w:p>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095"/>
        <w:gridCol w:w="1825"/>
        <w:gridCol w:w="1412"/>
        <w:gridCol w:w="1405"/>
        <w:gridCol w:w="1397"/>
      </w:tblGrid>
      <w:tr w:rsidR="00745DE5" w:rsidRPr="00745DE5" w:rsidTr="00745DE5">
        <w:trPr>
          <w:trHeight w:val="307"/>
        </w:trPr>
        <w:tc>
          <w:tcPr>
            <w:tcW w:w="31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Liquidity Pool</w:t>
            </w:r>
            <w:r w:rsidRPr="00745DE5">
              <w:rPr>
                <w:rFonts w:ascii="Arial" w:eastAsia="Times New Roman" w:hAnsi="Arial" w:cs="Arial"/>
                <w:sz w:val="16"/>
                <w:szCs w:val="16"/>
                <w:vertAlign w:val="superscript"/>
                <w:lang w:eastAsia="en-GB"/>
              </w:rPr>
              <w:t xml:space="preserve"> </w:t>
            </w:r>
          </w:p>
        </w:tc>
        <w:tc>
          <w:tcPr>
            <w:tcW w:w="186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Cash and Deposits</w:t>
            </w:r>
          </w:p>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with Central Banks</w:t>
            </w:r>
            <w:r w:rsidRPr="00745DE5">
              <w:rPr>
                <w:rFonts w:ascii="Arial" w:eastAsia="Times New Roman" w:hAnsi="Arial" w:cs="Arial"/>
                <w:b/>
                <w:bCs/>
                <w:sz w:val="13"/>
                <w:szCs w:val="13"/>
                <w:vertAlign w:val="superscript"/>
                <w:lang w:eastAsia="en-GB"/>
              </w:rPr>
              <w:t>2 </w:t>
            </w:r>
          </w:p>
        </w:tc>
        <w:tc>
          <w:tcPr>
            <w:tcW w:w="14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Government</w:t>
            </w:r>
          </w:p>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Bonds</w:t>
            </w:r>
            <w:r w:rsidRPr="00745DE5">
              <w:rPr>
                <w:rFonts w:ascii="Arial" w:eastAsia="Times New Roman" w:hAnsi="Arial" w:cs="Arial"/>
                <w:b/>
                <w:bCs/>
                <w:sz w:val="13"/>
                <w:szCs w:val="13"/>
                <w:vertAlign w:val="superscript"/>
                <w:lang w:eastAsia="en-GB"/>
              </w:rPr>
              <w:t>1 </w:t>
            </w:r>
          </w:p>
        </w:tc>
        <w:tc>
          <w:tcPr>
            <w:tcW w:w="14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Other Available</w:t>
            </w:r>
          </w:p>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Liquidity</w:t>
            </w:r>
          </w:p>
        </w:tc>
        <w:tc>
          <w:tcPr>
            <w:tcW w:w="14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r w:rsidRPr="00745DE5">
              <w:rPr>
                <w:rFonts w:ascii="Arial" w:eastAsia="Times New Roman" w:hAnsi="Arial" w:cs="Arial"/>
                <w:b/>
                <w:bCs/>
                <w:sz w:val="13"/>
                <w:szCs w:val="13"/>
                <w:vertAlign w:val="superscript"/>
                <w:lang w:eastAsia="en-GB"/>
              </w:rPr>
              <w:t>3 </w:t>
            </w:r>
          </w:p>
        </w:tc>
      </w:tr>
      <w:tr w:rsidR="00745DE5" w:rsidRPr="00745DE5" w:rsidTr="00745DE5">
        <w:trPr>
          <w:trHeight w:val="185"/>
        </w:trPr>
        <w:tc>
          <w:tcPr>
            <w:tcW w:w="316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center"/>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w:t>
            </w:r>
            <w:proofErr w:type="spellStart"/>
            <w:r w:rsidRPr="00745DE5">
              <w:rPr>
                <w:rFonts w:ascii="Arial" w:eastAsia="Times New Roman" w:hAnsi="Arial" w:cs="Arial"/>
                <w:sz w:val="16"/>
                <w:szCs w:val="16"/>
                <w:lang w:eastAsia="en-GB"/>
              </w:rPr>
              <w:t>bn</w:t>
            </w:r>
            <w:proofErr w:type="spellEnd"/>
            <w:r w:rsidRPr="00745DE5">
              <w:rPr>
                <w:rFonts w:ascii="Arial" w:eastAsia="Times New Roman" w:hAnsi="Arial" w:cs="Arial"/>
                <w:sz w:val="16"/>
                <w:szCs w:val="16"/>
                <w:lang w:eastAsia="en-GB"/>
              </w:rPr>
              <w:t xml:space="preserve"> </w:t>
            </w:r>
          </w:p>
        </w:tc>
        <w:tc>
          <w:tcPr>
            <w:tcW w:w="14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w:t>
            </w:r>
            <w:proofErr w:type="spellStart"/>
            <w:r w:rsidRPr="00745DE5">
              <w:rPr>
                <w:rFonts w:ascii="Arial" w:eastAsia="Times New Roman" w:hAnsi="Arial" w:cs="Arial"/>
                <w:sz w:val="16"/>
                <w:szCs w:val="16"/>
                <w:lang w:eastAsia="en-GB"/>
              </w:rPr>
              <w:t>bn</w:t>
            </w:r>
            <w:proofErr w:type="spellEnd"/>
            <w:r w:rsidRPr="00745DE5">
              <w:rPr>
                <w:rFonts w:ascii="Arial" w:eastAsia="Times New Roman" w:hAnsi="Arial" w:cs="Arial"/>
                <w:sz w:val="16"/>
                <w:szCs w:val="16"/>
                <w:lang w:eastAsia="en-GB"/>
              </w:rPr>
              <w:t xml:space="preserve"> </w:t>
            </w:r>
          </w:p>
        </w:tc>
        <w:tc>
          <w:tcPr>
            <w:tcW w:w="14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w:t>
            </w:r>
            <w:proofErr w:type="spellStart"/>
            <w:r w:rsidRPr="00745DE5">
              <w:rPr>
                <w:rFonts w:ascii="Arial" w:eastAsia="Times New Roman" w:hAnsi="Arial" w:cs="Arial"/>
                <w:sz w:val="16"/>
                <w:szCs w:val="16"/>
                <w:lang w:eastAsia="en-GB"/>
              </w:rPr>
              <w:t>bn</w:t>
            </w:r>
            <w:proofErr w:type="spellEnd"/>
          </w:p>
        </w:tc>
        <w:tc>
          <w:tcPr>
            <w:tcW w:w="14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w:t>
            </w:r>
            <w:proofErr w:type="spellStart"/>
            <w:r w:rsidRPr="00745DE5">
              <w:rPr>
                <w:rFonts w:ascii="Arial" w:eastAsia="Times New Roman" w:hAnsi="Arial" w:cs="Arial"/>
                <w:sz w:val="16"/>
                <w:szCs w:val="16"/>
                <w:lang w:eastAsia="en-GB"/>
              </w:rPr>
              <w:t>bn</w:t>
            </w:r>
            <w:proofErr w:type="spellEnd"/>
            <w:r w:rsidRPr="00745DE5">
              <w:rPr>
                <w:rFonts w:ascii="Arial" w:eastAsia="Times New Roman" w:hAnsi="Arial" w:cs="Arial"/>
                <w:sz w:val="16"/>
                <w:szCs w:val="16"/>
                <w:lang w:eastAsia="en-GB"/>
              </w:rPr>
              <w:t xml:space="preserve"> </w:t>
            </w:r>
          </w:p>
        </w:tc>
      </w:tr>
      <w:tr w:rsidR="00745DE5" w:rsidRPr="00745DE5" w:rsidTr="00745DE5">
        <w:trPr>
          <w:trHeight w:val="240"/>
        </w:trPr>
        <w:tc>
          <w:tcPr>
            <w:tcW w:w="316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30.09.12 </w:t>
            </w:r>
          </w:p>
        </w:tc>
        <w:tc>
          <w:tcPr>
            <w:tcW w:w="1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99  </w:t>
            </w:r>
          </w:p>
        </w:tc>
        <w:tc>
          <w:tcPr>
            <w:tcW w:w="14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41  </w:t>
            </w:r>
          </w:p>
        </w:tc>
        <w:tc>
          <w:tcPr>
            <w:tcW w:w="14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20 </w:t>
            </w:r>
          </w:p>
        </w:tc>
        <w:tc>
          <w:tcPr>
            <w:tcW w:w="14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160  </w:t>
            </w:r>
          </w:p>
        </w:tc>
      </w:tr>
      <w:tr w:rsidR="00745DE5" w:rsidRPr="00745DE5" w:rsidTr="00745DE5">
        <w:trPr>
          <w:trHeight w:val="240"/>
        </w:trPr>
        <w:tc>
          <w:tcPr>
            <w:tcW w:w="31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As at 30.06.12 </w:t>
            </w:r>
          </w:p>
        </w:tc>
        <w:tc>
          <w:tcPr>
            <w:tcW w:w="186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124  </w:t>
            </w:r>
          </w:p>
        </w:tc>
        <w:tc>
          <w:tcPr>
            <w:tcW w:w="14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32  </w:t>
            </w:r>
          </w:p>
        </w:tc>
        <w:tc>
          <w:tcPr>
            <w:tcW w:w="14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14 </w:t>
            </w:r>
          </w:p>
        </w:tc>
        <w:tc>
          <w:tcPr>
            <w:tcW w:w="14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170  </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before="160" w:after="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RBB, Corporate Banking and Wealth and Investment Management activities are largely funded by customer deposits with the remaining funding secured against customer loans and advances. At Q3, the customer loan </w:t>
      </w:r>
      <w:r w:rsidRPr="00745DE5">
        <w:rPr>
          <w:rFonts w:ascii="Arial" w:eastAsia="Times New Roman" w:hAnsi="Arial" w:cs="Arial"/>
          <w:sz w:val="18"/>
          <w:szCs w:val="18"/>
          <w:lang w:eastAsia="en-GB"/>
        </w:rPr>
        <w:lastRenderedPageBreak/>
        <w:t>to deposit ratio for these businesses was 104% (30 June 2012: 106%, 31 December 2011: 111%) and the customer loan to deposit and secured funding ratio was 91% (30 June 2012: 94%, 31 December 2011:101%)</w:t>
      </w: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before="20" w:after="20" w:line="240" w:lineRule="auto"/>
        <w:ind w:left="284" w:hanging="284"/>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1   </w:t>
      </w:r>
      <w:r w:rsidRPr="00745DE5">
        <w:rPr>
          <w:rFonts w:ascii="Arial" w:eastAsia="Times New Roman" w:hAnsi="Arial" w:cs="Arial"/>
          <w:i/>
          <w:iCs/>
          <w:sz w:val="14"/>
          <w:szCs w:val="14"/>
          <w:lang w:eastAsia="en-GB"/>
        </w:rPr>
        <w:t xml:space="preserve"> Of which over 75% (30 June 2012: over 70%) of securities are comprised of United Kingdom, United States, Japan, France, Germany, Denmark and the Netherlands.</w:t>
      </w:r>
    </w:p>
    <w:p w:rsidR="00745DE5" w:rsidRPr="00745DE5" w:rsidRDefault="00745DE5" w:rsidP="00745DE5">
      <w:pPr>
        <w:spacing w:before="20" w:after="20" w:line="240" w:lineRule="auto"/>
        <w:ind w:left="284" w:hanging="284"/>
        <w:jc w:val="both"/>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2     Of which over 95% is placed with the Bank of England, US Federal Reserve, European Central Bank, Bank of Japan and Swiss National Bank.</w:t>
      </w:r>
    </w:p>
    <w:p w:rsidR="00745DE5" w:rsidRPr="00745DE5" w:rsidRDefault="00745DE5" w:rsidP="00745DE5">
      <w:pPr>
        <w:spacing w:before="20" w:after="20" w:line="240" w:lineRule="auto"/>
        <w:ind w:left="284" w:hanging="284"/>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3    </w:t>
      </w:r>
      <w:r w:rsidRPr="00745DE5">
        <w:rPr>
          <w:rFonts w:ascii="Arial" w:eastAsia="Times New Roman" w:hAnsi="Arial" w:cs="Arial"/>
          <w:i/>
          <w:iCs/>
          <w:sz w:val="14"/>
          <w:szCs w:val="14"/>
          <w:lang w:eastAsia="en-GB"/>
        </w:rPr>
        <w:t>£135bn (30 June 2012: £149bn) of which is FSA eligible.</w:t>
      </w:r>
    </w:p>
    <w:p w:rsidR="00745DE5" w:rsidRDefault="00745DE5" w:rsidP="00745DE5">
      <w:pPr>
        <w:spacing w:after="180" w:line="240" w:lineRule="auto"/>
        <w:jc w:val="both"/>
        <w:rPr>
          <w:rFonts w:ascii="Arial" w:eastAsia="Times New Roman" w:hAnsi="Arial" w:cs="Arial"/>
          <w:color w:val="000000"/>
          <w:sz w:val="24"/>
          <w:szCs w:val="24"/>
          <w:lang w:eastAsia="en-GB"/>
        </w:rPr>
      </w:pPr>
    </w:p>
    <w:p w:rsidR="00745DE5" w:rsidRDefault="00745DE5" w:rsidP="00745DE5">
      <w:pPr>
        <w:spacing w:after="180" w:line="240" w:lineRule="auto"/>
        <w:jc w:val="both"/>
        <w:rPr>
          <w:rFonts w:ascii="Arial" w:eastAsia="Times New Roman" w:hAnsi="Arial" w:cs="Arial"/>
          <w:color w:val="000000"/>
          <w:sz w:val="24"/>
          <w:szCs w:val="24"/>
          <w:lang w:eastAsia="en-GB"/>
        </w:rPr>
      </w:pPr>
    </w:p>
    <w:p w:rsidR="00745DE5" w:rsidRPr="00745DE5" w:rsidRDefault="00745DE5" w:rsidP="00745DE5">
      <w:pPr>
        <w:spacing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Group Performance Review</w:t>
      </w:r>
    </w:p>
    <w:p w:rsidR="00745DE5" w:rsidRPr="00745DE5" w:rsidRDefault="00745DE5" w:rsidP="00745DE5">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The Investment Bank's activities are primarily funded through wholesale markets. As at 30 September 2012, total wholesale funding outstanding (excluding repurchase agreements) was £253bn (30 June 2012: £263bn), of which £113bn matures in less than one year (30 June 2012: £118bn) and £39bn matures within one month (30 June 2012: £42bn)</w:t>
      </w:r>
    </w:p>
    <w:p w:rsidR="00745DE5" w:rsidRPr="00745DE5" w:rsidRDefault="00745DE5" w:rsidP="00745DE5">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Barclays has met its term funding needs for the period to the end of 2012. In the first 9 months of 2012, the funding requirement has reduced with the improvement in the customer loan to deposit ratio, and the Group has raised £22bn of term funding, including £1bn through Barclays participation in the Bank of England's Funding for Lending Scheme. The Group has £27bn of term funding maturing during 2012</w:t>
      </w:r>
    </w:p>
    <w:p w:rsidR="00745DE5" w:rsidRPr="00745DE5" w:rsidRDefault="00745DE5" w:rsidP="00745DE5">
      <w:pPr>
        <w:spacing w:after="180" w:line="240" w:lineRule="auto"/>
        <w:jc w:val="both"/>
        <w:rPr>
          <w:rFonts w:ascii="Arial" w:eastAsia="Times New Roman" w:hAnsi="Arial" w:cs="Arial"/>
          <w:b/>
          <w:bCs/>
          <w:sz w:val="18"/>
          <w:szCs w:val="18"/>
          <w:lang w:eastAsia="en-GB"/>
        </w:rPr>
      </w:pPr>
      <w:r w:rsidRPr="00745DE5">
        <w:rPr>
          <w:rFonts w:ascii="Arial" w:eastAsia="Times New Roman" w:hAnsi="Arial" w:cs="Arial"/>
          <w:b/>
          <w:bCs/>
          <w:sz w:val="24"/>
          <w:szCs w:val="24"/>
          <w:lang w:eastAsia="en-GB"/>
        </w:rPr>
        <w:t>Exposures to Selected Eurozone Countries</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During Q3 12, sovereign exposures to Spain, Italy, Portugal, Ireland, Greece and Cyprus reduced by 15% to £4.8bn</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Retail loans and advances in Spain, Italy and Portugal decreased 3% to £38.5bn, while lending to corporates decreased 19% to £8.2bn reflecting continued prudent risk management of portfolios. The 90 day arrears rates for the significant residential mortgage portfolios in Spain and Italy remained stable during Q3 12</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During Q3 12, mitigating actions were taken to reduce local net funding mismatches in particular through the attraction of corporate deposits in Spain and reducing corporate lending in Spain and Portugal. As a result, the aggregate net local balance sheet funding mismatch reduced from £2.5bn to £0.1bn in Spain and from £3.7bn to £3.3bn in Portugal. In Italy the net funding mismatch reduced from £11.9bn to £9.6bn</w:t>
      </w:r>
    </w:p>
    <w:p w:rsidR="00745DE5" w:rsidRPr="00745DE5" w:rsidRDefault="00745DE5" w:rsidP="00745DE5">
      <w:pPr>
        <w:spacing w:before="180"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sz w:val="24"/>
          <w:szCs w:val="24"/>
          <w:lang w:eastAsia="en-GB"/>
        </w:rPr>
        <w:t>Citizenship</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Provided £32.4bn (2011: £32.8bn) of gross new lending to UK households and businesses during 2012</w:t>
      </w:r>
    </w:p>
    <w:p w:rsidR="00745DE5" w:rsidRPr="00745DE5" w:rsidRDefault="00745DE5" w:rsidP="002E19B7">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We are committed to passing on the full funding benefit from the Funding for Lending Scheme to our customers. As part of this we have launched </w:t>
      </w:r>
      <w:proofErr w:type="spellStart"/>
      <w:r w:rsidRPr="00745DE5">
        <w:rPr>
          <w:rFonts w:ascii="Arial" w:eastAsia="Times New Roman" w:hAnsi="Arial" w:cs="Arial"/>
          <w:sz w:val="18"/>
          <w:szCs w:val="18"/>
          <w:lang w:eastAsia="en-GB"/>
        </w:rPr>
        <w:t>Cashback</w:t>
      </w:r>
      <w:proofErr w:type="spellEnd"/>
      <w:r w:rsidRPr="00745DE5">
        <w:rPr>
          <w:rFonts w:ascii="Arial" w:eastAsia="Times New Roman" w:hAnsi="Arial" w:cs="Arial"/>
          <w:sz w:val="18"/>
          <w:szCs w:val="18"/>
          <w:lang w:eastAsia="en-GB"/>
        </w:rPr>
        <w:t xml:space="preserve"> for Business, offering 2% </w:t>
      </w:r>
      <w:proofErr w:type="spellStart"/>
      <w:r w:rsidRPr="00745DE5">
        <w:rPr>
          <w:rFonts w:ascii="Arial" w:eastAsia="Times New Roman" w:hAnsi="Arial" w:cs="Arial"/>
          <w:sz w:val="18"/>
          <w:szCs w:val="18"/>
          <w:lang w:eastAsia="en-GB"/>
        </w:rPr>
        <w:t>cashback</w:t>
      </w:r>
      <w:proofErr w:type="spellEnd"/>
      <w:r w:rsidRPr="00745DE5">
        <w:rPr>
          <w:rFonts w:ascii="Arial" w:eastAsia="Times New Roman" w:hAnsi="Arial" w:cs="Arial"/>
          <w:sz w:val="18"/>
          <w:szCs w:val="18"/>
          <w:lang w:eastAsia="en-GB"/>
        </w:rPr>
        <w:t xml:space="preserve"> on loans for small and medium-sized enterprises in the UK</w:t>
      </w:r>
    </w:p>
    <w:p w:rsidR="00745DE5" w:rsidRPr="00745DE5" w:rsidRDefault="00745DE5" w:rsidP="002E19B7">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We supported 84,000 start-up businesses in the UK, the highest in a 9 month period since 1988 </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We raised £628bn of financing for businesses and governments globally</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We provided 280 new UK apprenticeships, demonstrating good progress towards our commitment of at least 1,000 apprenticeships by June 2013</w:t>
      </w:r>
    </w:p>
    <w:p w:rsidR="00745DE5" w:rsidRPr="00745DE5" w:rsidRDefault="00745DE5" w:rsidP="00745DE5">
      <w:pPr>
        <w:spacing w:after="180" w:line="240" w:lineRule="auto"/>
        <w:jc w:val="both"/>
        <w:rPr>
          <w:rFonts w:ascii="Arial" w:eastAsia="Times New Roman" w:hAnsi="Arial" w:cs="Arial"/>
          <w:b/>
          <w:bCs/>
          <w:sz w:val="18"/>
          <w:szCs w:val="18"/>
          <w:lang w:eastAsia="en-GB"/>
        </w:rPr>
      </w:pPr>
      <w:r w:rsidRPr="00745DE5">
        <w:rPr>
          <w:rFonts w:ascii="Arial" w:eastAsia="Times New Roman" w:hAnsi="Arial" w:cs="Arial"/>
          <w:b/>
          <w:bCs/>
          <w:sz w:val="24"/>
          <w:szCs w:val="24"/>
          <w:lang w:eastAsia="en-GB"/>
        </w:rPr>
        <w:t>Dividends</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It is our policy to declare and pay dividends on a quarterly basis. We will pay a third interim cash dividend for 2012 of 1p per share on 7 December 2012</w:t>
      </w:r>
    </w:p>
    <w:p w:rsidR="00745DE5" w:rsidRPr="00745DE5" w:rsidRDefault="00745DE5" w:rsidP="00745DE5">
      <w:pPr>
        <w:spacing w:after="180" w:line="240" w:lineRule="auto"/>
        <w:jc w:val="both"/>
        <w:rPr>
          <w:rFonts w:ascii="Arial" w:eastAsia="Times New Roman" w:hAnsi="Arial" w:cs="Arial"/>
          <w:b/>
          <w:bCs/>
          <w:sz w:val="18"/>
          <w:szCs w:val="18"/>
          <w:lang w:eastAsia="en-GB"/>
        </w:rPr>
      </w:pPr>
      <w:r w:rsidRPr="00745DE5">
        <w:rPr>
          <w:rFonts w:ascii="Arial" w:eastAsia="Times New Roman" w:hAnsi="Arial" w:cs="Arial"/>
          <w:b/>
          <w:bCs/>
          <w:sz w:val="24"/>
          <w:szCs w:val="24"/>
          <w:lang w:eastAsia="en-GB"/>
        </w:rPr>
        <w:t>Outlook</w:t>
      </w:r>
    </w:p>
    <w:p w:rsidR="00745DE5" w:rsidRPr="00745DE5" w:rsidRDefault="00745DE5" w:rsidP="002E19B7">
      <w:pPr>
        <w:spacing w:before="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Performance during October continues to be affected by the challenging economic environment and subdued market volumes. We continue to be cautious about the environment in which we operate and have positioned the Bank accordingly with an intense focus on costs, returns and capital. We remain confident in the strength of our market positions, our robust risk management and the benefits of our universal banking model</w:t>
      </w:r>
    </w:p>
    <w:p w:rsidR="00745DE5" w:rsidRDefault="00745DE5" w:rsidP="00745DE5">
      <w:pPr>
        <w:spacing w:before="100" w:beforeAutospacing="1" w:after="100" w:afterAutospacing="1" w:line="240" w:lineRule="auto"/>
        <w:rPr>
          <w:rFonts w:ascii="Arial" w:eastAsia="Times New Roman" w:hAnsi="Arial" w:cs="Arial"/>
          <w:sz w:val="18"/>
          <w:szCs w:val="18"/>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733"/>
        <w:gridCol w:w="1719"/>
        <w:gridCol w:w="1719"/>
        <w:gridCol w:w="963"/>
      </w:tblGrid>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UK RBB</w:t>
            </w:r>
            <w:r w:rsidRPr="00745DE5">
              <w:rPr>
                <w:rFonts w:ascii="Arial" w:eastAsia="Times New Roman" w:hAnsi="Arial" w:cs="Arial"/>
                <w:sz w:val="20"/>
                <w:szCs w:val="20"/>
                <w:vertAlign w:val="superscript"/>
                <w:lang w:eastAsia="en-GB"/>
              </w:rPr>
              <w:t xml:space="preserve">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Change</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basis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3,335 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3,527 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(198)</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(380)</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(48)</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Net operating income</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3,137 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3,147 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w:t>
            </w:r>
          </w:p>
        </w:tc>
      </w:tr>
      <w:tr w:rsidR="00745DE5" w:rsidRPr="00745DE5" w:rsidTr="00745DE5">
        <w:trPr>
          <w:trHeight w:val="255"/>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(1,991)</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(1,950)</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profit before tax</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1,146 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1,198 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Adjusting items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Provision for PPI redress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(850)</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(400)</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Statutory profit before tax</w:t>
            </w:r>
            <w:r w:rsidRPr="00745DE5">
              <w:rPr>
                <w:rFonts w:ascii="Arial" w:eastAsia="Times New Roman" w:hAnsi="Arial" w:cs="Arial"/>
                <w:sz w:val="16"/>
                <w:szCs w:val="16"/>
                <w:vertAlign w:val="superscript"/>
                <w:lang w:eastAsia="en-GB"/>
              </w:rPr>
              <w:t xml:space="preserve"> </w:t>
            </w:r>
          </w:p>
        </w:tc>
        <w:tc>
          <w:tcPr>
            <w:tcW w:w="175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296 </w:t>
            </w:r>
          </w:p>
        </w:tc>
        <w:tc>
          <w:tcPr>
            <w:tcW w:w="175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798 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(63)</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Performance Measures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return on average equity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16.9%</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16.7%</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return on average risk weighted assets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cost: income ratio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60%</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55%</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equity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4.4%</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11.0%</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risk weighted assets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0.9%</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Cost: income ratio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85%</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67%</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 loss rate (bps)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42 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Balance Sheet Information</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Borders>
              <w:top w:val="nil"/>
              <w:left w:val="nil"/>
              <w:bottom w:val="single" w:sz="8" w:space="0" w:color="A5A5A5"/>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c>
          <w:tcPr>
            <w:tcW w:w="975" w:type="dxa"/>
            <w:tcBorders>
              <w:top w:val="nil"/>
              <w:left w:val="nil"/>
              <w:bottom w:val="single" w:sz="8" w:space="0" w:color="A5A5A5"/>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Loans and advances to customers at amortised cost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£126.0bn</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£123.4bn</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Customer deposits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£114.5bn</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£113.9bn</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2E19B7">
      <w:pPr>
        <w:spacing w:before="160" w:after="16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2012 compared to 2011</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profit before tax decreased 4% to £1,146m. Statutory profit before tax was £296m (2011: £798m) after £850m (2011: £400m) provision for PPI redress, including claims management costs</w:t>
      </w:r>
    </w:p>
    <w:p w:rsidR="00745DE5" w:rsidRPr="00745DE5" w:rsidRDefault="00745DE5" w:rsidP="002E19B7">
      <w:pPr>
        <w:spacing w:before="160" w:after="16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Solid growth in new mortgage lending and customer deposits more than offset by higher funding costs and reduced structural hedge contribution </w:t>
      </w:r>
    </w:p>
    <w:p w:rsidR="00745DE5" w:rsidRPr="00745DE5" w:rsidRDefault="00745DE5" w:rsidP="002E19B7">
      <w:pPr>
        <w:spacing w:before="160" w:after="16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Reduction in impairment principally in personal unsecured lending</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Income declined 5% to £3,335m reflecting higher funding costs and reduced contribution from structural hedges in particular non recurrence of gains from the disposal of hedging instruments in Q3 11</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Credit impairment charges decreased 48% to £198m reflecting improvements across all portfolios, principally in personal unsecured lending</w:t>
      </w:r>
    </w:p>
    <w:p w:rsidR="00745DE5" w:rsidRPr="00745DE5" w:rsidRDefault="00745DE5" w:rsidP="002E19B7">
      <w:pPr>
        <w:spacing w:before="160" w:after="16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Loan loss rate reduced to 21bps (2011: 42bps) </w:t>
      </w:r>
    </w:p>
    <w:p w:rsidR="00745DE5" w:rsidRPr="00745DE5" w:rsidRDefault="00745DE5" w:rsidP="002E19B7">
      <w:pPr>
        <w:spacing w:before="160" w:after="16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90 day arrears rates on UK Personal Loans improved by 43bps to 1.35%</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Operating expenses, excluding the PPI provision and claims management costs, increased 2% to £1,991m </w:t>
      </w:r>
    </w:p>
    <w:p w:rsidR="00745DE5" w:rsidRPr="00745DE5" w:rsidRDefault="00745DE5" w:rsidP="002E19B7">
      <w:pPr>
        <w:spacing w:before="160" w:after="16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Q3 12 compared to Q2 12</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profit before tax decreased 3% to £400m, principally reflecting a non recurring impairment release in Q2 12. Statutory loss before tax of £150m (Q212: profit of £412m) reflecting an additional £550m provision for PPI redress</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Loans and advances to customers increased 2% to £126.0bn reflecting solid growth in mortgage balances. Customer deposits continued to grow to £114.5bn (30 June 2012: £113.9bn)</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lastRenderedPageBreak/>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Plans have been announced to acquire from ING Direct UK a deposit book with balances of £10.9bn and a mortgage book with outstanding balances of £5.6bn (as at 31 August 2012). The mortgage book had a loan to value ratio of 50% and is being acquired at an approximate 3% discount. The deposit book is being acquired at par. Completion is subject to regulatory approval and is expected to occur early in Q2 13</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735"/>
        <w:gridCol w:w="1718"/>
        <w:gridCol w:w="1718"/>
        <w:gridCol w:w="963"/>
      </w:tblGrid>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Europe RBB</w:t>
            </w:r>
            <w:r w:rsidRPr="00745DE5">
              <w:rPr>
                <w:rFonts w:ascii="Arial" w:eastAsia="Times New Roman" w:hAnsi="Arial" w:cs="Arial"/>
                <w:sz w:val="20"/>
                <w:szCs w:val="20"/>
                <w:vertAlign w:val="superscript"/>
                <w:lang w:eastAsia="en-GB"/>
              </w:rPr>
              <w:t xml:space="preserve">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Change</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and statutory basis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705 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979 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(233)</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(178)</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31 </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Net operating income</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472 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801 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(41)</w:t>
            </w:r>
          </w:p>
        </w:tc>
      </w:tr>
      <w:tr w:rsidR="00745DE5" w:rsidRPr="00745DE5" w:rsidTr="00745DE5">
        <w:trPr>
          <w:trHeight w:val="255"/>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(632)</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(920)</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(31)</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and statutory loss before tax</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(151)</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(109)</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39 </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Performance Measures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equity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(7.6%)</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(3.9%)</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risk weighted assets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(0.6%)</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Cost: income ratio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90%</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94%</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 loss rate (bps)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76 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52 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Balance Sheet Information</w:t>
            </w:r>
            <w:r w:rsidRPr="00745DE5">
              <w:rPr>
                <w:rFonts w:ascii="Arial" w:eastAsia="Times New Roman" w:hAnsi="Arial" w:cs="Arial"/>
                <w:sz w:val="20"/>
                <w:szCs w:val="20"/>
                <w:vertAlign w:val="superscript"/>
                <w:lang w:eastAsia="en-GB"/>
              </w:rPr>
              <w:t xml:space="preserve"> </w:t>
            </w:r>
          </w:p>
        </w:tc>
        <w:tc>
          <w:tcPr>
            <w:tcW w:w="1755" w:type="dxa"/>
            <w:tcBorders>
              <w:top w:val="nil"/>
              <w:left w:val="nil"/>
              <w:bottom w:val="single" w:sz="8" w:space="0" w:color="A5A5A5"/>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Borders>
              <w:top w:val="nil"/>
              <w:left w:val="nil"/>
              <w:bottom w:val="single" w:sz="8" w:space="0" w:color="A5A5A5"/>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Loans and advances to customers at amortised cost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£40.1bn</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£41.2bn</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Customer deposits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£18.1bn</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£18.4bn</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2E19B7">
      <w:pPr>
        <w:spacing w:before="180" w:after="180" w:line="240" w:lineRule="auto"/>
        <w:ind w:left="426"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2012 compared to 2011</w:t>
      </w:r>
    </w:p>
    <w:p w:rsidR="00745DE5" w:rsidRPr="00745DE5" w:rsidRDefault="00745DE5" w:rsidP="002E19B7">
      <w:pPr>
        <w:spacing w:before="180" w:after="180" w:line="240" w:lineRule="auto"/>
        <w:ind w:left="426"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Loss before tax increased 39% to £151m </w:t>
      </w:r>
    </w:p>
    <w:p w:rsidR="00745DE5" w:rsidRPr="00745DE5" w:rsidRDefault="00745DE5" w:rsidP="002E19B7">
      <w:pPr>
        <w:spacing w:before="180" w:after="180" w:line="240" w:lineRule="auto"/>
        <w:ind w:left="710"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Decrease in income reflecting the challenging economic environment in Europe</w:t>
      </w:r>
    </w:p>
    <w:p w:rsidR="00745DE5" w:rsidRPr="00745DE5" w:rsidRDefault="00745DE5" w:rsidP="002E19B7">
      <w:pPr>
        <w:spacing w:before="180" w:after="180" w:line="240" w:lineRule="auto"/>
        <w:ind w:left="710"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Offset by lower costs following restructuring charges in 2011 and subsequent cost savings</w:t>
      </w:r>
    </w:p>
    <w:p w:rsidR="00745DE5" w:rsidRPr="00745DE5" w:rsidRDefault="00745DE5" w:rsidP="002E19B7">
      <w:pPr>
        <w:spacing w:before="180" w:after="180" w:line="240" w:lineRule="auto"/>
        <w:ind w:left="426"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Income declined 28% to £705m reflecting lower volumes, reduced margins and non recurrence of gains from the disposal of hedging instruments in Q3 11</w:t>
      </w:r>
    </w:p>
    <w:p w:rsidR="00745DE5" w:rsidRPr="00745DE5" w:rsidRDefault="00745DE5" w:rsidP="002E19B7">
      <w:pPr>
        <w:spacing w:before="180" w:after="180" w:line="240" w:lineRule="auto"/>
        <w:ind w:left="426"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Credit impairment charges increased 31% to £233m due to deterioration in credit performance across Europe reflecting current economic conditions</w:t>
      </w:r>
    </w:p>
    <w:p w:rsidR="00745DE5" w:rsidRPr="00745DE5" w:rsidRDefault="00745DE5" w:rsidP="002E19B7">
      <w:pPr>
        <w:spacing w:before="180" w:after="180" w:line="240" w:lineRule="auto"/>
        <w:ind w:left="710"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Loan loss rate increased to 76bps (2011: 52bps)</w:t>
      </w:r>
    </w:p>
    <w:p w:rsidR="00745DE5" w:rsidRPr="00745DE5" w:rsidRDefault="00745DE5" w:rsidP="002E19B7">
      <w:pPr>
        <w:spacing w:before="180" w:after="180" w:line="240" w:lineRule="auto"/>
        <w:ind w:left="710"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90 day arrears rates for home loans deteriorated by 12bps to 0.83% reflecting deterioration across all countries, most notably in Spain</w:t>
      </w:r>
    </w:p>
    <w:p w:rsidR="00745DE5" w:rsidRPr="00745DE5" w:rsidRDefault="00745DE5" w:rsidP="002E19B7">
      <w:pPr>
        <w:spacing w:before="180" w:after="180" w:line="240" w:lineRule="auto"/>
        <w:ind w:left="426"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Operating expenses decreased 31% to £632m reflecting restructuring charges of £129m in 2011 and related cost savings</w:t>
      </w:r>
    </w:p>
    <w:p w:rsidR="00745DE5" w:rsidRPr="00745DE5" w:rsidRDefault="00745DE5" w:rsidP="002E19B7">
      <w:pPr>
        <w:spacing w:before="180" w:after="180" w:line="240" w:lineRule="auto"/>
        <w:ind w:left="426"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Q3 12 compared to Q2 12</w:t>
      </w:r>
    </w:p>
    <w:p w:rsidR="00745DE5" w:rsidRPr="00745DE5" w:rsidRDefault="00745DE5" w:rsidP="002E19B7">
      <w:pPr>
        <w:spacing w:before="180" w:after="180" w:line="240" w:lineRule="auto"/>
        <w:ind w:left="426"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Loss before tax increased by £10m to £59m driven by a decline in income reflecting the challenging economic environment in Europe, partially offset by cost savings</w:t>
      </w:r>
    </w:p>
    <w:p w:rsidR="00745DE5" w:rsidRPr="00745DE5" w:rsidRDefault="00745DE5" w:rsidP="002E19B7">
      <w:pPr>
        <w:spacing w:before="180" w:after="180" w:line="240" w:lineRule="auto"/>
        <w:ind w:left="426"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Loans and advances to customers decreased 3% to £40.1bn reflecting the strategy to reduce the net funding mismatch. Customer deposits decreased 2% to £18.1bn principally reflecting competitive pricing pressures </w:t>
      </w:r>
    </w:p>
    <w:p w:rsidR="00745DE5" w:rsidRDefault="00745DE5" w:rsidP="002E19B7">
      <w:pPr>
        <w:spacing w:line="240" w:lineRule="auto"/>
        <w:ind w:left="426"/>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735"/>
        <w:gridCol w:w="1718"/>
        <w:gridCol w:w="1718"/>
        <w:gridCol w:w="963"/>
      </w:tblGrid>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Africa RBB</w:t>
            </w:r>
            <w:r w:rsidRPr="00745DE5">
              <w:rPr>
                <w:rFonts w:ascii="Arial" w:eastAsia="Times New Roman" w:hAnsi="Arial" w:cs="Arial"/>
                <w:sz w:val="20"/>
                <w:szCs w:val="20"/>
                <w:vertAlign w:val="superscript"/>
                <w:lang w:eastAsia="en-GB"/>
              </w:rPr>
              <w:t xml:space="preserve">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Change</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basis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2,390 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2,710 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(501)</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(378)</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33 </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Net operating income</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1,889 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2,332 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(19)</w:t>
            </w:r>
          </w:p>
        </w:tc>
      </w:tr>
      <w:tr w:rsidR="00745DE5" w:rsidRPr="00745DE5" w:rsidTr="00745DE5">
        <w:trPr>
          <w:trHeight w:val="255"/>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(1,564)</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(1,774)</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profit before tax</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330 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561 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(41)</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Adjusting items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Gains on acquisitions and disposals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Statutory profit before tax</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330 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563 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(41)</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Performance Measures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return on average equity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4.9%</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9.6%</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return on average risk weighted assets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0.9%</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equity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4.9%</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9.7%</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risk weighted assets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0.9%</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Cost: income ratio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65%</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65%</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 loss rate (bps)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197 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138 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Balance Sheet Information</w:t>
            </w:r>
            <w:r w:rsidRPr="00745DE5">
              <w:rPr>
                <w:rFonts w:ascii="Arial" w:eastAsia="Times New Roman" w:hAnsi="Arial" w:cs="Arial"/>
                <w:sz w:val="20"/>
                <w:szCs w:val="20"/>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Loans and advances to customers at amortised cost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£32.5bn</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£34.1bn</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Customer deposits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£21.9bn</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£22.3bn</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2E19B7">
      <w:pPr>
        <w:spacing w:before="180" w:after="18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2012 compared to 2011</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Profit before tax decreased 41% to £330m</w:t>
      </w:r>
    </w:p>
    <w:p w:rsidR="00745DE5" w:rsidRPr="00745DE5" w:rsidRDefault="00745DE5" w:rsidP="002E19B7">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Higher credit impairment charges primarily in South African home loans recovery book</w:t>
      </w:r>
    </w:p>
    <w:p w:rsidR="00745DE5" w:rsidRPr="00745DE5" w:rsidRDefault="00745DE5" w:rsidP="002E19B7">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Adverse currency movements reflecting depreciation of major African currencies against Sterling</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Income declined 12% to £2,390m principally reflecting currency movements and non recurrence of gains from the disposal of Group hedging instruments in Q3 11</w:t>
      </w:r>
    </w:p>
    <w:p w:rsidR="00745DE5" w:rsidRPr="00745DE5" w:rsidRDefault="002E19B7" w:rsidP="002E19B7">
      <w:pPr>
        <w:spacing w:before="180" w:after="180" w:line="240" w:lineRule="auto"/>
        <w:ind w:left="284"/>
        <w:jc w:val="both"/>
        <w:rPr>
          <w:rFonts w:ascii="Arial" w:eastAsia="Times New Roman" w:hAnsi="Arial" w:cs="Arial"/>
          <w:sz w:val="18"/>
          <w:szCs w:val="18"/>
          <w:lang w:eastAsia="en-GB"/>
        </w:rPr>
      </w:pPr>
      <w:r>
        <w:rPr>
          <w:rFonts w:ascii="Symbol" w:eastAsia="Times New Roman" w:hAnsi="Symbol" w:cs="Arial"/>
          <w:sz w:val="18"/>
          <w:szCs w:val="18"/>
          <w:lang w:eastAsia="en-GB"/>
        </w:rPr>
        <w:t></w:t>
      </w:r>
      <w:r>
        <w:rPr>
          <w:rFonts w:ascii="Symbol" w:eastAsia="Times New Roman" w:hAnsi="Symbol" w:cs="Arial"/>
          <w:sz w:val="18"/>
          <w:szCs w:val="18"/>
          <w:lang w:eastAsia="en-GB"/>
        </w:rPr>
        <w:t></w:t>
      </w:r>
      <w:r>
        <w:rPr>
          <w:rFonts w:ascii="Symbol" w:eastAsia="Times New Roman" w:hAnsi="Symbol" w:cs="Arial"/>
          <w:sz w:val="18"/>
          <w:szCs w:val="18"/>
          <w:lang w:eastAsia="en-GB"/>
        </w:rPr>
        <w:t></w:t>
      </w:r>
      <w:r>
        <w:rPr>
          <w:rFonts w:ascii="Symbol" w:eastAsia="Times New Roman" w:hAnsi="Symbol" w:cs="Arial"/>
          <w:sz w:val="18"/>
          <w:szCs w:val="18"/>
          <w:lang w:eastAsia="en-GB"/>
        </w:rPr>
        <w:t></w:t>
      </w:r>
      <w:r w:rsidR="00745DE5" w:rsidRPr="00745DE5">
        <w:rPr>
          <w:rFonts w:ascii="Arial" w:eastAsia="Times New Roman" w:hAnsi="Arial" w:cs="Arial"/>
          <w:sz w:val="18"/>
          <w:szCs w:val="18"/>
          <w:lang w:eastAsia="en-GB"/>
        </w:rPr>
        <w:t>Excluding the impact of currency movements income is broadly in line</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Credit impairment charges increased 33% to £501m principally reflecting higher loss given default rates and higher levels of write-offs in the South African home loans recovery book</w:t>
      </w:r>
    </w:p>
    <w:p w:rsidR="00745DE5" w:rsidRPr="00745DE5" w:rsidRDefault="00745DE5" w:rsidP="002E19B7">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Loan loss rate increased to 197bps (2011: 138bps) </w:t>
      </w:r>
    </w:p>
    <w:p w:rsidR="00745DE5" w:rsidRPr="00745DE5" w:rsidRDefault="00745DE5" w:rsidP="002E19B7">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However 90 day arrears rate for home loans improved by 100bps to 2.20% reflecting improved new business and continuing low interest rate environment</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Operating expenses decreased by 12% to £1,564m reflecting currency movements and reduced costs in local currency</w:t>
      </w:r>
    </w:p>
    <w:p w:rsidR="00745DE5" w:rsidRPr="00745DE5" w:rsidRDefault="00745DE5" w:rsidP="002E19B7">
      <w:pPr>
        <w:spacing w:before="180" w:after="18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Q3 12 compared to Q2 12</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Profit before tax decreased 42% to £56m mainly reflecting higher operating costs driven by the timing of staff related and investment spend, while impairment charges in the South African home loans recovery book remained elevated</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lastRenderedPageBreak/>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Loans and advances to customers decreased 5% to £32.5bn reflecting adverse currency movements. Customer deposits decreased 2% to £21.9bn reflecting currency movements, partially offset by growth in local currency deposits in South Africa</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735"/>
        <w:gridCol w:w="1718"/>
        <w:gridCol w:w="1718"/>
        <w:gridCol w:w="963"/>
      </w:tblGrid>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Barclaycard</w:t>
            </w:r>
            <w:r w:rsidRPr="00745DE5">
              <w:rPr>
                <w:rFonts w:ascii="Arial" w:eastAsia="Times New Roman" w:hAnsi="Arial" w:cs="Arial"/>
                <w:sz w:val="20"/>
                <w:szCs w:val="20"/>
                <w:vertAlign w:val="superscript"/>
                <w:lang w:eastAsia="en-GB"/>
              </w:rPr>
              <w:t xml:space="preserve">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Change</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basis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3,072 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3,112 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(714)</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(988)</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Net operating income</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2,358 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2,124 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11 </w:t>
            </w:r>
          </w:p>
        </w:tc>
      </w:tr>
      <w:tr w:rsidR="00745DE5" w:rsidRPr="00745DE5" w:rsidTr="00745DE5">
        <w:trPr>
          <w:trHeight w:val="255"/>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(1,232)</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(1,201)</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3 </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profit before tax</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1,150 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949 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21 </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Adjusting items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Provision for PPI redress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(150)</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(600)</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Goodwill impairment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(47)</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Statutory profit before tax</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1,000 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302 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231 </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Performance Measures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return on average equity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22.7%</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18.4%</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return on average risk weighted assets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3.4%</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cost: income ratio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40%</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39%</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equity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19.5%</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4.3%</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risk weighted assets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2.9%</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0.8%</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Cost: income ratio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59%</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 loss rate (bps)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291 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423 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Balance Sheet Information</w:t>
            </w:r>
            <w:r w:rsidRPr="00745DE5">
              <w:rPr>
                <w:rFonts w:ascii="Arial" w:eastAsia="Times New Roman" w:hAnsi="Arial" w:cs="Arial"/>
                <w:sz w:val="20"/>
                <w:szCs w:val="20"/>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Loans and advances to customers at amortised cost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£30.9bn</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£30.6bn</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Customer deposits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£2.4bn</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£2.0bn</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2E19B7">
      <w:pPr>
        <w:spacing w:before="160" w:after="16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2012 compared to 2011</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Adjusted profit before tax improved 21% to £1,150m. Statutory profit before tax was £1,000m (2011: £302m) after £150m (2011: £600m) provision for PPI redress, including claim management costs, and goodwill impairment in 2011 </w:t>
      </w:r>
    </w:p>
    <w:p w:rsidR="00745DE5" w:rsidRPr="00745DE5" w:rsidRDefault="00745DE5" w:rsidP="002E19B7">
      <w:pPr>
        <w:spacing w:before="160" w:after="16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Solid profit growth within the UK and International businesses</w:t>
      </w:r>
    </w:p>
    <w:p w:rsidR="00745DE5" w:rsidRPr="00745DE5" w:rsidRDefault="00745DE5" w:rsidP="002E19B7">
      <w:pPr>
        <w:spacing w:before="160" w:after="16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Lower impairment reflecting improved delinquency performances</w:t>
      </w:r>
    </w:p>
    <w:p w:rsidR="00745DE5" w:rsidRPr="00745DE5" w:rsidRDefault="00745DE5" w:rsidP="002E19B7">
      <w:pPr>
        <w:spacing w:before="160" w:after="16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Strong returns with adjusted return on average equity improving to 22.7% (2011: 18.4%)</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Income remained in line with prior year at £3,072m (2011: £3,112m) reflecting continued growth across the business and contributions from 2011 portfolio acquisitions, offset by higher funding costs and non recurrence of gains from the disposal of hedging instruments in Q3 11</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Credit impairment charges decreased 28% to £714m reflecting lower charges in the European and US cards portfolios, driven by improved delinquency performances</w:t>
      </w:r>
    </w:p>
    <w:p w:rsidR="00745DE5" w:rsidRPr="00745DE5" w:rsidRDefault="00745DE5" w:rsidP="002E19B7">
      <w:pPr>
        <w:spacing w:before="160" w:after="16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Loan loss rate reduced to 291bps (2011: 423bps) </w:t>
      </w:r>
    </w:p>
    <w:p w:rsidR="00745DE5" w:rsidRPr="00745DE5" w:rsidRDefault="00745DE5" w:rsidP="002E19B7">
      <w:pPr>
        <w:spacing w:before="160" w:after="16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30 day arrears rates for consumer cards in UK down 26bps to 2.46%, in the US down 76bps to 2.48% and in South Africa down 13bps to 4.93% </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lastRenderedPageBreak/>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Operating expenses, excluding the PPI provision and claims management costs, increased 3% to £1,232m reflecting portfolio acquisitions and investment spend</w:t>
      </w:r>
    </w:p>
    <w:p w:rsidR="00745DE5" w:rsidRPr="00745DE5" w:rsidRDefault="00745DE5" w:rsidP="002E19B7">
      <w:pPr>
        <w:spacing w:before="160" w:after="16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Q3 12 compared to Q2 12</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profit before tax decreased 2% to £397m reflecting a non recurring impairment release in Q2 12. Profit before tax reduced £157m to £247m, reflecting an additional £150m provision for PPI redress</w:t>
      </w:r>
    </w:p>
    <w:p w:rsidR="00745DE5" w:rsidRPr="00745DE5" w:rsidRDefault="00745DE5" w:rsidP="002E19B7">
      <w:pPr>
        <w:spacing w:before="160" w:after="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Loans and advances to customers increased 1% to £30.9bn. Customer deposits increased £0.4bn to £2.4bn through deposit funding initiatives in the US and Germany</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733"/>
        <w:gridCol w:w="1719"/>
        <w:gridCol w:w="1719"/>
        <w:gridCol w:w="963"/>
      </w:tblGrid>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0"/>
                <w:szCs w:val="20"/>
                <w:lang w:eastAsia="en-GB"/>
              </w:rPr>
              <w:t xml:space="preserve">Investment Bank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Change</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and statutory basis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Fixed Income, Currency and Commodities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5,945 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5,354 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11 </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Equities and Prime Services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1,507 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1,446 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4 </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Investment Banking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1,497 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1,521 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Principal Investments </w:t>
            </w:r>
            <w:r w:rsidRPr="00745DE5">
              <w:rPr>
                <w:rFonts w:ascii="Arial" w:eastAsia="Times New Roman" w:hAnsi="Arial" w:cs="Arial"/>
                <w:sz w:val="13"/>
                <w:szCs w:val="13"/>
                <w:vertAlign w:val="superscript"/>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180 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196 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Total income</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9,129 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8,517 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7 </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(346)</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Net operating income</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8,783 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8,514 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3 </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(5,613)</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(5,831)</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35 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profit before tax and profit before tax</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3,205 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2,698 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19 </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Performance Measures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equity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14.2%</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12.0%</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risk weighted assets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Cost: income ratio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61%</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68%</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Cost: net operating income ratio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64%</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68%</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Compensation: income ratio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39%</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46%</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 loss rate (bps)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Balance Sheet Information</w:t>
            </w:r>
            <w:r w:rsidRPr="00745DE5">
              <w:rPr>
                <w:rFonts w:ascii="Arial" w:eastAsia="Times New Roman" w:hAnsi="Arial" w:cs="Arial"/>
                <w:sz w:val="20"/>
                <w:szCs w:val="20"/>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Loans and advances to banks and customers at amortised cost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£186.2bn</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£185.9bn</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Customer deposits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£105.9bn</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£114.5bn</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Assets contributing to adjusted gross leverage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£628.2bn</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£650.4bn</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Risk weighted assets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£180.4bn</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£190.6bn</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2E19B7">
      <w:pPr>
        <w:spacing w:before="180" w:after="18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2012 compared to 2011</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Profit before tax increased 19% to £3,205m, primarily driven by income growth of 7% and a reduction in operating expenses of 4% despite a £193m charge relating to the Investment Banking allocation of the £290m penalty arising from the industry wide investigation into the setting of inter-bank offered rates </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Total income increased 7% to £9,129m </w:t>
      </w:r>
    </w:p>
    <w:p w:rsidR="00745DE5" w:rsidRPr="00745DE5" w:rsidRDefault="00745DE5" w:rsidP="002E19B7">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Fixed Income, Currency and Commodities (FICC) income improved 11% to £5,945m, reflecting higher contributions from the Rates, Commodities and Emerging Markets businesses, partially offset by lower contributions from Foreign Exchange</w:t>
      </w:r>
    </w:p>
    <w:p w:rsidR="00745DE5" w:rsidRPr="00745DE5" w:rsidRDefault="00745DE5" w:rsidP="002E19B7">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Equities and Prime Services income increased 4% to £1,507m, reflecting improved performance in cash equities, despite subdued market volumes</w:t>
      </w:r>
    </w:p>
    <w:p w:rsidR="00745DE5" w:rsidRPr="00745DE5" w:rsidRDefault="00745DE5" w:rsidP="002E19B7">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lastRenderedPageBreak/>
        <w:t>-    Investment Banking income was comparable to 2011 at £1,497m, with improved performance in financial advisory offset by reduced performance in equity underwriting given lower deal activity.  Debt underwriting revenues were in line with the prior year</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Credit impairment charges of £346m (2011: £3m) primarily related to ABS CDO Super Senior positions and higher losses on single name exposures in H1 12. The prior year included a non recurring release of £223m</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Operating expenses decreased 4% to £5,613m, due to an 11% decline in total performance costs to £1,384m. Non-performance costs also decreased 1% to £4,229m whilst absorbing the £193m charge relating to the setting of inter-bank offered rates</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Cost to net operating income ratio of 64% (2011: 68%) within target range of 60% to 65%. The compensation to income ratio improved to 39% (2011: 46%)</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Return on average equity of 14.2% (2011: 12.0%) and return on average risk weighted assets of 1.6% (2011: 1.3%)</w:t>
      </w:r>
    </w:p>
    <w:p w:rsidR="00745DE5" w:rsidRDefault="00745DE5" w:rsidP="00745DE5">
      <w:pPr>
        <w:spacing w:after="180" w:line="240" w:lineRule="auto"/>
        <w:jc w:val="both"/>
        <w:rPr>
          <w:rFonts w:ascii="Arial" w:eastAsia="Times New Roman" w:hAnsi="Arial" w:cs="Arial"/>
          <w:color w:val="000000"/>
          <w:sz w:val="24"/>
          <w:szCs w:val="24"/>
          <w:lang w:eastAsia="en-GB"/>
        </w:rPr>
      </w:pPr>
    </w:p>
    <w:p w:rsidR="00745DE5" w:rsidRDefault="00745DE5" w:rsidP="00745DE5">
      <w:pPr>
        <w:spacing w:after="180" w:line="240" w:lineRule="auto"/>
        <w:jc w:val="both"/>
        <w:rPr>
          <w:rFonts w:ascii="Arial" w:eastAsia="Times New Roman" w:hAnsi="Arial" w:cs="Arial"/>
          <w:color w:val="000000"/>
          <w:sz w:val="24"/>
          <w:szCs w:val="24"/>
          <w:lang w:eastAsia="en-GB"/>
        </w:rPr>
      </w:pPr>
    </w:p>
    <w:p w:rsidR="00745DE5" w:rsidRPr="00745DE5" w:rsidRDefault="00745DE5" w:rsidP="00745DE5">
      <w:pPr>
        <w:spacing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Results by Business</w:t>
      </w:r>
    </w:p>
    <w:p w:rsidR="00745DE5" w:rsidRPr="00745DE5" w:rsidRDefault="00745DE5" w:rsidP="002E19B7">
      <w:pPr>
        <w:spacing w:before="180" w:after="18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Q3 12 compared to Q2 12</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Profit before tax decreased 6% to £937m, with a 13% reduction in income partially offset by credit impairment charges decreasing to £23m (Q2 12: £248m). Operating expenses decreased 6% on the prior quarter driven by reduced non-performance costs</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Total income of £2,633m was down 13% on the strong performance in Q2 12 reflecting a reduction in FICC income of 20%, partially offset by a 26% increase in Equities and Prime Services. Investment Banking revenues were comparable to the prior quarter</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Assets contributing to adjusted gross leverage decreased 3% to £628bn reflecting decreases in cash and balances at central banks and trading portfolio assets, partially offset by an increase in reverse repurchase agreements</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Risk weighted assets decreased 5% to £180bn driven by business risk reductions, which includes legacy sell downs, and foreign exchange movements. The benefit of risk reduction was partially offset by increases from adopting revised guidance from the FSA requiring higher loss given default assumptions on sovereign exposures</w:t>
      </w:r>
    </w:p>
    <w:p w:rsidR="00745DE5" w:rsidRPr="00745DE5" w:rsidRDefault="00745DE5" w:rsidP="002E19B7">
      <w:pPr>
        <w:spacing w:before="180" w:after="18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Q3 12 compared to Q3 11</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Profit before tax increased 141% to £937m driven by a 17% increase in income and a significant reduction in credit impairment charges. Operating expenses decreased 4%, with a reduction of 9% in non-performance costs, more than offsetting an increase in the charge for bonuses deferred from prior years</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Total income was up 17% reflecting improved performance in FICC by 10%, Equities and Prime Services by 58% and Investment Banking by 25%</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735"/>
        <w:gridCol w:w="1718"/>
        <w:gridCol w:w="1718"/>
        <w:gridCol w:w="963"/>
      </w:tblGrid>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Corporate Banking</w:t>
            </w:r>
            <w:r w:rsidRPr="00745DE5">
              <w:rPr>
                <w:rFonts w:ascii="Arial" w:eastAsia="Times New Roman" w:hAnsi="Arial" w:cs="Arial"/>
                <w:sz w:val="20"/>
                <w:szCs w:val="20"/>
                <w:vertAlign w:val="superscript"/>
                <w:lang w:eastAsia="en-GB"/>
              </w:rPr>
              <w:t xml:space="preserve">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103"/>
        </w:trPr>
        <w:tc>
          <w:tcPr>
            <w:tcW w:w="4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Change</w:t>
            </w:r>
          </w:p>
        </w:tc>
      </w:tr>
      <w:tr w:rsidR="00745DE5" w:rsidRPr="00745DE5" w:rsidTr="00745DE5">
        <w:trPr>
          <w:trHeight w:val="162"/>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basis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2,205 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2,398 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(635)</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(895)</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(29)</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Net operating income</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1,570 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1,503 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4 </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(1,130)</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(1,337)</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lastRenderedPageBreak/>
              <w:t>Adjusted profit before tax</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444 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167 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166 </w:t>
            </w:r>
          </w:p>
        </w:tc>
      </w:tr>
      <w:tr w:rsidR="00745DE5" w:rsidRPr="00745DE5" w:rsidTr="00745DE5">
        <w:trPr>
          <w:trHeight w:val="187"/>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sz w:val="16"/>
                <w:szCs w:val="16"/>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Adjusting items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Provision for interest rate hedging products redress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(450)</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Losses on disposal of Barclays Bank Russia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(64)</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Statutory (loss)/profit before tax</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103 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(106)</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sz w:val="16"/>
                <w:szCs w:val="16"/>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profit/(loss) before tax by geographic segment</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UK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681 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592 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15 </w:t>
            </w: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Europe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(290)</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(434)</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Rest of the World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53 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Corporate Banking</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444 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167 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166 </w:t>
            </w:r>
          </w:p>
        </w:tc>
      </w:tr>
      <w:tr w:rsidR="00745DE5" w:rsidRPr="00745DE5" w:rsidTr="00745DE5">
        <w:trPr>
          <w:trHeight w:val="113"/>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Performance Measures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return on average equity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return on average risk weighted assets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0.6%</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0.3%</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cost: income ratio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51%</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equity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(0.7%)</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risk weighted assets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(0.0%)</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0.1%</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Cost: income ratio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72%</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 loss rate (bps)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126 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164 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Balance Sheet Information</w:t>
            </w:r>
            <w:r w:rsidRPr="00745DE5">
              <w:rPr>
                <w:rFonts w:ascii="Arial" w:eastAsia="Times New Roman" w:hAnsi="Arial" w:cs="Arial"/>
                <w:sz w:val="20"/>
                <w:szCs w:val="20"/>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Borders>
              <w:top w:val="nil"/>
              <w:left w:val="nil"/>
              <w:bottom w:val="single" w:sz="8" w:space="0" w:color="A5A5A5"/>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Loans and advances to customers at amortised cost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£62.1bn</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£64.0bn</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Loans and advances to customers at fair value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£17.5bn</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£17.3bn</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Customer deposits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£91.4bn</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£88.5bn</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2E19B7">
      <w:pPr>
        <w:spacing w:before="120" w:after="16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2012 compared to 2011</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profit before tax improved £277m to £444m, including a gain of £61m (2011: loss of £72m) on the net valuation of fair value loans. Statutory loss before tax was £6m (2011: £103m profit), after charging £450m provision for interest rate hedging products redress</w:t>
      </w:r>
    </w:p>
    <w:p w:rsidR="00745DE5" w:rsidRPr="00745DE5" w:rsidRDefault="00745DE5" w:rsidP="002E19B7">
      <w:pPr>
        <w:spacing w:before="160" w:after="16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UK adjusted profit before tax improved 15% to £681m reflecting the gains on fair value loans and improved credit impairment partially offset by increased funding costs. UK statutory profit before tax decreased £361m to £231m after a £450m provision for interest rate hedging products redress</w:t>
      </w:r>
    </w:p>
    <w:p w:rsidR="00745DE5" w:rsidRPr="00745DE5" w:rsidRDefault="00745DE5" w:rsidP="002E19B7">
      <w:pPr>
        <w:spacing w:before="160" w:after="16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Europe loss before tax improved £144m to £290m principally due to reduced credit impairment charges in Spain of £271m (2011: £415m), although credit conditions remain challenging, and improved operating expenses benefiting from progress in restructuring businesses</w:t>
      </w:r>
    </w:p>
    <w:p w:rsidR="00745DE5" w:rsidRPr="00745DE5" w:rsidRDefault="00745DE5" w:rsidP="002E19B7">
      <w:pPr>
        <w:spacing w:before="160" w:after="16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Rest of the World adjusted profit before tax improved £44m to £53m reflecting lower operating expenses following the prior year restructuring and disposal of Barclays Bank Russia (BBR). Rest of the World statutory profit before tax improved £108m to £53m reflecting the prior year loss on disposal of BBR </w:t>
      </w:r>
    </w:p>
    <w:p w:rsidR="00745DE5" w:rsidRPr="00745DE5" w:rsidRDefault="00745DE5" w:rsidP="002E19B7">
      <w:pPr>
        <w:spacing w:before="160" w:after="16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Q3 12 compared to Q2 12</w:t>
      </w:r>
    </w:p>
    <w:p w:rsidR="00745DE5" w:rsidRPr="00745DE5" w:rsidRDefault="00745DE5" w:rsidP="002E19B7">
      <w:pPr>
        <w:spacing w:before="160" w:after="16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profit before tax declined 23% to £98m with lower income following restructuring certain non-UK businesses. Statutory profit before tax improved £421m to £98m, reflecting the £450m provision for interest rate hedging products redress in Q2 12</w:t>
      </w:r>
    </w:p>
    <w:p w:rsidR="00745DE5" w:rsidRPr="00745DE5" w:rsidRDefault="00745DE5" w:rsidP="002E19B7">
      <w:pPr>
        <w:spacing w:before="160" w:after="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Loans and advances to customers declined 3% to £62.1bn reflecting significant progress in restructuring businesses in Europe. Customer deposits increased 3% to £91.4bn primarily driven by growth in the UK</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733"/>
        <w:gridCol w:w="1719"/>
        <w:gridCol w:w="1719"/>
        <w:gridCol w:w="963"/>
      </w:tblGrid>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Wealth and Investment Management</w:t>
            </w:r>
            <w:r w:rsidRPr="00745DE5">
              <w:rPr>
                <w:rFonts w:ascii="Arial" w:eastAsia="Times New Roman" w:hAnsi="Arial" w:cs="Arial"/>
                <w:sz w:val="20"/>
                <w:szCs w:val="20"/>
                <w:vertAlign w:val="superscript"/>
                <w:lang w:eastAsia="en-GB"/>
              </w:rPr>
              <w:t xml:space="preserve">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Change</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and statutory basis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75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lastRenderedPageBreak/>
              <w:t xml:space="preserve">Total income net of insurance claims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1,334 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1,295 </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3 </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(31)</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w:t>
            </w: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Net operating income</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1,309 </w:t>
            </w:r>
          </w:p>
        </w:tc>
        <w:tc>
          <w:tcPr>
            <w:tcW w:w="175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1,264 </w:t>
            </w:r>
          </w:p>
        </w:tc>
        <w:tc>
          <w:tcPr>
            <w:tcW w:w="97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4 </w:t>
            </w: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(1,109)</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(1,109)</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expense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profit before tax and profit before tax</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200 </w:t>
            </w:r>
          </w:p>
        </w:tc>
        <w:tc>
          <w:tcPr>
            <w:tcW w:w="175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153 </w:t>
            </w:r>
          </w:p>
        </w:tc>
        <w:tc>
          <w:tcPr>
            <w:tcW w:w="97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31 </w:t>
            </w: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Performance Measures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equity </w:t>
            </w:r>
          </w:p>
        </w:tc>
        <w:tc>
          <w:tcPr>
            <w:tcW w:w="175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11.2%</w:t>
            </w:r>
          </w:p>
        </w:tc>
        <w:tc>
          <w:tcPr>
            <w:tcW w:w="175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10.7%</w:t>
            </w:r>
          </w:p>
        </w:tc>
        <w:tc>
          <w:tcPr>
            <w:tcW w:w="97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Return on average risk weighted assets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Cost: income ratio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83%</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86%</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 loss rate (bps)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22 </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Balance Sheet Information</w:t>
            </w:r>
            <w:r w:rsidRPr="00745DE5">
              <w:rPr>
                <w:rFonts w:ascii="Arial" w:eastAsia="Times New Roman" w:hAnsi="Arial" w:cs="Arial"/>
                <w:sz w:val="20"/>
                <w:szCs w:val="20"/>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Loans and advances to customers at amortised cost </w:t>
            </w:r>
          </w:p>
        </w:tc>
        <w:tc>
          <w:tcPr>
            <w:tcW w:w="175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£19.9bn</w:t>
            </w:r>
          </w:p>
        </w:tc>
        <w:tc>
          <w:tcPr>
            <w:tcW w:w="175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£19.8bn</w:t>
            </w:r>
          </w:p>
        </w:tc>
        <w:tc>
          <w:tcPr>
            <w:tcW w:w="97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Customer deposits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£52.2bn</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£50.0bn</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client assets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£177.6bn</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£176.1bn</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2E19B7">
      <w:pPr>
        <w:spacing w:before="180" w:after="18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2012 compared to 2011</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Profit before tax increased 31% to £200m</w:t>
      </w:r>
    </w:p>
    <w:p w:rsidR="00745DE5" w:rsidRPr="00745DE5" w:rsidRDefault="00745DE5" w:rsidP="002E19B7">
      <w:pPr>
        <w:numPr>
          <w:ilvl w:val="0"/>
          <w:numId w:val="1"/>
        </w:numPr>
        <w:spacing w:before="180" w:after="180" w:line="240" w:lineRule="auto"/>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Continue to execute strategic investment programme with a focus on building productive capacity </w:t>
      </w:r>
      <w:r w:rsidR="002E19B7">
        <w:rPr>
          <w:rFonts w:ascii="Arial" w:eastAsia="Times New Roman" w:hAnsi="Arial" w:cs="Arial"/>
          <w:sz w:val="18"/>
          <w:szCs w:val="18"/>
          <w:lang w:eastAsia="en-GB"/>
        </w:rPr>
        <w:t xml:space="preserve">and </w:t>
      </w:r>
      <w:r w:rsidRPr="00745DE5">
        <w:rPr>
          <w:rFonts w:ascii="Arial" w:eastAsia="Times New Roman" w:hAnsi="Arial" w:cs="Arial"/>
          <w:sz w:val="18"/>
          <w:szCs w:val="18"/>
          <w:lang w:eastAsia="en-GB"/>
        </w:rPr>
        <w:t>delivering a step change in the client experience</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Income increased by 3% to £1,334m driven by the High Net Worth businesses</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Operating expenses were flat as the continued cost of the strategic investment programme was offset by cost </w:t>
      </w:r>
      <w:r w:rsidR="002E19B7">
        <w:rPr>
          <w:rFonts w:ascii="Arial" w:eastAsia="Times New Roman" w:hAnsi="Arial" w:cs="Arial"/>
          <w:sz w:val="18"/>
          <w:szCs w:val="18"/>
          <w:lang w:eastAsia="en-GB"/>
        </w:rPr>
        <w:br/>
        <w:t xml:space="preserve"> </w:t>
      </w:r>
      <w:r w:rsidRPr="00745DE5">
        <w:rPr>
          <w:rFonts w:ascii="Arial" w:eastAsia="Times New Roman" w:hAnsi="Arial" w:cs="Arial"/>
          <w:sz w:val="18"/>
          <w:szCs w:val="18"/>
          <w:lang w:eastAsia="en-GB"/>
        </w:rPr>
        <w:t>control initiatives</w:t>
      </w:r>
    </w:p>
    <w:p w:rsidR="00745DE5" w:rsidRPr="00745DE5" w:rsidRDefault="00745DE5" w:rsidP="002E19B7">
      <w:pPr>
        <w:spacing w:before="180" w:after="18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Q3 12 compared to Q2 12</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Profit before tax increased 30% to £79m, principally due to reduced operating expenses</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Client assets increased 1% to £177.6bn (30 June 2012: £176.1bn) principally reflecting net new assets in </w:t>
      </w:r>
      <w:r w:rsidR="002E19B7">
        <w:rPr>
          <w:rFonts w:ascii="Arial" w:eastAsia="Times New Roman" w:hAnsi="Arial" w:cs="Arial"/>
          <w:sz w:val="18"/>
          <w:szCs w:val="18"/>
          <w:lang w:eastAsia="en-GB"/>
        </w:rPr>
        <w:t xml:space="preserve">  </w:t>
      </w:r>
      <w:r w:rsidR="002E19B7">
        <w:rPr>
          <w:rFonts w:ascii="Arial" w:eastAsia="Times New Roman" w:hAnsi="Arial" w:cs="Arial"/>
          <w:sz w:val="18"/>
          <w:szCs w:val="18"/>
          <w:lang w:eastAsia="en-GB"/>
        </w:rPr>
        <w:br/>
        <w:t xml:space="preserve"> </w:t>
      </w:r>
      <w:r w:rsidRPr="00745DE5">
        <w:rPr>
          <w:rFonts w:ascii="Arial" w:eastAsia="Times New Roman" w:hAnsi="Arial" w:cs="Arial"/>
          <w:sz w:val="18"/>
          <w:szCs w:val="18"/>
          <w:lang w:eastAsia="en-GB"/>
        </w:rPr>
        <w:t xml:space="preserve">High Net Worth businesses </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Loans and advances to customers increased 1% to £19.9bn. Customer deposits increased 4% to £52.2bn</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743"/>
        <w:gridCol w:w="1722"/>
        <w:gridCol w:w="1722"/>
        <w:gridCol w:w="947"/>
      </w:tblGrid>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0"/>
                <w:szCs w:val="20"/>
                <w:lang w:eastAsia="en-GB"/>
              </w:rPr>
              <w:t xml:space="preserve">Head Office and Other Operations </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basis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177 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(238)</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Net operating income</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172 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(236)</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55"/>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(561)</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(319)</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loss before tax</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(370)</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(555)</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Adjusting items</w:t>
            </w:r>
            <w:r w:rsidRPr="00745DE5">
              <w:rPr>
                <w:rFonts w:ascii="Arial" w:eastAsia="Times New Roman" w:hAnsi="Arial" w:cs="Arial"/>
                <w:sz w:val="16"/>
                <w:szCs w:val="16"/>
                <w:vertAlign w:val="superscript"/>
                <w:lang w:eastAsia="en-GB"/>
              </w:rPr>
              <w:t xml:space="preserve"> </w:t>
            </w: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Own credit </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(4,019)</w:t>
            </w:r>
          </w:p>
        </w:tc>
        <w:tc>
          <w:tcPr>
            <w:tcW w:w="17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2,971 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Impairment and gain/(loss) on disposal of </w:t>
            </w:r>
            <w:proofErr w:type="spellStart"/>
            <w:r w:rsidRPr="00745DE5">
              <w:rPr>
                <w:rFonts w:ascii="Arial" w:eastAsia="Times New Roman" w:hAnsi="Arial" w:cs="Arial"/>
                <w:sz w:val="16"/>
                <w:szCs w:val="16"/>
                <w:lang w:eastAsia="en-GB"/>
              </w:rPr>
              <w:t>BlackRock</w:t>
            </w:r>
            <w:proofErr w:type="spellEnd"/>
            <w:r w:rsidRPr="00745DE5">
              <w:rPr>
                <w:rFonts w:ascii="Arial" w:eastAsia="Times New Roman" w:hAnsi="Arial" w:cs="Arial"/>
                <w:sz w:val="16"/>
                <w:szCs w:val="16"/>
                <w:lang w:eastAsia="en-GB"/>
              </w:rPr>
              <w:t xml:space="preserve"> investment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227 </w:t>
            </w:r>
          </w:p>
        </w:tc>
        <w:tc>
          <w:tcPr>
            <w:tcW w:w="17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(1,858)</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86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Statutory (loss)/profit before tax</w:t>
            </w:r>
            <w:r w:rsidRPr="00745DE5">
              <w:rPr>
                <w:rFonts w:ascii="Arial" w:eastAsia="Times New Roman" w:hAnsi="Arial" w:cs="Arial"/>
                <w:sz w:val="16"/>
                <w:szCs w:val="16"/>
                <w:vertAlign w:val="superscript"/>
                <w:lang w:eastAsia="en-GB"/>
              </w:rPr>
              <w:t xml:space="preserve"> </w:t>
            </w:r>
          </w:p>
        </w:tc>
        <w:tc>
          <w:tcPr>
            <w:tcW w:w="175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(4,162)</w:t>
            </w:r>
          </w:p>
        </w:tc>
        <w:tc>
          <w:tcPr>
            <w:tcW w:w="175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558 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2E19B7">
      <w:pPr>
        <w:spacing w:before="180" w:after="18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lastRenderedPageBreak/>
        <w:t>2012 compared to 2011</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loss before tax improved 33% to £370m</w:t>
      </w:r>
    </w:p>
    <w:p w:rsidR="00745DE5" w:rsidRPr="00745DE5" w:rsidRDefault="00745DE5" w:rsidP="002E19B7">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Adjusted income improved to £177m (2011: loss of £238m), principally due to changes in the value of hedges relating to employee share awards. These were closed out during Q1 12</w:t>
      </w:r>
    </w:p>
    <w:p w:rsidR="00745DE5" w:rsidRPr="00745DE5" w:rsidRDefault="00745DE5" w:rsidP="002E19B7">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Operating expenses increased to £561m (2011: £319m) due to higher costs relating to the Financial Services Compensation Scheme and a £97m charge relating to the allocation to Head Office and Other Operations of the £290m penalty arising from the industry wide investigation into the setting of interbank offered rates</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Statutory loss before tax was £4,162m (2011: £558m profit), including an own credit charge of £4,019m (2011: £2,971m gain) partially offset by the impact of the </w:t>
      </w:r>
      <w:proofErr w:type="spellStart"/>
      <w:r w:rsidRPr="00745DE5">
        <w:rPr>
          <w:rFonts w:ascii="Arial" w:eastAsia="Times New Roman" w:hAnsi="Arial" w:cs="Arial"/>
          <w:sz w:val="18"/>
          <w:szCs w:val="18"/>
          <w:lang w:eastAsia="en-GB"/>
        </w:rPr>
        <w:t>BlackRock</w:t>
      </w:r>
      <w:proofErr w:type="spellEnd"/>
      <w:r w:rsidRPr="00745DE5">
        <w:rPr>
          <w:rFonts w:ascii="Arial" w:eastAsia="Times New Roman" w:hAnsi="Arial" w:cs="Arial"/>
          <w:sz w:val="18"/>
          <w:szCs w:val="18"/>
          <w:lang w:eastAsia="en-GB"/>
        </w:rPr>
        <w:t xml:space="preserve"> investment disposal</w:t>
      </w:r>
    </w:p>
    <w:p w:rsidR="00745DE5" w:rsidRPr="00745DE5" w:rsidRDefault="00745DE5" w:rsidP="002E19B7">
      <w:pPr>
        <w:spacing w:before="180" w:after="180" w:line="240" w:lineRule="auto"/>
        <w:ind w:left="284" w:hanging="284"/>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Q3 12 compared to Q2 12</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Q3 12 adjusted loss before tax improved to £181m (Q2 12: £272m) due to a £115m reduction in operating expenses reflecting non recurrence of the penalty arising from the investigation into interbank offered rates recognised in Q2 12</w:t>
      </w:r>
    </w:p>
    <w:p w:rsidR="00745DE5" w:rsidRPr="00745DE5" w:rsidRDefault="00745DE5" w:rsidP="00745DE5">
      <w:pPr>
        <w:spacing w:before="180" w:after="180" w:line="240" w:lineRule="auto"/>
        <w:ind w:left="141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w:t>
      </w:r>
    </w:p>
    <w:p w:rsidR="00745DE5" w:rsidRDefault="00745DE5" w:rsidP="00745DE5">
      <w:pPr>
        <w:spacing w:before="180" w:line="240" w:lineRule="auto"/>
        <w:ind w:left="1418" w:hanging="284"/>
        <w:rPr>
          <w:rFonts w:ascii="Arial" w:eastAsia="Times New Roman" w:hAnsi="Arial" w:cs="Arial"/>
          <w:b/>
          <w:bCs/>
          <w:sz w:val="18"/>
          <w:szCs w:val="18"/>
          <w:lang w:eastAsia="en-GB"/>
        </w:rPr>
      </w:pPr>
    </w:p>
    <w:p w:rsidR="00745DE5" w:rsidRDefault="00745DE5" w:rsidP="00745DE5">
      <w:pPr>
        <w:spacing w:before="180" w:line="240" w:lineRule="auto"/>
        <w:ind w:left="1418" w:hanging="284"/>
        <w:rPr>
          <w:rFonts w:ascii="Arial" w:eastAsia="Times New Roman" w:hAnsi="Arial" w:cs="Arial"/>
          <w:b/>
          <w:bCs/>
          <w:sz w:val="18"/>
          <w:szCs w:val="18"/>
          <w:lang w:eastAsia="en-GB"/>
        </w:rPr>
      </w:pPr>
    </w:p>
    <w:p w:rsidR="00745DE5" w:rsidRPr="00745DE5" w:rsidRDefault="00745DE5" w:rsidP="00745DE5">
      <w:pPr>
        <w:spacing w:before="180" w:line="240" w:lineRule="auto"/>
        <w:ind w:left="1418" w:hanging="284"/>
        <w:rPr>
          <w:rFonts w:ascii="Arial" w:eastAsia="Times New Roman" w:hAnsi="Arial" w:cs="Arial"/>
          <w:b/>
          <w:bCs/>
          <w:sz w:val="18"/>
          <w:szCs w:val="18"/>
          <w:lang w:eastAsia="en-GB"/>
        </w:rPr>
      </w:pPr>
      <w:r w:rsidRPr="00745DE5">
        <w:rPr>
          <w:rFonts w:ascii="Arial" w:eastAsia="Times New Roman" w:hAnsi="Arial" w:cs="Arial"/>
          <w:b/>
          <w:bCs/>
          <w:color w:val="000000"/>
          <w:sz w:val="24"/>
          <w:szCs w:val="24"/>
          <w:lang w:eastAsia="en-GB"/>
        </w:rPr>
        <w:t>Appendix I - Quarterly Results Summary</w:t>
      </w:r>
    </w:p>
    <w:p w:rsidR="00745DE5" w:rsidRPr="00745DE5" w:rsidRDefault="00745DE5" w:rsidP="00745DE5">
      <w:pPr>
        <w:spacing w:before="100" w:beforeAutospacing="1" w:after="100" w:afterAutospacing="1" w:line="240" w:lineRule="auto"/>
        <w:rPr>
          <w:rFonts w:ascii="Times New Roman" w:eastAsia="Times New Roman" w:hAnsi="Times New Roman"/>
          <w:sz w:val="24"/>
          <w:szCs w:val="24"/>
          <w:lang w:eastAsia="en-GB"/>
        </w:rPr>
      </w:pPr>
    </w:p>
    <w:tbl>
      <w:tblPr>
        <w:tblW w:w="0" w:type="auto"/>
        <w:tblInd w:w="-36" w:type="dxa"/>
        <w:tblCellMar>
          <w:left w:w="0" w:type="dxa"/>
          <w:right w:w="0" w:type="dxa"/>
        </w:tblCellMar>
        <w:tblLook w:val="04A0" w:firstRow="1" w:lastRow="0" w:firstColumn="1" w:lastColumn="0" w:noHBand="0" w:noVBand="1"/>
      </w:tblPr>
      <w:tblGrid>
        <w:gridCol w:w="3675"/>
        <w:gridCol w:w="750"/>
        <w:gridCol w:w="750"/>
        <w:gridCol w:w="750"/>
        <w:gridCol w:w="78"/>
        <w:gridCol w:w="750"/>
        <w:gridCol w:w="750"/>
        <w:gridCol w:w="750"/>
        <w:gridCol w:w="750"/>
      </w:tblGrid>
      <w:tr w:rsidR="00745DE5" w:rsidRPr="00745DE5" w:rsidTr="00745DE5">
        <w:trPr>
          <w:trHeight w:val="240"/>
        </w:trPr>
        <w:tc>
          <w:tcPr>
            <w:tcW w:w="367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UK RBB</w:t>
            </w:r>
            <w:r w:rsidRPr="00745DE5">
              <w:rPr>
                <w:rFonts w:ascii="Arial" w:eastAsia="Times New Roman" w:hAnsi="Arial" w:cs="Arial"/>
                <w:sz w:val="20"/>
                <w:szCs w:val="20"/>
                <w:vertAlign w:val="superscript"/>
                <w:lang w:eastAsia="en-GB"/>
              </w:rPr>
              <w:t xml:space="preserve"> </w:t>
            </w: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Q312</w:t>
            </w: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Q212</w:t>
            </w: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Q112</w:t>
            </w:r>
          </w:p>
        </w:tc>
        <w:tc>
          <w:tcPr>
            <w:tcW w:w="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Q411</w:t>
            </w: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Q311</w:t>
            </w: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Q211</w:t>
            </w: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Q111</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Adjusted basis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1,130 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1,128 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1,077 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1,129 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1,273 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1,170 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1,084 </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(76)</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(46)</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(76)</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(156)</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(105)</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(131)</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(144)</w:t>
            </w:r>
          </w:p>
        </w:tc>
      </w:tr>
      <w:tr w:rsidR="00745DE5" w:rsidRPr="00745DE5" w:rsidTr="00745DE5">
        <w:trPr>
          <w:trHeight w:val="255"/>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Net operating income </w:t>
            </w:r>
            <w:r w:rsidRPr="00745DE5">
              <w:rPr>
                <w:rFonts w:ascii="Arial" w:eastAsia="Times New Roman" w:hAnsi="Arial" w:cs="Arial"/>
                <w:b/>
                <w:bCs/>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1,054 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1,082 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1,001 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973 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1,168 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1,039 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940 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r w:rsidRPr="00745DE5">
              <w:rPr>
                <w:rFonts w:ascii="Arial" w:eastAsia="Times New Roman" w:hAnsi="Arial" w:cs="Arial"/>
                <w:sz w:val="13"/>
                <w:szCs w:val="13"/>
                <w:vertAlign w:val="superscript"/>
                <w:lang w:eastAsia="en-GB"/>
              </w:rPr>
              <w:t>1 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(654)</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(671)</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(666)</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(752)</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(675)</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(622)</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(653)</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income/(expense)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Adjusted profit before tax </w:t>
            </w:r>
            <w:r w:rsidRPr="00745DE5">
              <w:rPr>
                <w:rFonts w:ascii="Arial" w:eastAsia="Times New Roman" w:hAnsi="Arial" w:cs="Arial"/>
                <w:b/>
                <w:bCs/>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400 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412 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334 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222 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494 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416 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288 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  </w:t>
            </w:r>
            <w:r w:rsidRPr="00745DE5">
              <w:rPr>
                <w:rFonts w:ascii="Arial" w:eastAsia="Times New Roman" w:hAnsi="Arial" w:cs="Arial"/>
                <w:sz w:val="16"/>
                <w:szCs w:val="16"/>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Adjusting items </w:t>
            </w:r>
            <w:r w:rsidRPr="00745DE5">
              <w:rPr>
                <w:rFonts w:ascii="Arial" w:eastAsia="Times New Roman" w:hAnsi="Arial" w:cs="Arial"/>
                <w:sz w:val="16"/>
                <w:szCs w:val="16"/>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Provision for PPI redress </w:t>
            </w:r>
            <w:r w:rsidRPr="00745DE5">
              <w:rPr>
                <w:rFonts w:ascii="Arial" w:eastAsia="Times New Roman" w:hAnsi="Arial" w:cs="Arial"/>
                <w:sz w:val="13"/>
                <w:szCs w:val="13"/>
                <w:vertAlign w:val="superscript"/>
                <w:lang w:eastAsia="en-GB"/>
              </w:rPr>
              <w:t>1 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(550)</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(300)</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(400)</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7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Statutory (loss)/profit before tax </w:t>
            </w:r>
            <w:r w:rsidRPr="00745DE5">
              <w:rPr>
                <w:rFonts w:ascii="Arial" w:eastAsia="Times New Roman" w:hAnsi="Arial" w:cs="Arial"/>
                <w:b/>
                <w:bCs/>
                <w:sz w:val="13"/>
                <w:szCs w:val="13"/>
                <w:vertAlign w:val="superscript"/>
                <w:lang w:eastAsia="en-GB"/>
              </w:rPr>
              <w:t> </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(150)</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412 </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34 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222 </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494 </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16 </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288 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line="240" w:lineRule="auto"/>
        <w:rPr>
          <w:rFonts w:ascii="Arial" w:eastAsia="Times New Roman" w:hAnsi="Arial" w:cs="Arial"/>
          <w:b/>
          <w:bCs/>
          <w:sz w:val="2"/>
          <w:szCs w:val="2"/>
          <w:lang w:eastAsia="en-GB"/>
        </w:rPr>
      </w:pPr>
      <w:r w:rsidRPr="00745DE5">
        <w:rPr>
          <w:rFonts w:ascii="Arial" w:eastAsia="Times New Roman" w:hAnsi="Arial" w:cs="Arial"/>
          <w:b/>
          <w:bCs/>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675"/>
        <w:gridCol w:w="750"/>
        <w:gridCol w:w="750"/>
        <w:gridCol w:w="750"/>
        <w:gridCol w:w="78"/>
        <w:gridCol w:w="750"/>
        <w:gridCol w:w="750"/>
        <w:gridCol w:w="750"/>
        <w:gridCol w:w="750"/>
      </w:tblGrid>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Europe RBB</w:t>
            </w:r>
            <w:r w:rsidRPr="00745DE5">
              <w:rPr>
                <w:rFonts w:ascii="Arial" w:eastAsia="Times New Roman" w:hAnsi="Arial" w:cs="Arial"/>
                <w:sz w:val="16"/>
                <w:szCs w:val="16"/>
                <w:vertAlign w:val="superscript"/>
                <w:lang w:eastAsia="en-GB"/>
              </w:rPr>
              <w:t xml:space="preserv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Adjusted basis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219 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243 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243 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247 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375 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309 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295 </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(76)</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(85)</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(72)</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(83)</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(62)</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(47)</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(69)</w:t>
            </w:r>
          </w:p>
        </w:tc>
      </w:tr>
      <w:tr w:rsidR="00745DE5" w:rsidRPr="00745DE5" w:rsidTr="00745DE5">
        <w:trPr>
          <w:trHeight w:val="255"/>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Net operating income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143 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171 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164 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313 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262 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226 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(204)</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(211)</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(217)</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(291)</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(263)</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(368)</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(289)</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4 </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Adjusted (loss)/profit before tax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(59)</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(49)</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(43)</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(125)</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52 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(102)</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(59)</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  </w:t>
            </w:r>
            <w:r w:rsidRPr="00745DE5">
              <w:rPr>
                <w:rFonts w:ascii="Arial" w:eastAsia="Times New Roman" w:hAnsi="Arial" w:cs="Arial"/>
                <w:sz w:val="16"/>
                <w:szCs w:val="16"/>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Adjusting items </w:t>
            </w:r>
            <w:r w:rsidRPr="00745DE5">
              <w:rPr>
                <w:rFonts w:ascii="Arial" w:eastAsia="Times New Roman" w:hAnsi="Arial" w:cs="Arial"/>
                <w:sz w:val="16"/>
                <w:szCs w:val="16"/>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Goodwill impairment </w:t>
            </w:r>
            <w:r w:rsidRPr="00745DE5">
              <w:rPr>
                <w:rFonts w:ascii="Arial" w:eastAsia="Times New Roman" w:hAnsi="Arial" w:cs="Arial"/>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(427)</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p>
        </w:tc>
      </w:tr>
      <w:tr w:rsidR="00745DE5" w:rsidRPr="00745DE5" w:rsidTr="00745DE5">
        <w:trPr>
          <w:trHeight w:val="240"/>
        </w:trPr>
        <w:tc>
          <w:tcPr>
            <w:tcW w:w="367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Statutory (loss)/profit before tax </w:t>
            </w:r>
            <w:r w:rsidRPr="00745DE5">
              <w:rPr>
                <w:rFonts w:ascii="Arial" w:eastAsia="Times New Roman" w:hAnsi="Arial" w:cs="Arial"/>
                <w:sz w:val="16"/>
                <w:szCs w:val="16"/>
                <w:vertAlign w:val="superscript"/>
                <w:lang w:eastAsia="en-GB"/>
              </w:rPr>
              <w:t> </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(59)</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(49)</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(43)</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(552)</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52 </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(102)</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(59)</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line="240" w:lineRule="auto"/>
        <w:rPr>
          <w:rFonts w:ascii="Arial" w:eastAsia="Times New Roman" w:hAnsi="Arial" w:cs="Arial"/>
          <w:b/>
          <w:bCs/>
          <w:sz w:val="2"/>
          <w:szCs w:val="2"/>
          <w:lang w:eastAsia="en-GB"/>
        </w:rPr>
      </w:pPr>
      <w:r w:rsidRPr="00745DE5">
        <w:rPr>
          <w:rFonts w:ascii="Arial" w:eastAsia="Times New Roman" w:hAnsi="Arial" w:cs="Arial"/>
          <w:b/>
          <w:bCs/>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675"/>
        <w:gridCol w:w="750"/>
        <w:gridCol w:w="750"/>
        <w:gridCol w:w="750"/>
        <w:gridCol w:w="78"/>
        <w:gridCol w:w="750"/>
        <w:gridCol w:w="750"/>
        <w:gridCol w:w="750"/>
        <w:gridCol w:w="750"/>
      </w:tblGrid>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Africa RBB</w:t>
            </w:r>
            <w:r w:rsidRPr="00745DE5">
              <w:rPr>
                <w:rFonts w:ascii="Arial" w:eastAsia="Times New Roman" w:hAnsi="Arial" w:cs="Arial"/>
                <w:sz w:val="16"/>
                <w:szCs w:val="16"/>
                <w:vertAlign w:val="superscript"/>
                <w:lang w:eastAsia="en-GB"/>
              </w:rPr>
              <w:t xml:space="preserv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lastRenderedPageBreak/>
              <w:t xml:space="preserve">Adjusted basis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765 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795 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830 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861 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940 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906 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864 </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(180)</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(214)</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(107)</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(88)</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(108)</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(126)</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(144)</w:t>
            </w:r>
          </w:p>
        </w:tc>
      </w:tr>
      <w:tr w:rsidR="00745DE5" w:rsidRPr="00745DE5" w:rsidTr="00745DE5">
        <w:trPr>
          <w:trHeight w:val="255"/>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Net operating income </w:t>
            </w:r>
            <w:r w:rsidRPr="00745DE5">
              <w:rPr>
                <w:rFonts w:ascii="Arial" w:eastAsia="Times New Roman" w:hAnsi="Arial" w:cs="Arial"/>
                <w:b/>
                <w:bCs/>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585 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581 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723 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773 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832 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780 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720 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(531)</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(485)</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(548)</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(505)</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(613)</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(586)</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(575)</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Adjusted profit before tax </w:t>
            </w:r>
            <w:r w:rsidRPr="00745DE5">
              <w:rPr>
                <w:rFonts w:ascii="Arial" w:eastAsia="Times New Roman" w:hAnsi="Arial" w:cs="Arial"/>
                <w:b/>
                <w:bCs/>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56 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177 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269 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219 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195 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147 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  </w:t>
            </w:r>
            <w:r w:rsidRPr="00745DE5">
              <w:rPr>
                <w:rFonts w:ascii="Arial" w:eastAsia="Times New Roman" w:hAnsi="Arial" w:cs="Arial"/>
                <w:sz w:val="16"/>
                <w:szCs w:val="16"/>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55"/>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Adjusting items </w:t>
            </w:r>
            <w:r w:rsidRPr="00745DE5">
              <w:rPr>
                <w:rFonts w:ascii="Arial" w:eastAsia="Times New Roman" w:hAnsi="Arial" w:cs="Arial"/>
                <w:sz w:val="16"/>
                <w:szCs w:val="16"/>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Gains on acquisitions and disposals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Statutory profit before tax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56 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177 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269 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221 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195 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147 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line="240" w:lineRule="auto"/>
        <w:rPr>
          <w:rFonts w:ascii="Arial" w:eastAsia="Times New Roman" w:hAnsi="Arial" w:cs="Arial"/>
          <w:b/>
          <w:bCs/>
          <w:sz w:val="2"/>
          <w:szCs w:val="2"/>
          <w:lang w:eastAsia="en-GB"/>
        </w:rPr>
      </w:pPr>
      <w:r w:rsidRPr="00745DE5">
        <w:rPr>
          <w:rFonts w:ascii="Arial" w:eastAsia="Times New Roman" w:hAnsi="Arial" w:cs="Arial"/>
          <w:b/>
          <w:bCs/>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675"/>
        <w:gridCol w:w="750"/>
        <w:gridCol w:w="750"/>
        <w:gridCol w:w="750"/>
        <w:gridCol w:w="78"/>
        <w:gridCol w:w="750"/>
        <w:gridCol w:w="750"/>
        <w:gridCol w:w="750"/>
        <w:gridCol w:w="750"/>
      </w:tblGrid>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Barclaycard</w:t>
            </w:r>
            <w:r w:rsidRPr="00745DE5">
              <w:rPr>
                <w:rFonts w:ascii="Arial" w:eastAsia="Times New Roman" w:hAnsi="Arial" w:cs="Arial"/>
                <w:sz w:val="16"/>
                <w:szCs w:val="16"/>
                <w:vertAlign w:val="superscript"/>
                <w:lang w:eastAsia="en-GB"/>
              </w:rPr>
              <w:t xml:space="preserv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Adjusted basis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1,046 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1,036 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990 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983 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1,140 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1,012 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960 </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(254)</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(228)</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(232)</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(271)</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(340)</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(344)</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(304)</w:t>
            </w:r>
          </w:p>
        </w:tc>
      </w:tr>
      <w:tr w:rsidR="00745DE5" w:rsidRPr="00745DE5" w:rsidTr="00745DE5">
        <w:trPr>
          <w:trHeight w:val="255"/>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Net operating income </w:t>
            </w:r>
            <w:r w:rsidRPr="00745DE5">
              <w:rPr>
                <w:rFonts w:ascii="Arial" w:eastAsia="Times New Roman" w:hAnsi="Arial" w:cs="Arial"/>
                <w:b/>
                <w:bCs/>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792 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808 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758 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712 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800 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668 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656 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r w:rsidRPr="00745DE5">
              <w:rPr>
                <w:rFonts w:ascii="Arial" w:eastAsia="Times New Roman" w:hAnsi="Arial" w:cs="Arial"/>
                <w:sz w:val="13"/>
                <w:szCs w:val="13"/>
                <w:vertAlign w:val="superscript"/>
                <w:lang w:eastAsia="en-GB"/>
              </w:rPr>
              <w:t>1 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(402)</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(412)</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(418)</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(458)</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(430)</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(400)</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(371)</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11 </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Adjusted profit before tax </w:t>
            </w:r>
            <w:r w:rsidRPr="00745DE5">
              <w:rPr>
                <w:rFonts w:ascii="Arial" w:eastAsia="Times New Roman" w:hAnsi="Arial" w:cs="Arial"/>
                <w:b/>
                <w:bCs/>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397 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404 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349 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259 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378 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275 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296 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  </w:t>
            </w:r>
            <w:r w:rsidRPr="00745DE5">
              <w:rPr>
                <w:rFonts w:ascii="Arial" w:eastAsia="Times New Roman" w:hAnsi="Arial" w:cs="Arial"/>
                <w:sz w:val="16"/>
                <w:szCs w:val="16"/>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Adjusting items </w:t>
            </w:r>
            <w:r w:rsidRPr="00745DE5">
              <w:rPr>
                <w:rFonts w:ascii="Arial" w:eastAsia="Times New Roman" w:hAnsi="Arial" w:cs="Arial"/>
                <w:sz w:val="16"/>
                <w:szCs w:val="16"/>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Provision for PPI redress</w:t>
            </w:r>
            <w:r w:rsidRPr="00745DE5">
              <w:rPr>
                <w:rFonts w:ascii="Arial" w:eastAsia="Times New Roman" w:hAnsi="Arial" w:cs="Arial"/>
                <w:sz w:val="13"/>
                <w:szCs w:val="13"/>
                <w:vertAlign w:val="superscript"/>
                <w:lang w:eastAsia="en-GB"/>
              </w:rPr>
              <w:t>1 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(150)</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(600)</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Goodwill impairment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(47)</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Statutory profit/(loss) before tax </w:t>
            </w:r>
            <w:r w:rsidRPr="00745DE5">
              <w:rPr>
                <w:rFonts w:ascii="Arial" w:eastAsia="Times New Roman" w:hAnsi="Arial" w:cs="Arial"/>
                <w:b/>
                <w:bCs/>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247 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404 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349 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259 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378 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(372)</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296 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
          <w:szCs w:val="2"/>
          <w:lang w:eastAsia="en-GB"/>
        </w:rPr>
        <w:t> </w:t>
      </w:r>
    </w:p>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
          <w:szCs w:val="2"/>
          <w:lang w:eastAsia="en-GB"/>
        </w:rPr>
        <w:t> </w:t>
      </w:r>
    </w:p>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
          <w:szCs w:val="2"/>
          <w:lang w:eastAsia="en-GB"/>
        </w:rPr>
        <w:t> </w:t>
      </w:r>
    </w:p>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
          <w:szCs w:val="2"/>
          <w:lang w:eastAsia="en-GB"/>
        </w:rPr>
        <w:t> </w:t>
      </w:r>
    </w:p>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
          <w:szCs w:val="2"/>
          <w:lang w:eastAsia="en-GB"/>
        </w:rPr>
        <w:t> </w:t>
      </w:r>
    </w:p>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
          <w:szCs w:val="2"/>
          <w:lang w:eastAsia="en-GB"/>
        </w:rPr>
        <w:t> </w:t>
      </w:r>
    </w:p>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
          <w:szCs w:val="2"/>
          <w:lang w:eastAsia="en-GB"/>
        </w:rPr>
        <w:t>  </w:t>
      </w:r>
    </w:p>
    <w:p w:rsidR="00745DE5" w:rsidRPr="00745DE5" w:rsidRDefault="00745DE5" w:rsidP="00745DE5">
      <w:pPr>
        <w:spacing w:before="20" w:after="20" w:line="240" w:lineRule="auto"/>
        <w:ind w:left="1418" w:hanging="284"/>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2E19B7">
      <w:pPr>
        <w:spacing w:before="20" w:after="20" w:line="240" w:lineRule="auto"/>
        <w:ind w:left="284" w:hanging="284"/>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2E19B7" w:rsidP="002E19B7">
      <w:pPr>
        <w:spacing w:before="20" w:after="20" w:line="240" w:lineRule="auto"/>
        <w:ind w:left="284" w:hanging="284"/>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1     </w:t>
      </w:r>
      <w:r w:rsidR="00745DE5" w:rsidRPr="00745DE5">
        <w:rPr>
          <w:rFonts w:ascii="Arial" w:eastAsia="Times New Roman" w:hAnsi="Arial" w:cs="Arial"/>
          <w:i/>
          <w:iCs/>
          <w:sz w:val="14"/>
          <w:szCs w:val="14"/>
          <w:lang w:eastAsia="en-GB"/>
        </w:rPr>
        <w:t xml:space="preserve"> The provision for PPI redress includes claims management costs relating to Q2 12 (UK RBB: £13m, Barclaycard: £15m) and Q1 12 (UK RBB: £11m, Barclaycard: £13m), previously recorded within operating expenses as a non-adjusting item.</w:t>
      </w:r>
    </w:p>
    <w:p w:rsidR="00745DE5" w:rsidRDefault="00745DE5" w:rsidP="002E19B7">
      <w:pPr>
        <w:spacing w:line="240" w:lineRule="auto"/>
        <w:ind w:left="284"/>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I - Quarterly Results Summary</w:t>
      </w:r>
    </w:p>
    <w:tbl>
      <w:tblPr>
        <w:tblW w:w="0" w:type="auto"/>
        <w:tblInd w:w="-36" w:type="dxa"/>
        <w:tblCellMar>
          <w:left w:w="0" w:type="dxa"/>
          <w:right w:w="0" w:type="dxa"/>
        </w:tblCellMar>
        <w:tblLook w:val="04A0" w:firstRow="1" w:lastRow="0" w:firstColumn="1" w:lastColumn="0" w:noHBand="0" w:noVBand="1"/>
      </w:tblPr>
      <w:tblGrid>
        <w:gridCol w:w="3675"/>
        <w:gridCol w:w="750"/>
        <w:gridCol w:w="750"/>
        <w:gridCol w:w="750"/>
        <w:gridCol w:w="78"/>
        <w:gridCol w:w="750"/>
        <w:gridCol w:w="750"/>
        <w:gridCol w:w="750"/>
        <w:gridCol w:w="750"/>
      </w:tblGrid>
      <w:tr w:rsidR="00745DE5" w:rsidRPr="00745DE5" w:rsidTr="00745DE5">
        <w:trPr>
          <w:trHeight w:val="168"/>
        </w:trPr>
        <w:tc>
          <w:tcPr>
            <w:tcW w:w="367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0"/>
                <w:szCs w:val="20"/>
                <w:lang w:eastAsia="en-GB"/>
              </w:rPr>
              <w:t xml:space="preserve">Investment Bank </w:t>
            </w: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Q312</w:t>
            </w: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Q212</w:t>
            </w: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Q112</w:t>
            </w:r>
          </w:p>
        </w:tc>
        <w:tc>
          <w:tcPr>
            <w:tcW w:w="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Q411</w:t>
            </w: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Q311</w:t>
            </w: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Q211</w:t>
            </w:r>
          </w:p>
        </w:tc>
        <w:tc>
          <w:tcPr>
            <w:tcW w:w="7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Q111</w:t>
            </w:r>
          </w:p>
        </w:tc>
      </w:tr>
      <w:tr w:rsidR="00745DE5" w:rsidRPr="00745DE5" w:rsidTr="00745DE5">
        <w:trPr>
          <w:trHeight w:val="186"/>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Adjusted and statutory basis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Fixed Income, Currency and Commodities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1,581 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1,968 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2,396 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971 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1,438 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1,715 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2,201 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Equities and Prime Services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534 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423 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550 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305 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338 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563 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545 </w:t>
            </w:r>
          </w:p>
        </w:tc>
      </w:tr>
      <w:tr w:rsidR="00745DE5" w:rsidRPr="00745DE5" w:rsidTr="00745DE5">
        <w:trPr>
          <w:trHeight w:val="225"/>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Investment Banking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487 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501 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509 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506 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389 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520 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612 </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Principal Investments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31 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140 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36 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89 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99 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8 </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Total income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2,633 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3,032 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3,464 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1,818 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2,254 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2,897 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3,366 </w:t>
            </w:r>
          </w:p>
        </w:tc>
      </w:tr>
      <w:tr w:rsidR="00745DE5" w:rsidRPr="00745DE5" w:rsidTr="00745DE5">
        <w:trPr>
          <w:trHeight w:val="48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(charges)/releases and other provisions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(248)</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(75)</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(90)</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(114)</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80 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31 </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Net operating income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2,610 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2,784 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3,389 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1,728 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2,140 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2,977 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3,397 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(1,680)</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(1,788)</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(2,145)</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(1,458)</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(1,758)</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(2,006)</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(2,067)</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income/(expense)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3 </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 profit before tax and profit before tax</w:t>
            </w:r>
            <w:r w:rsidRPr="00745DE5">
              <w:rPr>
                <w:rFonts w:ascii="Arial" w:eastAsia="Times New Roman" w:hAnsi="Arial" w:cs="Arial"/>
                <w:sz w:val="16"/>
                <w:szCs w:val="16"/>
                <w:vertAlign w:val="superscript"/>
                <w:lang w:eastAsia="en-GB"/>
              </w:rPr>
              <w:t xml:space="preserve">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937 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1,002 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1,266 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267 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388 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977 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1,333 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675"/>
        <w:gridCol w:w="750"/>
        <w:gridCol w:w="750"/>
        <w:gridCol w:w="750"/>
        <w:gridCol w:w="78"/>
        <w:gridCol w:w="750"/>
        <w:gridCol w:w="750"/>
        <w:gridCol w:w="750"/>
        <w:gridCol w:w="750"/>
      </w:tblGrid>
      <w:tr w:rsidR="00745DE5" w:rsidRPr="00745DE5" w:rsidTr="00745DE5">
        <w:trPr>
          <w:trHeight w:val="206"/>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Corporate Banking</w:t>
            </w:r>
            <w:r w:rsidRPr="00745DE5">
              <w:rPr>
                <w:rFonts w:ascii="Arial" w:eastAsia="Times New Roman" w:hAnsi="Arial" w:cs="Arial"/>
                <w:sz w:val="16"/>
                <w:szCs w:val="16"/>
                <w:vertAlign w:val="superscript"/>
                <w:lang w:eastAsia="en-GB"/>
              </w:rPr>
              <w:t xml:space="preserv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Adjusted basis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678 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703 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824 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710 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830 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817 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751 </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(210)</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(218)</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(207)</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(252)</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(283)</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(327)</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(285)</w:t>
            </w:r>
          </w:p>
        </w:tc>
      </w:tr>
      <w:tr w:rsidR="00745DE5" w:rsidRPr="00745DE5" w:rsidTr="00745DE5">
        <w:trPr>
          <w:trHeight w:val="255"/>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Net operating income </w:t>
            </w:r>
            <w:r w:rsidRPr="00745DE5">
              <w:rPr>
                <w:rFonts w:ascii="Arial" w:eastAsia="Times New Roman" w:hAnsi="Arial" w:cs="Arial"/>
                <w:b/>
                <w:bCs/>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468 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485 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617 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458 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547 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490 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466 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lastRenderedPageBreak/>
              <w:t xml:space="preserve">Operating expenses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(376)</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(357)</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(397)</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(422)</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(436)</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(459)</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(442)</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income/(expense)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Adjusted profit before tax </w:t>
            </w:r>
            <w:r w:rsidRPr="00745DE5">
              <w:rPr>
                <w:rFonts w:ascii="Arial" w:eastAsia="Times New Roman" w:hAnsi="Arial" w:cs="Arial"/>
                <w:b/>
                <w:bCs/>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127 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219 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113 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33 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21 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  </w:t>
            </w:r>
            <w:r w:rsidRPr="00745DE5">
              <w:rPr>
                <w:rFonts w:ascii="Arial" w:eastAsia="Times New Roman" w:hAnsi="Arial" w:cs="Arial"/>
                <w:sz w:val="16"/>
                <w:szCs w:val="16"/>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Adjusting items </w:t>
            </w:r>
            <w:r w:rsidRPr="00745DE5">
              <w:rPr>
                <w:rFonts w:ascii="Arial" w:eastAsia="Times New Roman" w:hAnsi="Arial" w:cs="Arial"/>
                <w:sz w:val="16"/>
                <w:szCs w:val="16"/>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Goodwill impairment </w:t>
            </w:r>
            <w:r w:rsidRPr="00745DE5">
              <w:rPr>
                <w:rFonts w:ascii="Arial" w:eastAsia="Times New Roman" w:hAnsi="Arial" w:cs="Arial"/>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(123)</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Provision for interest rate hedging products redress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(450)</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Losses on disposal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(64)</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Statutory profit/(loss) before tax </w:t>
            </w:r>
            <w:r w:rsidRPr="00745DE5">
              <w:rPr>
                <w:rFonts w:ascii="Arial" w:eastAsia="Times New Roman" w:hAnsi="Arial" w:cs="Arial"/>
                <w:b/>
                <w:bCs/>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98 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(323)</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219 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(95)</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113 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(31)</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21 </w:t>
            </w:r>
          </w:p>
        </w:tc>
      </w:tr>
      <w:tr w:rsidR="00745DE5" w:rsidRPr="00745DE5" w:rsidTr="00745DE5">
        <w:trPr>
          <w:trHeight w:val="156"/>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675"/>
        <w:gridCol w:w="750"/>
        <w:gridCol w:w="750"/>
        <w:gridCol w:w="750"/>
        <w:gridCol w:w="78"/>
        <w:gridCol w:w="750"/>
        <w:gridCol w:w="750"/>
        <w:gridCol w:w="750"/>
        <w:gridCol w:w="750"/>
      </w:tblGrid>
      <w:tr w:rsidR="00745DE5" w:rsidRPr="00745DE5" w:rsidTr="00745DE5">
        <w:trPr>
          <w:trHeight w:val="159"/>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Wealth and Investment Management</w:t>
            </w:r>
            <w:r w:rsidRPr="00745DE5">
              <w:rPr>
                <w:rFonts w:ascii="Arial" w:eastAsia="Times New Roman" w:hAnsi="Arial" w:cs="Arial"/>
                <w:sz w:val="16"/>
                <w:szCs w:val="16"/>
                <w:vertAlign w:val="superscript"/>
                <w:lang w:eastAsia="en-GB"/>
              </w:rPr>
              <w:t xml:space="preserv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Adjusted and statutory basis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income net of insurance claims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442 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441 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451 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449 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447 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426 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422 </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 and other provisions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w:t>
            </w:r>
          </w:p>
        </w:tc>
      </w:tr>
      <w:tr w:rsidR="00745DE5" w:rsidRPr="00745DE5" w:rsidTr="00745DE5">
        <w:trPr>
          <w:trHeight w:val="255"/>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Net operating income </w:t>
            </w:r>
            <w:r w:rsidRPr="00745DE5">
              <w:rPr>
                <w:rFonts w:ascii="Arial" w:eastAsia="Times New Roman" w:hAnsi="Arial" w:cs="Arial"/>
                <w:b/>
                <w:bCs/>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436 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429 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444 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439 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435 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417 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412 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(358)</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(367)</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(384)</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(384)</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(369)</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(375)</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(365)</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income/(expense)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Adjusted profit before tax and profit before tax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79 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61 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60 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54 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65 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42 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46 </w:t>
            </w:r>
          </w:p>
        </w:tc>
      </w:tr>
      <w:tr w:rsidR="00745DE5" w:rsidRPr="00745DE5" w:rsidTr="00745DE5">
        <w:trPr>
          <w:trHeight w:val="188"/>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Head Office and Other Operations</w:t>
            </w:r>
            <w:r w:rsidRPr="00745DE5">
              <w:rPr>
                <w:rFonts w:ascii="Arial" w:eastAsia="Times New Roman" w:hAnsi="Arial" w:cs="Arial"/>
                <w:sz w:val="16"/>
                <w:szCs w:val="16"/>
                <w:vertAlign w:val="superscript"/>
                <w:lang w:eastAsia="en-GB"/>
              </w:rPr>
              <w:t xml:space="preserv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Adjusted basis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(expense)/income net of insurance claims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(41)</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(41)</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259 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(258)</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8 </w:t>
            </w:r>
          </w:p>
        </w:tc>
      </w:tr>
      <w:tr w:rsidR="00745DE5" w:rsidRPr="00745DE5" w:rsidTr="00745DE5">
        <w:trPr>
          <w:trHeight w:val="48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Credit impairment (charges)/releases and other provisions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4 </w:t>
            </w:r>
          </w:p>
        </w:tc>
      </w:tr>
      <w:tr w:rsidR="00745DE5" w:rsidRPr="00745DE5" w:rsidTr="00745DE5">
        <w:trPr>
          <w:trHeight w:val="255"/>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Net operating (expense)/income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(41)</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(44)</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257 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14 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(257)</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12 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Operating expenses (excluding UK bank levy)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(136)</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(251)</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(174)</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(144)</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(115)</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(124)</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(80)</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UK bank levy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(325)</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net (expense)/income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Adjusted (loss)/profit before tax </w:t>
            </w:r>
            <w:r w:rsidRPr="00745DE5">
              <w:rPr>
                <w:rFonts w:ascii="Arial" w:eastAsia="Times New Roman" w:hAnsi="Arial" w:cs="Arial"/>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(181)</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(272)</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83 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(455)</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(372)</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(115)</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(68)</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  </w:t>
            </w:r>
            <w:r w:rsidRPr="00745DE5">
              <w:rPr>
                <w:rFonts w:ascii="Arial" w:eastAsia="Times New Roman" w:hAnsi="Arial" w:cs="Arial"/>
                <w:sz w:val="16"/>
                <w:szCs w:val="16"/>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Adjusting items </w:t>
            </w:r>
            <w:r w:rsidRPr="00745DE5">
              <w:rPr>
                <w:rFonts w:ascii="Arial" w:eastAsia="Times New Roman" w:hAnsi="Arial" w:cs="Arial"/>
                <w:sz w:val="16"/>
                <w:szCs w:val="16"/>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Own credit </w:t>
            </w:r>
            <w:r w:rsidRPr="00745DE5">
              <w:rPr>
                <w:rFonts w:ascii="Arial" w:eastAsia="Times New Roman" w:hAnsi="Arial" w:cs="Arial"/>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(1,074)</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(325)</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(2,620)</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(263)</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2,882 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440 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(351)</w:t>
            </w:r>
          </w:p>
        </w:tc>
      </w:tr>
      <w:tr w:rsidR="00745DE5" w:rsidRPr="00745DE5" w:rsidTr="00745DE5">
        <w:trPr>
          <w:trHeight w:val="48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Impairment and gain/(loss) on disposal of </w:t>
            </w:r>
            <w:proofErr w:type="spellStart"/>
            <w:r w:rsidRPr="00745DE5">
              <w:rPr>
                <w:rFonts w:ascii="Arial" w:eastAsia="Times New Roman" w:hAnsi="Arial" w:cs="Arial"/>
                <w:sz w:val="16"/>
                <w:szCs w:val="16"/>
                <w:lang w:eastAsia="en-GB"/>
              </w:rPr>
              <w:t>BlackRock</w:t>
            </w:r>
            <w:proofErr w:type="spellEnd"/>
            <w:r w:rsidRPr="00745DE5">
              <w:rPr>
                <w:rFonts w:ascii="Arial" w:eastAsia="Times New Roman" w:hAnsi="Arial" w:cs="Arial"/>
                <w:sz w:val="16"/>
                <w:szCs w:val="16"/>
                <w:lang w:eastAsia="en-GB"/>
              </w:rPr>
              <w:t xml:space="preserve"> investment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227 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(1,800)</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(58)</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Gains on debt buy-backs </w:t>
            </w:r>
            <w:r w:rsidRPr="00745DE5">
              <w:rPr>
                <w:rFonts w:ascii="Arial" w:eastAsia="Times New Roman" w:hAnsi="Arial" w:cs="Arial"/>
                <w:sz w:val="13"/>
                <w:szCs w:val="13"/>
                <w:vertAlign w:val="superscript"/>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1,130 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367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(Losses)/gains on acquisitions and disposals </w:t>
            </w:r>
            <w:r w:rsidRPr="00745DE5">
              <w:rPr>
                <w:rFonts w:ascii="Arial" w:eastAsia="Times New Roman" w:hAnsi="Arial" w:cs="Arial"/>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2 </w:t>
            </w:r>
          </w:p>
        </w:tc>
      </w:tr>
      <w:tr w:rsidR="00745DE5" w:rsidRPr="00745DE5" w:rsidTr="00745DE5">
        <w:trPr>
          <w:trHeight w:val="240"/>
        </w:trPr>
        <w:tc>
          <w:tcPr>
            <w:tcW w:w="3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Statutory (loss)/profit before tax </w:t>
            </w:r>
            <w:r w:rsidRPr="00745DE5">
              <w:rPr>
                <w:rFonts w:ascii="Arial" w:eastAsia="Times New Roman" w:hAnsi="Arial" w:cs="Arial"/>
                <w:b/>
                <w:bCs/>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(1,255)</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(370)</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(2,537)</w:t>
            </w:r>
          </w:p>
        </w:tc>
        <w:tc>
          <w:tcPr>
            <w:tcW w:w="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389 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711 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264 </w:t>
            </w:r>
          </w:p>
        </w:tc>
        <w:tc>
          <w:tcPr>
            <w:tcW w:w="7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(417)</w:t>
            </w:r>
          </w:p>
        </w:tc>
      </w:tr>
    </w:tbl>
    <w:p w:rsidR="00745DE5" w:rsidRDefault="00745DE5" w:rsidP="00745DE5">
      <w:pPr>
        <w:spacing w:before="100" w:beforeAutospacing="1" w:after="100" w:afterAutospacing="1" w:line="240" w:lineRule="auto"/>
        <w:rPr>
          <w:rFonts w:ascii="Arial" w:eastAsia="Times New Roman" w:hAnsi="Arial" w:cs="Arial"/>
          <w:sz w:val="2"/>
          <w:szCs w:val="2"/>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II - Margins and Income by Geography</w:t>
      </w:r>
    </w:p>
    <w:tbl>
      <w:tblPr>
        <w:tblW w:w="10005" w:type="dxa"/>
        <w:tblInd w:w="-36" w:type="dxa"/>
        <w:tblCellMar>
          <w:left w:w="0" w:type="dxa"/>
          <w:right w:w="0" w:type="dxa"/>
        </w:tblCellMar>
        <w:tblLook w:val="04A0" w:firstRow="1" w:lastRow="0" w:firstColumn="1" w:lastColumn="0" w:noHBand="0" w:noVBand="1"/>
      </w:tblPr>
      <w:tblGrid>
        <w:gridCol w:w="4076"/>
        <w:gridCol w:w="745"/>
        <w:gridCol w:w="745"/>
        <w:gridCol w:w="745"/>
        <w:gridCol w:w="795"/>
        <w:gridCol w:w="1077"/>
        <w:gridCol w:w="911"/>
        <w:gridCol w:w="911"/>
      </w:tblGrid>
      <w:tr w:rsidR="00745DE5" w:rsidRPr="00745DE5" w:rsidTr="00745DE5">
        <w:trPr>
          <w:trHeight w:val="240"/>
        </w:trPr>
        <w:tc>
          <w:tcPr>
            <w:tcW w:w="369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0"/>
                <w:szCs w:val="20"/>
                <w:lang w:eastAsia="en-GB"/>
              </w:rPr>
              <w:t>Analysis of Net Interest Margin</w:t>
            </w:r>
          </w:p>
        </w:tc>
        <w:tc>
          <w:tcPr>
            <w:tcW w:w="67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eastAsia="Times New Roman" w:cs="Calibri"/>
                <w:lang w:eastAsia="en-GB"/>
              </w:rPr>
              <w:t> </w:t>
            </w:r>
            <w:r w:rsidRPr="00745DE5">
              <w:rPr>
                <w:rFonts w:eastAsia="Times New Roman" w:cs="Calibri"/>
                <w:sz w:val="18"/>
                <w:szCs w:val="18"/>
                <w:vertAlign w:val="superscript"/>
                <w:lang w:eastAsia="en-GB"/>
              </w:rPr>
              <w:t> </w:t>
            </w:r>
          </w:p>
        </w:tc>
        <w:tc>
          <w:tcPr>
            <w:tcW w:w="67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eastAsia="Times New Roman" w:cs="Calibri"/>
                <w:lang w:eastAsia="en-GB"/>
              </w:rPr>
              <w:t> </w:t>
            </w:r>
            <w:r w:rsidRPr="00745DE5">
              <w:rPr>
                <w:rFonts w:eastAsia="Times New Roman" w:cs="Calibri"/>
                <w:sz w:val="18"/>
                <w:szCs w:val="18"/>
                <w:vertAlign w:val="superscript"/>
                <w:lang w:eastAsia="en-GB"/>
              </w:rPr>
              <w:t> </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781"/>
        <w:gridCol w:w="740"/>
        <w:gridCol w:w="673"/>
        <w:gridCol w:w="675"/>
        <w:gridCol w:w="704"/>
        <w:gridCol w:w="837"/>
        <w:gridCol w:w="1050"/>
        <w:gridCol w:w="837"/>
        <w:gridCol w:w="837"/>
      </w:tblGrid>
      <w:tr w:rsidR="00745DE5" w:rsidRPr="00745DE5" w:rsidTr="00745DE5">
        <w:trPr>
          <w:trHeight w:val="870"/>
        </w:trPr>
        <w:tc>
          <w:tcPr>
            <w:tcW w:w="29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UK RBB margin</w:t>
            </w:r>
          </w:p>
        </w:tc>
        <w:tc>
          <w:tcPr>
            <w:tcW w:w="6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Europe RBB margin</w:t>
            </w:r>
          </w:p>
        </w:tc>
        <w:tc>
          <w:tcPr>
            <w:tcW w:w="6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Africa RBB margin</w:t>
            </w:r>
            <w:r w:rsidRPr="00745DE5">
              <w:rPr>
                <w:rFonts w:ascii="Arial" w:eastAsia="Times New Roman" w:hAnsi="Arial" w:cs="Arial"/>
                <w:b/>
                <w:bCs/>
                <w:sz w:val="13"/>
                <w:szCs w:val="13"/>
                <w:vertAlign w:val="superscript"/>
                <w:lang w:eastAsia="en-GB"/>
              </w:rPr>
              <w:t>1 </w:t>
            </w:r>
          </w:p>
        </w:tc>
        <w:tc>
          <w:tcPr>
            <w:tcW w:w="6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Barclay-</w:t>
            </w:r>
          </w:p>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card margin</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Corporate Banking margin</w:t>
            </w:r>
            <w:r w:rsidRPr="00745DE5">
              <w:rPr>
                <w:rFonts w:ascii="Arial" w:eastAsia="Times New Roman" w:hAnsi="Arial" w:cs="Arial"/>
                <w:b/>
                <w:bCs/>
                <w:sz w:val="13"/>
                <w:szCs w:val="13"/>
                <w:vertAlign w:val="superscript"/>
                <w:lang w:eastAsia="en-GB"/>
              </w:rPr>
              <w:t>1 </w:t>
            </w:r>
          </w:p>
        </w:tc>
        <w:tc>
          <w:tcPr>
            <w:tcW w:w="97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Wealth and Investment Management margin</w:t>
            </w: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 RBB, Corporate and Wealth margin</w:t>
            </w: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RBB, Corporate and Wealth interest income</w:t>
            </w:r>
          </w:p>
        </w:tc>
      </w:tr>
      <w:tr w:rsidR="00745DE5" w:rsidRPr="00745DE5" w:rsidTr="00745DE5">
        <w:trPr>
          <w:trHeight w:val="240"/>
        </w:trPr>
        <w:tc>
          <w:tcPr>
            <w:tcW w:w="294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 30.09.12</w:t>
            </w:r>
          </w:p>
        </w:tc>
        <w:tc>
          <w:tcPr>
            <w:tcW w:w="67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w:t>
            </w:r>
          </w:p>
        </w:tc>
        <w:tc>
          <w:tcPr>
            <w:tcW w:w="67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w:t>
            </w:r>
          </w:p>
        </w:tc>
        <w:tc>
          <w:tcPr>
            <w:tcW w:w="67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w:t>
            </w:r>
          </w:p>
        </w:tc>
        <w:tc>
          <w:tcPr>
            <w:tcW w:w="67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w:t>
            </w:r>
          </w:p>
        </w:tc>
        <w:tc>
          <w:tcPr>
            <w:tcW w:w="72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w:t>
            </w:r>
          </w:p>
        </w:tc>
        <w:tc>
          <w:tcPr>
            <w:tcW w:w="97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w:t>
            </w:r>
          </w:p>
        </w:tc>
        <w:tc>
          <w:tcPr>
            <w:tcW w:w="82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w:t>
            </w:r>
          </w:p>
        </w:tc>
        <w:tc>
          <w:tcPr>
            <w:tcW w:w="82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29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Customer asset margin/ interest income</w:t>
            </w:r>
          </w:p>
        </w:tc>
        <w:tc>
          <w:tcPr>
            <w:tcW w:w="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1.09 </w:t>
            </w:r>
          </w:p>
        </w:tc>
        <w:tc>
          <w:tcPr>
            <w:tcW w:w="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0.82 </w:t>
            </w:r>
          </w:p>
        </w:tc>
        <w:tc>
          <w:tcPr>
            <w:tcW w:w="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3.25  </w:t>
            </w:r>
          </w:p>
        </w:tc>
        <w:tc>
          <w:tcPr>
            <w:tcW w:w="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9.34 </w:t>
            </w: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1.18 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0.64 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2.11 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5,025 </w:t>
            </w:r>
          </w:p>
        </w:tc>
      </w:tr>
      <w:tr w:rsidR="00745DE5" w:rsidRPr="00745DE5" w:rsidTr="00745DE5">
        <w:trPr>
          <w:trHeight w:val="24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Customer liability margin/ interest income</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0.97 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0.45 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2.38 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nm</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1.07 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1.12 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1.11 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2,320 </w:t>
            </w:r>
          </w:p>
        </w:tc>
      </w:tr>
      <w:tr w:rsidR="00745DE5" w:rsidRPr="00745DE5" w:rsidTr="00745DE5">
        <w:trPr>
          <w:trHeight w:val="24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Non-customer generated margin/ interest income</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0.36 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0.35 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0.22 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(0.66)</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0.14 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0.25 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0.22 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989 </w:t>
            </w:r>
          </w:p>
        </w:tc>
      </w:tr>
      <w:tr w:rsidR="00745DE5" w:rsidRPr="00745DE5" w:rsidTr="00745DE5">
        <w:trPr>
          <w:trHeight w:val="12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Net interest margin/ income</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1.39 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1.07 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3.13 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8.68 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1.26 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1.23 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1.86 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8,334 </w:t>
            </w:r>
          </w:p>
        </w:tc>
      </w:tr>
      <w:tr w:rsidR="00745DE5" w:rsidRPr="00745DE5" w:rsidTr="00745DE5">
        <w:trPr>
          <w:trHeight w:val="12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Average customer assets (£m)</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123,217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41,241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34,084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32,072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68,048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19,325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317,987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n/a</w:t>
            </w:r>
          </w:p>
        </w:tc>
      </w:tr>
      <w:tr w:rsidR="00745DE5" w:rsidRPr="00745DE5" w:rsidTr="00745DE5">
        <w:trPr>
          <w:trHeight w:val="24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Average customer liabilities (£m)</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111,044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15,034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22,255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nm</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81,833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49,182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279,348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n/a</w:t>
            </w:r>
          </w:p>
        </w:tc>
      </w:tr>
      <w:tr w:rsidR="00745DE5" w:rsidRPr="00745DE5" w:rsidTr="00745DE5">
        <w:trPr>
          <w:trHeight w:val="24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r>
      <w:tr w:rsidR="00745DE5" w:rsidRPr="00745DE5" w:rsidTr="00745DE5">
        <w:trPr>
          <w:trHeight w:val="240"/>
        </w:trPr>
        <w:tc>
          <w:tcPr>
            <w:tcW w:w="294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 30.09.11</w:t>
            </w:r>
          </w:p>
        </w:tc>
        <w:tc>
          <w:tcPr>
            <w:tcW w:w="67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7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97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29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Customer asset margin/ interest income</w:t>
            </w:r>
          </w:p>
        </w:tc>
        <w:tc>
          <w:tcPr>
            <w:tcW w:w="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1.25 </w:t>
            </w:r>
          </w:p>
        </w:tc>
        <w:tc>
          <w:tcPr>
            <w:tcW w:w="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0.91 </w:t>
            </w:r>
          </w:p>
        </w:tc>
        <w:tc>
          <w:tcPr>
            <w:tcW w:w="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2.93  </w:t>
            </w:r>
          </w:p>
        </w:tc>
        <w:tc>
          <w:tcPr>
            <w:tcW w:w="6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9.59 </w:t>
            </w: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1.53  </w:t>
            </w:r>
          </w:p>
        </w:tc>
        <w:tc>
          <w:tcPr>
            <w:tcW w:w="97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0.78 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2.23 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5,303 </w:t>
            </w:r>
          </w:p>
        </w:tc>
      </w:tr>
      <w:tr w:rsidR="00745DE5" w:rsidRPr="00745DE5" w:rsidTr="00745DE5">
        <w:trPr>
          <w:trHeight w:val="24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Customer liability margin/ interest income</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0.85 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0.59 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2.67 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nm</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0.91 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0.97 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1.03 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2,077 </w:t>
            </w:r>
          </w:p>
        </w:tc>
      </w:tr>
      <w:tr w:rsidR="00745DE5" w:rsidRPr="00745DE5" w:rsidTr="00745DE5">
        <w:trPr>
          <w:trHeight w:val="24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Non-customer generated margin/ interest income</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0.48 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0.51 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0.38 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0.13 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0.35 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0.38 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0.41 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1,805 </w:t>
            </w:r>
          </w:p>
        </w:tc>
      </w:tr>
      <w:tr w:rsidR="00745DE5" w:rsidRPr="00745DE5" w:rsidTr="00745DE5">
        <w:trPr>
          <w:trHeight w:val="12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Net interest margin/ income</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1.54 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1.33 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3.21 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9.72 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1.56 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1.30 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2.09 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9,185 </w:t>
            </w:r>
          </w:p>
        </w:tc>
      </w:tr>
      <w:tr w:rsidR="00745DE5" w:rsidRPr="00745DE5" w:rsidTr="00745DE5">
        <w:trPr>
          <w:trHeight w:val="12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Average customer assets (£m)</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117,540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43,693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39,178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29,973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69,881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17,143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317,408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n/a</w:t>
            </w:r>
          </w:p>
        </w:tc>
      </w:tr>
      <w:tr w:rsidR="00745DE5" w:rsidRPr="00745DE5" w:rsidTr="00745DE5">
        <w:trPr>
          <w:trHeight w:val="240"/>
        </w:trPr>
        <w:tc>
          <w:tcPr>
            <w:tcW w:w="29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Average customer liabilities (£m)</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107,276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18,021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23,884  </w:t>
            </w:r>
          </w:p>
        </w:tc>
        <w:tc>
          <w:tcPr>
            <w:tcW w:w="6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nm</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76,249  </w:t>
            </w:r>
          </w:p>
        </w:tc>
        <w:tc>
          <w:tcPr>
            <w:tcW w:w="97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43,957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269,387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n/a</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Net interest income for the RBB, Corporate Banking and Wealth and Investment Management businesses reduced 9% to £8,334m due to the reduction in contribution from Group structural hedging activities, including the non recurrence of £516m gains on disposal of hedging instruments recognised in Q3 11. Total customer generated interest income in these businesses was flat at £7,345m</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The RBB, Corporate Banking and Wealth and Investment Management net interest margin reduced 23bps to 186bps, principally due to the impact of reduced contributions from the Group structural hedging activities on </w:t>
      </w:r>
      <w:r w:rsidR="002E19B7">
        <w:rPr>
          <w:rFonts w:ascii="Arial" w:eastAsia="Times New Roman" w:hAnsi="Arial" w:cs="Arial"/>
          <w:sz w:val="18"/>
          <w:szCs w:val="18"/>
          <w:lang w:eastAsia="en-GB"/>
        </w:rPr>
        <w:t xml:space="preserve"> </w:t>
      </w:r>
      <w:r w:rsidRPr="00745DE5">
        <w:rPr>
          <w:rFonts w:ascii="Arial" w:eastAsia="Times New Roman" w:hAnsi="Arial" w:cs="Arial"/>
          <w:sz w:val="18"/>
          <w:szCs w:val="18"/>
          <w:lang w:eastAsia="en-GB"/>
        </w:rPr>
        <w:t xml:space="preserve">non-customer generated margin, which reduced 19bps to 22bps </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Group net interest income including contributions for the Investment Bank and Head Office and Other Functions was £8,786m (2011: £9,237m)</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The total contribution from Group product and equity structural hedges reduced £1,503m to £1,296m, principally due to the non recurrence of gains on disposal of hedging instruments in Q3 11 of £1,000m</w:t>
      </w:r>
    </w:p>
    <w:p w:rsidR="00745DE5" w:rsidRPr="00745DE5" w:rsidRDefault="00745DE5" w:rsidP="00745DE5">
      <w:pPr>
        <w:spacing w:before="180" w:after="180" w:line="240" w:lineRule="auto"/>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w:t>
      </w:r>
    </w:p>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115" w:type="dxa"/>
        <w:tblCellMar>
          <w:left w:w="0" w:type="dxa"/>
          <w:right w:w="0" w:type="dxa"/>
        </w:tblCellMar>
        <w:tblLook w:val="04A0" w:firstRow="1" w:lastRow="0" w:firstColumn="1" w:lastColumn="0" w:noHBand="0" w:noVBand="1"/>
      </w:tblPr>
      <w:tblGrid>
        <w:gridCol w:w="3495"/>
        <w:gridCol w:w="2655"/>
        <w:gridCol w:w="258"/>
        <w:gridCol w:w="2655"/>
      </w:tblGrid>
      <w:tr w:rsidR="00745DE5" w:rsidRPr="00745DE5" w:rsidTr="00745DE5">
        <w:trPr>
          <w:trHeight w:val="240"/>
        </w:trPr>
        <w:tc>
          <w:tcPr>
            <w:tcW w:w="3495" w:type="dxa"/>
            <w:tcMar>
              <w:top w:w="0" w:type="dxa"/>
              <w:left w:w="115" w:type="dxa"/>
              <w:bottom w:w="0" w:type="dxa"/>
              <w:right w:w="115"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Income by Geographic Region</w:t>
            </w:r>
            <w:r w:rsidRPr="00745DE5">
              <w:rPr>
                <w:rFonts w:ascii="Arial" w:eastAsia="Times New Roman" w:hAnsi="Arial" w:cs="Arial"/>
                <w:sz w:val="16"/>
                <w:szCs w:val="16"/>
                <w:vertAlign w:val="superscript"/>
                <w:lang w:eastAsia="en-GB"/>
              </w:rPr>
              <w:t>2 </w:t>
            </w:r>
          </w:p>
        </w:tc>
        <w:tc>
          <w:tcPr>
            <w:tcW w:w="2655" w:type="dxa"/>
            <w:tcMar>
              <w:top w:w="0" w:type="dxa"/>
              <w:left w:w="115" w:type="dxa"/>
              <w:bottom w:w="0" w:type="dxa"/>
              <w:right w:w="115"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r w:rsidRPr="00745DE5">
              <w:rPr>
                <w:rFonts w:ascii="Arial" w:eastAsia="Times New Roman" w:hAnsi="Arial" w:cs="Arial"/>
                <w:b/>
                <w:bCs/>
                <w:sz w:val="16"/>
                <w:szCs w:val="16"/>
                <w:lang w:eastAsia="en-GB"/>
              </w:rPr>
              <w:t>Adjusted</w:t>
            </w:r>
            <w:r w:rsidRPr="00745DE5">
              <w:rPr>
                <w:rFonts w:ascii="Arial" w:eastAsia="Times New Roman" w:hAnsi="Arial" w:cs="Arial"/>
                <w:sz w:val="16"/>
                <w:szCs w:val="16"/>
                <w:vertAlign w:val="superscript"/>
                <w:lang w:eastAsia="en-GB"/>
              </w:rPr>
              <w:t>3</w:t>
            </w:r>
          </w:p>
        </w:tc>
        <w:tc>
          <w:tcPr>
            <w:tcW w:w="15" w:type="dxa"/>
            <w:tcMar>
              <w:top w:w="0" w:type="dxa"/>
              <w:left w:w="115" w:type="dxa"/>
              <w:bottom w:w="0" w:type="dxa"/>
              <w:right w:w="115"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r w:rsidRPr="00745DE5">
              <w:rPr>
                <w:rFonts w:ascii="Arial" w:eastAsia="Times New Roman" w:hAnsi="Arial" w:cs="Arial"/>
                <w:sz w:val="16"/>
                <w:szCs w:val="16"/>
                <w:vertAlign w:val="superscript"/>
                <w:lang w:eastAsia="en-GB"/>
              </w:rPr>
              <w:t> </w:t>
            </w:r>
          </w:p>
        </w:tc>
        <w:tc>
          <w:tcPr>
            <w:tcW w:w="2655" w:type="dxa"/>
            <w:tcMar>
              <w:top w:w="0" w:type="dxa"/>
              <w:left w:w="115" w:type="dxa"/>
              <w:bottom w:w="0" w:type="dxa"/>
              <w:right w:w="115"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Statutory</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115" w:type="dxa"/>
        <w:tblCellMar>
          <w:left w:w="0" w:type="dxa"/>
          <w:right w:w="0" w:type="dxa"/>
        </w:tblCellMar>
        <w:tblLook w:val="04A0" w:firstRow="1" w:lastRow="0" w:firstColumn="1" w:lastColumn="0" w:noHBand="0" w:noVBand="1"/>
      </w:tblPr>
      <w:tblGrid>
        <w:gridCol w:w="3495"/>
        <w:gridCol w:w="853"/>
        <w:gridCol w:w="853"/>
        <w:gridCol w:w="817"/>
        <w:gridCol w:w="236"/>
        <w:gridCol w:w="853"/>
        <w:gridCol w:w="853"/>
        <w:gridCol w:w="817"/>
      </w:tblGrid>
      <w:tr w:rsidR="00745DE5" w:rsidRPr="00745DE5" w:rsidTr="00745DE5">
        <w:trPr>
          <w:trHeight w:val="240"/>
        </w:trPr>
        <w:tc>
          <w:tcPr>
            <w:tcW w:w="3495" w:type="dxa"/>
            <w:tcMar>
              <w:top w:w="0" w:type="dxa"/>
              <w:left w:w="115" w:type="dxa"/>
              <w:bottom w:w="0" w:type="dxa"/>
              <w:right w:w="115"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5" w:type="dxa"/>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30.09.11</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3495" w:type="dxa"/>
            <w:tcBorders>
              <w:top w:val="nil"/>
              <w:left w:val="nil"/>
              <w:bottom w:val="single" w:sz="8" w:space="0" w:color="969696"/>
              <w:right w:val="nil"/>
            </w:tcBorders>
            <w:tcMar>
              <w:top w:w="0" w:type="dxa"/>
              <w:left w:w="115" w:type="dxa"/>
              <w:bottom w:w="0" w:type="dxa"/>
              <w:right w:w="115"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 </w:t>
            </w:r>
            <w:r w:rsidRPr="00745DE5">
              <w:rPr>
                <w:rFonts w:ascii="Arial" w:eastAsia="Times New Roman" w:hAnsi="Arial" w:cs="Arial"/>
                <w:sz w:val="16"/>
                <w:szCs w:val="16"/>
                <w:vertAlign w:val="superscript"/>
                <w:lang w:eastAsia="en-GB"/>
              </w:rPr>
              <w:t> </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£m</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£m</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 Change</w:t>
            </w:r>
            <w:r w:rsidRPr="00745DE5">
              <w:rPr>
                <w:rFonts w:ascii="Arial" w:eastAsia="Times New Roman" w:hAnsi="Arial" w:cs="Arial"/>
                <w:sz w:val="16"/>
                <w:szCs w:val="16"/>
                <w:vertAlign w:val="superscript"/>
                <w:lang w:eastAsia="en-GB"/>
              </w:rPr>
              <w:t xml:space="preserve"> </w:t>
            </w:r>
          </w:p>
        </w:tc>
        <w:tc>
          <w:tcPr>
            <w:tcW w:w="15" w:type="dxa"/>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£m</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£m</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Change</w:t>
            </w:r>
          </w:p>
        </w:tc>
      </w:tr>
      <w:tr w:rsidR="00745DE5" w:rsidRPr="00745DE5" w:rsidTr="00745DE5">
        <w:trPr>
          <w:trHeight w:val="240"/>
        </w:trPr>
        <w:tc>
          <w:tcPr>
            <w:tcW w:w="349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UK </w:t>
            </w:r>
          </w:p>
        </w:tc>
        <w:tc>
          <w:tcPr>
            <w:tcW w:w="73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9,371 </w:t>
            </w:r>
          </w:p>
        </w:tc>
        <w:tc>
          <w:tcPr>
            <w:tcW w:w="73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9,476 </w:t>
            </w:r>
          </w:p>
        </w:tc>
        <w:tc>
          <w:tcPr>
            <w:tcW w:w="73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 </w:t>
            </w:r>
          </w:p>
        </w:tc>
        <w:tc>
          <w:tcPr>
            <w:tcW w:w="1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5,352 </w:t>
            </w:r>
          </w:p>
        </w:tc>
        <w:tc>
          <w:tcPr>
            <w:tcW w:w="73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12,447 </w:t>
            </w:r>
          </w:p>
        </w:tc>
        <w:tc>
          <w:tcPr>
            <w:tcW w:w="73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(57)</w:t>
            </w:r>
          </w:p>
        </w:tc>
      </w:tr>
      <w:tr w:rsidR="00745DE5" w:rsidRPr="00745DE5" w:rsidTr="00745DE5">
        <w:trPr>
          <w:trHeight w:val="240"/>
        </w:trPr>
        <w:tc>
          <w:tcPr>
            <w:tcW w:w="3495" w:type="dxa"/>
            <w:tcMar>
              <w:top w:w="0" w:type="dxa"/>
              <w:left w:w="115" w:type="dxa"/>
              <w:bottom w:w="0" w:type="dxa"/>
              <w:right w:w="115"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Europe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3,071 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3,566 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(14) </w:t>
            </w:r>
          </w:p>
        </w:tc>
        <w:tc>
          <w:tcPr>
            <w:tcW w:w="1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3,071 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3,566 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w:t>
            </w:r>
          </w:p>
        </w:tc>
      </w:tr>
      <w:tr w:rsidR="00745DE5" w:rsidRPr="00745DE5" w:rsidTr="00745DE5">
        <w:trPr>
          <w:trHeight w:val="240"/>
        </w:trPr>
        <w:tc>
          <w:tcPr>
            <w:tcW w:w="3495" w:type="dxa"/>
            <w:tcMar>
              <w:top w:w="0" w:type="dxa"/>
              <w:left w:w="115" w:type="dxa"/>
              <w:bottom w:w="0" w:type="dxa"/>
              <w:right w:w="115"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Americas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5,610 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4,695 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19  </w:t>
            </w:r>
          </w:p>
        </w:tc>
        <w:tc>
          <w:tcPr>
            <w:tcW w:w="1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5,837 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4,637 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26 </w:t>
            </w:r>
          </w:p>
        </w:tc>
      </w:tr>
      <w:tr w:rsidR="00745DE5" w:rsidRPr="00745DE5" w:rsidTr="00745DE5">
        <w:trPr>
          <w:trHeight w:val="240"/>
        </w:trPr>
        <w:tc>
          <w:tcPr>
            <w:tcW w:w="3495" w:type="dxa"/>
            <w:tcMar>
              <w:top w:w="0" w:type="dxa"/>
              <w:left w:w="115" w:type="dxa"/>
              <w:bottom w:w="0" w:type="dxa"/>
              <w:right w:w="115"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Africa and Middle East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3,401 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3,784 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(10) </w:t>
            </w:r>
          </w:p>
        </w:tc>
        <w:tc>
          <w:tcPr>
            <w:tcW w:w="1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3,401 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3,784 </w:t>
            </w:r>
          </w:p>
        </w:tc>
        <w:tc>
          <w:tcPr>
            <w:tcW w:w="73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w:t>
            </w:r>
          </w:p>
        </w:tc>
      </w:tr>
      <w:tr w:rsidR="00745DE5" w:rsidRPr="00745DE5" w:rsidTr="00745DE5">
        <w:trPr>
          <w:trHeight w:val="240"/>
        </w:trPr>
        <w:tc>
          <w:tcPr>
            <w:tcW w:w="3495" w:type="dxa"/>
            <w:tcBorders>
              <w:top w:val="nil"/>
              <w:left w:val="nil"/>
              <w:bottom w:val="single" w:sz="8" w:space="0" w:color="969696"/>
              <w:right w:val="nil"/>
            </w:tcBorders>
            <w:tcMar>
              <w:top w:w="0" w:type="dxa"/>
              <w:left w:w="115" w:type="dxa"/>
              <w:bottom w:w="0" w:type="dxa"/>
              <w:right w:w="115"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Asia </w:t>
            </w: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894 </w:t>
            </w: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779 </w:t>
            </w: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15  </w:t>
            </w:r>
          </w:p>
        </w:tc>
        <w:tc>
          <w:tcPr>
            <w:tcW w:w="1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894 </w:t>
            </w:r>
          </w:p>
        </w:tc>
        <w:tc>
          <w:tcPr>
            <w:tcW w:w="735" w:type="dxa"/>
            <w:tcBorders>
              <w:top w:val="nil"/>
              <w:left w:val="nil"/>
              <w:bottom w:val="single" w:sz="8" w:space="0" w:color="A5A5A5"/>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779 </w:t>
            </w: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15 </w:t>
            </w:r>
          </w:p>
        </w:tc>
      </w:tr>
      <w:tr w:rsidR="00745DE5" w:rsidRPr="00745DE5" w:rsidTr="00745DE5">
        <w:trPr>
          <w:trHeight w:val="300"/>
        </w:trPr>
        <w:tc>
          <w:tcPr>
            <w:tcW w:w="349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r w:rsidRPr="00745DE5">
              <w:rPr>
                <w:rFonts w:ascii="Arial" w:eastAsia="Times New Roman" w:hAnsi="Arial" w:cs="Arial"/>
                <w:b/>
                <w:bCs/>
                <w:sz w:val="13"/>
                <w:szCs w:val="13"/>
                <w:vertAlign w:val="superscript"/>
                <w:lang w:eastAsia="en-GB"/>
              </w:rPr>
              <w:t> </w:t>
            </w:r>
          </w:p>
        </w:tc>
        <w:tc>
          <w:tcPr>
            <w:tcW w:w="73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22,347 </w:t>
            </w:r>
          </w:p>
        </w:tc>
        <w:tc>
          <w:tcPr>
            <w:tcW w:w="73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22,300 </w:t>
            </w:r>
          </w:p>
        </w:tc>
        <w:tc>
          <w:tcPr>
            <w:tcW w:w="73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r w:rsidRPr="00745DE5">
              <w:rPr>
                <w:rFonts w:ascii="Arial" w:eastAsia="Times New Roman" w:hAnsi="Arial" w:cs="Arial"/>
                <w:sz w:val="16"/>
                <w:szCs w:val="16"/>
                <w:lang w:eastAsia="en-GB"/>
              </w:rPr>
              <w:t>- </w:t>
            </w:r>
          </w:p>
        </w:tc>
        <w:tc>
          <w:tcPr>
            <w:tcW w:w="15" w:type="dxa"/>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18,555 </w:t>
            </w:r>
          </w:p>
        </w:tc>
        <w:tc>
          <w:tcPr>
            <w:tcW w:w="73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25,213 </w:t>
            </w:r>
          </w:p>
        </w:tc>
        <w:tc>
          <w:tcPr>
            <w:tcW w:w="735" w:type="dxa"/>
            <w:tcBorders>
              <w:top w:val="nil"/>
              <w:left w:val="nil"/>
              <w:bottom w:val="nil"/>
              <w:right w:val="nil"/>
            </w:tcBorders>
            <w:tcMar>
              <w:top w:w="0" w:type="dxa"/>
              <w:left w:w="115" w:type="dxa"/>
              <w:bottom w:w="0" w:type="dxa"/>
              <w:right w:w="115"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(26)</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after="2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2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2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2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2E19B7" w:rsidP="002E19B7">
      <w:pPr>
        <w:spacing w:after="20" w:line="240" w:lineRule="auto"/>
        <w:ind w:left="284" w:hanging="284"/>
        <w:jc w:val="both"/>
        <w:rPr>
          <w:rFonts w:ascii="Arial" w:eastAsia="Times New Roman" w:hAnsi="Arial" w:cs="Arial"/>
          <w:i/>
          <w:iCs/>
          <w:sz w:val="18"/>
          <w:szCs w:val="18"/>
          <w:lang w:eastAsia="en-GB"/>
        </w:rPr>
      </w:pPr>
      <w:r>
        <w:rPr>
          <w:rFonts w:ascii="Arial" w:eastAsia="Times New Roman" w:hAnsi="Arial" w:cs="Arial"/>
          <w:i/>
          <w:iCs/>
          <w:sz w:val="14"/>
          <w:szCs w:val="14"/>
          <w:lang w:eastAsia="en-GB"/>
        </w:rPr>
        <w:t xml:space="preserve">1     </w:t>
      </w:r>
      <w:r w:rsidR="00745DE5" w:rsidRPr="00745DE5">
        <w:rPr>
          <w:rFonts w:ascii="Arial" w:eastAsia="Times New Roman" w:hAnsi="Arial" w:cs="Arial"/>
          <w:i/>
          <w:iCs/>
          <w:sz w:val="14"/>
          <w:szCs w:val="14"/>
          <w:lang w:eastAsia="en-GB"/>
        </w:rPr>
        <w:t xml:space="preserve">2011 comparatives have been revised to reflect certain corporate banking activities previously reported in Africa RBB which are now included within Corporate Banking. Africa RBB comparatives have additionally been revised to include gross cheque advances and cheque deposits within average assets and average liabilities respectively where these were previously reported net. </w:t>
      </w:r>
    </w:p>
    <w:p w:rsidR="00745DE5" w:rsidRPr="00745DE5" w:rsidRDefault="00745DE5" w:rsidP="002E19B7">
      <w:pPr>
        <w:spacing w:after="0" w:line="240" w:lineRule="auto"/>
        <w:ind w:left="284" w:hanging="284"/>
        <w:jc w:val="both"/>
        <w:rPr>
          <w:rFonts w:ascii="Arial" w:eastAsia="Times New Roman" w:hAnsi="Arial" w:cs="Arial"/>
          <w:i/>
          <w:iCs/>
          <w:sz w:val="18"/>
          <w:szCs w:val="18"/>
          <w:lang w:eastAsia="en-GB"/>
        </w:rPr>
      </w:pPr>
      <w:r w:rsidRPr="00745DE5">
        <w:rPr>
          <w:rFonts w:ascii="Arial" w:eastAsia="Times New Roman" w:hAnsi="Arial" w:cs="Arial"/>
          <w:i/>
          <w:iCs/>
          <w:sz w:val="14"/>
          <w:szCs w:val="14"/>
          <w:lang w:eastAsia="en-GB"/>
        </w:rPr>
        <w:t>2    Total income net of insurance claims based on counterparty location.</w:t>
      </w:r>
    </w:p>
    <w:p w:rsidR="00745DE5" w:rsidRPr="00745DE5" w:rsidRDefault="00745DE5" w:rsidP="002E19B7">
      <w:pPr>
        <w:spacing w:line="240" w:lineRule="auto"/>
        <w:ind w:left="284" w:hanging="284"/>
        <w:jc w:val="both"/>
        <w:rPr>
          <w:rFonts w:ascii="Arial" w:eastAsia="Times New Roman" w:hAnsi="Arial" w:cs="Arial"/>
          <w:sz w:val="18"/>
          <w:szCs w:val="18"/>
          <w:lang w:eastAsia="en-GB"/>
        </w:rPr>
      </w:pPr>
      <w:r w:rsidRPr="00745DE5">
        <w:rPr>
          <w:rFonts w:ascii="Arial" w:eastAsia="Times New Roman" w:hAnsi="Arial" w:cs="Arial"/>
          <w:i/>
          <w:iCs/>
          <w:sz w:val="14"/>
          <w:szCs w:val="14"/>
          <w:lang w:eastAsia="en-GB"/>
        </w:rPr>
        <w:t>3   </w:t>
      </w:r>
      <w:r w:rsidR="002E19B7">
        <w:rPr>
          <w:rFonts w:ascii="Arial" w:eastAsia="Times New Roman" w:hAnsi="Arial" w:cs="Arial"/>
          <w:i/>
          <w:iCs/>
          <w:sz w:val="14"/>
          <w:szCs w:val="14"/>
          <w:lang w:eastAsia="en-GB"/>
        </w:rPr>
        <w:t> </w:t>
      </w:r>
      <w:r w:rsidRPr="00745DE5">
        <w:rPr>
          <w:rFonts w:ascii="Arial" w:eastAsia="Times New Roman" w:hAnsi="Arial" w:cs="Arial"/>
          <w:i/>
          <w:iCs/>
          <w:sz w:val="14"/>
          <w:szCs w:val="14"/>
          <w:lang w:eastAsia="en-GB"/>
        </w:rPr>
        <w:t xml:space="preserve">Adjusted income by geographic region </w:t>
      </w:r>
      <w:proofErr w:type="spellStart"/>
      <w:r w:rsidRPr="00745DE5">
        <w:rPr>
          <w:rFonts w:ascii="Arial" w:eastAsia="Times New Roman" w:hAnsi="Arial" w:cs="Arial"/>
          <w:i/>
          <w:iCs/>
          <w:sz w:val="14"/>
          <w:szCs w:val="14"/>
          <w:lang w:eastAsia="en-GB"/>
        </w:rPr>
        <w:t>excludesthe</w:t>
      </w:r>
      <w:proofErr w:type="spellEnd"/>
      <w:r w:rsidRPr="00745DE5">
        <w:rPr>
          <w:rFonts w:ascii="Arial" w:eastAsia="Times New Roman" w:hAnsi="Arial" w:cs="Arial"/>
          <w:i/>
          <w:iCs/>
          <w:sz w:val="14"/>
          <w:szCs w:val="14"/>
          <w:lang w:eastAsia="en-GB"/>
        </w:rPr>
        <w:t xml:space="preserve"> impact of an own credit charge of £4,019m (2011: gain of £2,971m) and a  gain on disposal of strategic investment in </w:t>
      </w:r>
      <w:proofErr w:type="spellStart"/>
      <w:r w:rsidRPr="00745DE5">
        <w:rPr>
          <w:rFonts w:ascii="Arial" w:eastAsia="Times New Roman" w:hAnsi="Arial" w:cs="Arial"/>
          <w:i/>
          <w:iCs/>
          <w:sz w:val="14"/>
          <w:szCs w:val="14"/>
          <w:lang w:eastAsia="en-GB"/>
        </w:rPr>
        <w:t>BlackRock</w:t>
      </w:r>
      <w:proofErr w:type="spellEnd"/>
      <w:r w:rsidRPr="00745DE5">
        <w:rPr>
          <w:rFonts w:ascii="Arial" w:eastAsia="Times New Roman" w:hAnsi="Arial" w:cs="Arial"/>
          <w:i/>
          <w:iCs/>
          <w:sz w:val="14"/>
          <w:szCs w:val="14"/>
          <w:lang w:eastAsia="en-GB"/>
        </w:rPr>
        <w:t>, Inc. of £227m (2011: loss of £58m).</w:t>
      </w:r>
    </w:p>
    <w:p w:rsidR="00745DE5" w:rsidRDefault="00745DE5" w:rsidP="00745DE5">
      <w:pPr>
        <w:spacing w:before="100" w:beforeAutospacing="1" w:after="100" w:afterAutospacing="1" w:line="240" w:lineRule="auto"/>
        <w:rPr>
          <w:rFonts w:ascii="Arial" w:eastAsia="Times New Roman" w:hAnsi="Arial" w:cs="Arial"/>
          <w:i/>
          <w:iCs/>
          <w:sz w:val="14"/>
          <w:szCs w:val="14"/>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i/>
          <w:iCs/>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III - Balance Sheet and Capital</w:t>
      </w:r>
    </w:p>
    <w:tbl>
      <w:tblPr>
        <w:tblW w:w="0" w:type="auto"/>
        <w:tblInd w:w="-36" w:type="dxa"/>
        <w:tblCellMar>
          <w:left w:w="0" w:type="dxa"/>
          <w:right w:w="0" w:type="dxa"/>
        </w:tblCellMar>
        <w:tblLook w:val="04A0" w:firstRow="1" w:lastRow="0" w:firstColumn="1" w:lastColumn="0" w:noHBand="0" w:noVBand="1"/>
      </w:tblPr>
      <w:tblGrid>
        <w:gridCol w:w="6914"/>
        <w:gridCol w:w="1110"/>
        <w:gridCol w:w="1110"/>
      </w:tblGrid>
      <w:tr w:rsidR="00745DE5" w:rsidRPr="00745DE5" w:rsidTr="00745DE5">
        <w:trPr>
          <w:trHeight w:val="255"/>
        </w:trPr>
        <w:tc>
          <w:tcPr>
            <w:tcW w:w="721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0"/>
                <w:szCs w:val="20"/>
                <w:lang w:eastAsia="en-GB"/>
              </w:rPr>
              <w:t xml:space="preserve">Consolidated Summary Balance Sheet (Unaudited) </w:t>
            </w:r>
          </w:p>
        </w:tc>
        <w:tc>
          <w:tcPr>
            <w:tcW w:w="11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1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55"/>
        </w:trPr>
        <w:tc>
          <w:tcPr>
            <w:tcW w:w="721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1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c>
          <w:tcPr>
            <w:tcW w:w="11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255"/>
        </w:trPr>
        <w:tc>
          <w:tcPr>
            <w:tcW w:w="721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1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1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55"/>
        </w:trPr>
        <w:tc>
          <w:tcPr>
            <w:tcW w:w="721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lastRenderedPageBreak/>
              <w:t xml:space="preserve">Assets </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55"/>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Cash, balances at central banks and items in the course of collection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103,622 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128,660 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Trading portfolio assets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160,921 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166,300 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Financial assets designated at fair value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45,426 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45,928 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Derivative financial instruments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494,852 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517,685 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Available for sale financial investments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72,361 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68,922 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Loans and advances to banks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49,001 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48,777 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Loans and advances to customers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452,877 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454,728 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Reverse repurchase agreements and other similar secured lending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194,665 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174,392 </w:t>
            </w:r>
          </w:p>
        </w:tc>
      </w:tr>
      <w:tr w:rsidR="00745DE5" w:rsidRPr="00745DE5" w:rsidTr="00745DE5">
        <w:trPr>
          <w:trHeight w:val="255"/>
        </w:trPr>
        <w:tc>
          <w:tcPr>
            <w:tcW w:w="7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assets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25,413 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25,873 </w:t>
            </w:r>
          </w:p>
        </w:tc>
      </w:tr>
      <w:tr w:rsidR="00745DE5" w:rsidRPr="00745DE5" w:rsidTr="00745DE5">
        <w:trPr>
          <w:trHeight w:val="255"/>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assets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1,599,138 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1,631,265 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55"/>
        </w:trPr>
        <w:tc>
          <w:tcPr>
            <w:tcW w:w="7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Liabilities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55"/>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Deposits and items in the course of collection due to banks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91,445 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96,138 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Customer accounts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407,260 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408,550 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Repurchase agreements and other similar secured borrowing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238,649 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245,833 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Trading portfolio liabilities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58,090 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51,747 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Financial liabilities designated at fair value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88,125 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94,855 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Derivative financial instruments </w:t>
            </w:r>
            <w:r w:rsidRPr="00745DE5">
              <w:rPr>
                <w:rFonts w:ascii="Arial" w:eastAsia="Times New Roman" w:hAnsi="Arial" w:cs="Arial"/>
                <w:sz w:val="13"/>
                <w:szCs w:val="13"/>
                <w:vertAlign w:val="superscript"/>
                <w:lang w:eastAsia="en-GB"/>
              </w:rPr>
              <w: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487,528 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507,351 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Debt securities in issue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124,786 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124,968 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Subordinated liabilities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21,801 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22,089 </w:t>
            </w:r>
          </w:p>
        </w:tc>
      </w:tr>
      <w:tr w:rsidR="00745DE5" w:rsidRPr="00745DE5" w:rsidTr="00745DE5">
        <w:trPr>
          <w:trHeight w:val="255"/>
        </w:trPr>
        <w:tc>
          <w:tcPr>
            <w:tcW w:w="7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liabilities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17,746 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16,044 </w:t>
            </w:r>
          </w:p>
        </w:tc>
      </w:tr>
      <w:tr w:rsidR="00745DE5" w:rsidRPr="00745DE5" w:rsidTr="00745DE5">
        <w:trPr>
          <w:trHeight w:val="255"/>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liabilities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1,535,430 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1,567,575 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55"/>
        </w:trPr>
        <w:tc>
          <w:tcPr>
            <w:tcW w:w="7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Shareholders' Equity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55"/>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Called up share capital and share premium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12,471 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12,462 </w:t>
            </w:r>
          </w:p>
        </w:tc>
      </w:tr>
      <w:tr w:rsidR="00745DE5" w:rsidRPr="00745DE5" w:rsidTr="00745DE5">
        <w:trPr>
          <w:trHeight w:val="255"/>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reserves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3,585 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3,267 </w:t>
            </w:r>
          </w:p>
        </w:tc>
      </w:tr>
      <w:tr w:rsidR="00745DE5" w:rsidRPr="00745DE5" w:rsidTr="00745DE5">
        <w:trPr>
          <w:trHeight w:val="255"/>
        </w:trPr>
        <w:tc>
          <w:tcPr>
            <w:tcW w:w="7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Retained earnings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38,239 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38,476 </w:t>
            </w:r>
          </w:p>
        </w:tc>
      </w:tr>
      <w:tr w:rsidR="00745DE5" w:rsidRPr="00745DE5" w:rsidTr="00745DE5">
        <w:trPr>
          <w:trHeight w:val="255"/>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Shareholders' equity excluding non-controlling interests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54,295 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54,205 </w:t>
            </w:r>
          </w:p>
        </w:tc>
      </w:tr>
      <w:tr w:rsidR="00745DE5" w:rsidRPr="00745DE5" w:rsidTr="00745DE5">
        <w:trPr>
          <w:trHeight w:val="255"/>
        </w:trPr>
        <w:tc>
          <w:tcPr>
            <w:tcW w:w="7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Non-controlling interests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9,413 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9,485 </w:t>
            </w:r>
          </w:p>
        </w:tc>
      </w:tr>
      <w:tr w:rsidR="00745DE5" w:rsidRPr="00745DE5" w:rsidTr="00745DE5">
        <w:trPr>
          <w:trHeight w:val="255"/>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shareholders' equity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63,708 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63,690 </w:t>
            </w:r>
          </w:p>
        </w:tc>
      </w:tr>
      <w:tr w:rsidR="00745DE5" w:rsidRPr="00745DE5" w:rsidTr="00745DE5">
        <w:trPr>
          <w:trHeight w:val="255"/>
        </w:trPr>
        <w:tc>
          <w:tcPr>
            <w:tcW w:w="7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55"/>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liabilities and shareholders' equity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1,599,138 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1,631,265 </w:t>
            </w:r>
          </w:p>
        </w:tc>
      </w:tr>
    </w:tbl>
    <w:p w:rsidR="00745DE5" w:rsidRDefault="00745DE5" w:rsidP="00745DE5">
      <w:pPr>
        <w:spacing w:before="100" w:beforeAutospacing="1" w:after="100" w:afterAutospacing="1" w:line="240" w:lineRule="auto"/>
        <w:rPr>
          <w:rFonts w:ascii="Arial" w:eastAsia="Times New Roman" w:hAnsi="Arial" w:cs="Arial"/>
          <w:i/>
          <w:iCs/>
          <w:sz w:val="14"/>
          <w:szCs w:val="14"/>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i/>
          <w:iCs/>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III - Balance Sheet and Capital</w:t>
      </w:r>
    </w:p>
    <w:tbl>
      <w:tblPr>
        <w:tblW w:w="0" w:type="auto"/>
        <w:tblInd w:w="-36" w:type="dxa"/>
        <w:tblCellMar>
          <w:left w:w="0" w:type="dxa"/>
          <w:right w:w="0" w:type="dxa"/>
        </w:tblCellMar>
        <w:tblLook w:val="04A0" w:firstRow="1" w:lastRow="0" w:firstColumn="1" w:lastColumn="0" w:noHBand="0" w:noVBand="1"/>
      </w:tblPr>
      <w:tblGrid>
        <w:gridCol w:w="6926"/>
        <w:gridCol w:w="1104"/>
        <w:gridCol w:w="1104"/>
      </w:tblGrid>
      <w:tr w:rsidR="00745DE5" w:rsidRPr="00745DE5" w:rsidTr="00745DE5">
        <w:trPr>
          <w:trHeight w:val="240"/>
        </w:trPr>
        <w:tc>
          <w:tcPr>
            <w:tcW w:w="721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0"/>
                <w:szCs w:val="20"/>
                <w:lang w:eastAsia="en-GB"/>
              </w:rPr>
              <w:t xml:space="preserve">Key Capital Ratios </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 30.09.12</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 30.06.12</w:t>
            </w:r>
          </w:p>
        </w:tc>
      </w:tr>
      <w:tr w:rsidR="00745DE5" w:rsidRPr="00745DE5" w:rsidTr="00745DE5">
        <w:trPr>
          <w:trHeight w:val="240"/>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Core tier 1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11.2%</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10.9%</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Tier 1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13.7%</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13.3%</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capital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16.9%</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16.5%</w:t>
            </w:r>
          </w:p>
        </w:tc>
      </w:tr>
      <w:tr w:rsidR="00745DE5" w:rsidRPr="00745DE5" w:rsidTr="00745DE5">
        <w:trPr>
          <w:trHeight w:val="18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Capital Resources</w:t>
            </w:r>
            <w:r w:rsidRPr="00745DE5">
              <w:rPr>
                <w:rFonts w:ascii="Arial" w:eastAsia="Times New Roman" w:hAnsi="Arial" w:cs="Arial"/>
                <w:sz w:val="16"/>
                <w:szCs w:val="16"/>
                <w:vertAlign w:val="superscript"/>
                <w:lang w:eastAsia="en-GB"/>
              </w:rPr>
              <w:t xml:space="preserve"> </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Shareholders' equity (excluding non-controlling interests) per balance sheet:</w:t>
            </w:r>
            <w:r w:rsidRPr="00745DE5">
              <w:rPr>
                <w:rFonts w:ascii="Arial" w:eastAsia="Times New Roman" w:hAnsi="Arial" w:cs="Arial"/>
                <w:sz w:val="16"/>
                <w:szCs w:val="16"/>
                <w:vertAlign w:val="superscript"/>
                <w:lang w:eastAsia="en-GB"/>
              </w:rPr>
              <w:t xml:space="preserve">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54,295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54,205 </w:t>
            </w:r>
          </w:p>
        </w:tc>
      </w:tr>
      <w:tr w:rsidR="00745DE5" w:rsidRPr="00745DE5" w:rsidTr="00745DE5">
        <w:trPr>
          <w:trHeight w:val="18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Non-controlling interests per balance sheet</w:t>
            </w:r>
            <w:r w:rsidRPr="00745DE5">
              <w:rPr>
                <w:rFonts w:ascii="Arial" w:eastAsia="Times New Roman" w:hAnsi="Arial" w:cs="Arial"/>
                <w:sz w:val="16"/>
                <w:szCs w:val="16"/>
                <w:vertAlign w:val="superscript"/>
                <w:lang w:eastAsia="en-GB"/>
              </w:rPr>
              <w:t xml:space="preserve">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9,413 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9,485 </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Less: Other tier 1 capital - preference shares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(6,214)</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(6,225)</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Less: Other tier 1 capital - Reserve Capital Instruments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Less: Non-controlling tier 2 capital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(548)</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(564)</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regulatory adjustments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(242)</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(171)</w:t>
            </w:r>
          </w:p>
        </w:tc>
      </w:tr>
      <w:tr w:rsidR="00745DE5" w:rsidRPr="00745DE5" w:rsidTr="00745DE5">
        <w:trPr>
          <w:trHeight w:val="18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Regulatory adjustments and deductions:</w:t>
            </w:r>
            <w:r w:rsidRPr="00745DE5">
              <w:rPr>
                <w:rFonts w:ascii="Arial" w:eastAsia="Times New Roman" w:hAnsi="Arial" w:cs="Arial"/>
                <w:sz w:val="16"/>
                <w:szCs w:val="16"/>
                <w:vertAlign w:val="superscript"/>
                <w:lang w:eastAsia="en-GB"/>
              </w:rPr>
              <w:t xml:space="preserve">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lastRenderedPageBreak/>
              <w:t xml:space="preserve">Own credit cumulative charge/(gain) (net of tax)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323 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(492)</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Defined benefit pension adjustment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(2,297)</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(2,260)</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Unrealised (gains)/losses on available for sale debt securities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(433)</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83 </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Unrealised gains on available for sale equity (recognised as tier 2 capital)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(88)</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(95)</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Cash flow hedging reserve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(2,049)</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(1,676)</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Goodwill and intangible assets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(7,564)</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(7,574)</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50% excess of expected losses over impairment (net of tax)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(519)</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(500)</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50% of securitisation positions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(1,550)</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(1,663)</w:t>
            </w:r>
          </w:p>
        </w:tc>
      </w:tr>
      <w:tr w:rsidR="00745DE5" w:rsidRPr="00745DE5" w:rsidTr="00745DE5">
        <w:trPr>
          <w:trHeight w:val="240"/>
        </w:trPr>
        <w:tc>
          <w:tcPr>
            <w:tcW w:w="7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regulatory adjustments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23 </w:t>
            </w:r>
          </w:p>
        </w:tc>
      </w:tr>
      <w:tr w:rsidR="00745DE5" w:rsidRPr="00745DE5" w:rsidTr="00745DE5">
        <w:trPr>
          <w:trHeight w:val="240"/>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Core tier 1 capital</w:t>
            </w:r>
            <w:r w:rsidRPr="00745DE5">
              <w:rPr>
                <w:rFonts w:ascii="Arial" w:eastAsia="Times New Roman" w:hAnsi="Arial" w:cs="Arial"/>
                <w:sz w:val="16"/>
                <w:szCs w:val="16"/>
                <w:vertAlign w:val="superscript"/>
                <w:lang w:eastAsia="en-GB"/>
              </w:rPr>
              <w:t xml:space="preserve">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42,507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42,576 </w:t>
            </w:r>
          </w:p>
        </w:tc>
      </w:tr>
      <w:tr w:rsidR="00745DE5" w:rsidRPr="00745DE5" w:rsidTr="00745DE5">
        <w:trPr>
          <w:trHeight w:val="18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sz w:val="16"/>
                <w:szCs w:val="16"/>
                <w:vertAlign w:val="superscript"/>
                <w:lang w:eastAsia="en-GB"/>
              </w:rPr>
              <w: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Other tier 1 capital:</w:t>
            </w:r>
            <w:r w:rsidRPr="00745DE5">
              <w:rPr>
                <w:rFonts w:ascii="Arial" w:eastAsia="Times New Roman" w:hAnsi="Arial" w:cs="Arial"/>
                <w:sz w:val="16"/>
                <w:szCs w:val="16"/>
                <w:vertAlign w:val="superscript"/>
                <w:lang w:eastAsia="en-GB"/>
              </w:rPr>
              <w:t xml:space="preserve">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Preference shares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6,214 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6,225 </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Tier 1 notes</w:t>
            </w:r>
            <w:r w:rsidRPr="00745DE5">
              <w:rPr>
                <w:rFonts w:ascii="Arial" w:eastAsia="Times New Roman" w:hAnsi="Arial" w:cs="Arial"/>
                <w:sz w:val="13"/>
                <w:szCs w:val="13"/>
                <w:vertAlign w:val="superscript"/>
                <w:lang w:eastAsia="en-GB"/>
              </w:rPr>
              <w:t>1 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512 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521 </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Reserve Capital Instruments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2,875 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2,874 </w:t>
            </w:r>
          </w:p>
        </w:tc>
      </w:tr>
      <w:tr w:rsidR="00745DE5" w:rsidRPr="00745DE5" w:rsidTr="00745DE5">
        <w:trPr>
          <w:trHeight w:val="18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Regulatory adjustments and deductions:</w:t>
            </w:r>
            <w:r w:rsidRPr="00745DE5">
              <w:rPr>
                <w:rFonts w:ascii="Arial" w:eastAsia="Times New Roman" w:hAnsi="Arial" w:cs="Arial"/>
                <w:sz w:val="16"/>
                <w:szCs w:val="16"/>
                <w:vertAlign w:val="superscript"/>
                <w:lang w:eastAsia="en-GB"/>
              </w:rPr>
              <w:t xml:space="preserve">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50% of material holdings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(243)</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(285)</w:t>
            </w:r>
          </w:p>
        </w:tc>
      </w:tr>
      <w:tr w:rsidR="00745DE5" w:rsidRPr="00745DE5" w:rsidTr="00745DE5">
        <w:trPr>
          <w:trHeight w:val="240"/>
        </w:trPr>
        <w:tc>
          <w:tcPr>
            <w:tcW w:w="7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50% tax on excess of expected losses over impairment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111 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100 </w:t>
            </w:r>
          </w:p>
        </w:tc>
      </w:tr>
      <w:tr w:rsidR="00745DE5" w:rsidRPr="00745DE5" w:rsidTr="00745DE5">
        <w:trPr>
          <w:trHeight w:val="240"/>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Total tier 1 capital</w:t>
            </w:r>
            <w:r w:rsidRPr="00745DE5">
              <w:rPr>
                <w:rFonts w:ascii="Arial" w:eastAsia="Times New Roman" w:hAnsi="Arial" w:cs="Arial"/>
                <w:sz w:val="16"/>
                <w:szCs w:val="16"/>
                <w:vertAlign w:val="superscript"/>
                <w:lang w:eastAsia="en-GB"/>
              </w:rPr>
              <w:t xml:space="preserve">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51,976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52,011 </w:t>
            </w:r>
          </w:p>
        </w:tc>
      </w:tr>
      <w:tr w:rsidR="00745DE5" w:rsidRPr="00745DE5" w:rsidTr="00745DE5">
        <w:trPr>
          <w:trHeight w:val="18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Tier 2 capital:</w:t>
            </w:r>
            <w:r w:rsidRPr="00745DE5">
              <w:rPr>
                <w:rFonts w:ascii="Arial" w:eastAsia="Times New Roman" w:hAnsi="Arial" w:cs="Arial"/>
                <w:sz w:val="16"/>
                <w:szCs w:val="16"/>
                <w:vertAlign w:val="superscript"/>
                <w:lang w:eastAsia="en-GB"/>
              </w:rPr>
              <w:t xml:space="preserve">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Undated subordinated liabilities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1,647 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1,648 </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Dated subordinated liabilities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11,872 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12,488 </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Non-controlling tier 2 capital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548 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564 </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Reserves arising on revaluation of property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21 </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Unrealised gains on available for sale equity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88 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95 </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Collectively assessed impairment allowances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1,844 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1,783 </w:t>
            </w:r>
          </w:p>
        </w:tc>
      </w:tr>
      <w:tr w:rsidR="00745DE5" w:rsidRPr="00745DE5" w:rsidTr="00745DE5">
        <w:trPr>
          <w:trHeight w:val="18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Tier 2 deductions:</w:t>
            </w:r>
            <w:r w:rsidRPr="00745DE5">
              <w:rPr>
                <w:rFonts w:ascii="Arial" w:eastAsia="Times New Roman" w:hAnsi="Arial" w:cs="Arial"/>
                <w:sz w:val="16"/>
                <w:szCs w:val="16"/>
                <w:vertAlign w:val="superscript"/>
                <w:lang w:eastAsia="en-GB"/>
              </w:rPr>
              <w:t xml:space="preserve">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50% of material holdings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(243)</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(285)</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50% excess of expected losses over impairment (gross of tax)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(630)</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(601)</w:t>
            </w: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50% of securitisation positions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(1,550)</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(1,663)</w:t>
            </w:r>
          </w:p>
        </w:tc>
      </w:tr>
      <w:tr w:rsidR="00745DE5" w:rsidRPr="00745DE5" w:rsidTr="00745DE5">
        <w:trPr>
          <w:trHeight w:val="18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Total capital regulatory adjustments and deductions:</w:t>
            </w:r>
            <w:r w:rsidRPr="00745DE5">
              <w:rPr>
                <w:rFonts w:ascii="Arial" w:eastAsia="Times New Roman" w:hAnsi="Arial" w:cs="Arial"/>
                <w:sz w:val="16"/>
                <w:szCs w:val="16"/>
                <w:vertAlign w:val="superscript"/>
                <w:lang w:eastAsia="en-GB"/>
              </w:rPr>
              <w:t xml:space="preserve">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721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Investments that are not material holdings or qualifying holdings </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(1,199)</w:t>
            </w:r>
          </w:p>
        </w:tc>
        <w:tc>
          <w:tcPr>
            <w:tcW w:w="11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(1,209)</w:t>
            </w:r>
          </w:p>
        </w:tc>
      </w:tr>
      <w:tr w:rsidR="00745DE5" w:rsidRPr="00745DE5" w:rsidTr="00745DE5">
        <w:trPr>
          <w:trHeight w:val="240"/>
        </w:trPr>
        <w:tc>
          <w:tcPr>
            <w:tcW w:w="7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Other deductions from total capital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(475)</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(565)</w:t>
            </w:r>
          </w:p>
        </w:tc>
      </w:tr>
      <w:tr w:rsidR="00745DE5" w:rsidRPr="00745DE5" w:rsidTr="00745DE5">
        <w:trPr>
          <w:trHeight w:val="240"/>
        </w:trPr>
        <w:tc>
          <w:tcPr>
            <w:tcW w:w="7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xml:space="preserve">Total regulatory capital </w:t>
            </w:r>
            <w:r w:rsidRPr="00745DE5">
              <w:rPr>
                <w:rFonts w:ascii="Arial" w:eastAsia="Times New Roman" w:hAnsi="Arial" w:cs="Arial"/>
                <w:sz w:val="16"/>
                <w:szCs w:val="16"/>
                <w:vertAlign w:val="superscript"/>
                <w:lang w:eastAsia="en-GB"/>
              </w:rPr>
              <w:t>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63,900 </w:t>
            </w:r>
          </w:p>
        </w:tc>
        <w:tc>
          <w:tcPr>
            <w:tcW w:w="11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64,287 </w:t>
            </w:r>
          </w:p>
        </w:tc>
      </w:tr>
    </w:tbl>
    <w:p w:rsidR="00745DE5" w:rsidRPr="00745DE5" w:rsidRDefault="00745DE5" w:rsidP="00745DE5">
      <w:pPr>
        <w:spacing w:after="0" w:line="240" w:lineRule="auto"/>
        <w:rPr>
          <w:rFonts w:ascii="Arial" w:eastAsia="Times New Roman" w:hAnsi="Arial" w:cs="Arial"/>
          <w:i/>
          <w:iCs/>
          <w:sz w:val="2"/>
          <w:szCs w:val="2"/>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2E19B7">
      <w:pPr>
        <w:spacing w:after="0" w:line="240" w:lineRule="auto"/>
        <w:ind w:left="284"/>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2E19B7">
      <w:pPr>
        <w:spacing w:after="0" w:line="240" w:lineRule="auto"/>
        <w:ind w:left="284" w:hanging="284"/>
        <w:jc w:val="both"/>
        <w:rPr>
          <w:rFonts w:ascii="Arial" w:eastAsia="Times New Roman" w:hAnsi="Arial" w:cs="Arial"/>
          <w:i/>
          <w:iCs/>
          <w:sz w:val="18"/>
          <w:szCs w:val="18"/>
          <w:lang w:eastAsia="en-GB"/>
        </w:rPr>
      </w:pPr>
      <w:r w:rsidRPr="00745DE5">
        <w:rPr>
          <w:rFonts w:ascii="Arial" w:eastAsia="Times New Roman" w:hAnsi="Arial" w:cs="Arial"/>
          <w:i/>
          <w:iCs/>
          <w:sz w:val="14"/>
          <w:szCs w:val="14"/>
          <w:lang w:eastAsia="en-GB"/>
        </w:rPr>
        <w:t>1        Tier 1 notes are included in subordinated liabilities in the consolidated balance sheet.</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III - Balance Sheet and Capital</w:t>
      </w:r>
    </w:p>
    <w:tbl>
      <w:tblPr>
        <w:tblW w:w="0" w:type="auto"/>
        <w:tblInd w:w="-36" w:type="dxa"/>
        <w:tblCellMar>
          <w:left w:w="0" w:type="dxa"/>
          <w:right w:w="0" w:type="dxa"/>
        </w:tblCellMar>
        <w:tblLook w:val="04A0" w:firstRow="1" w:lastRow="0" w:firstColumn="1" w:lastColumn="0" w:noHBand="0" w:noVBand="1"/>
      </w:tblPr>
      <w:tblGrid>
        <w:gridCol w:w="4122"/>
        <w:gridCol w:w="2454"/>
        <w:gridCol w:w="104"/>
        <w:gridCol w:w="2454"/>
      </w:tblGrid>
      <w:tr w:rsidR="00745DE5" w:rsidRPr="00745DE5" w:rsidTr="00745DE5">
        <w:trPr>
          <w:trHeight w:val="240"/>
        </w:trPr>
        <w:tc>
          <w:tcPr>
            <w:tcW w:w="42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25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 Assets by Business</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25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Risk Weighted Assets by Business</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197"/>
        <w:gridCol w:w="1209"/>
        <w:gridCol w:w="1209"/>
        <w:gridCol w:w="105"/>
        <w:gridCol w:w="1207"/>
        <w:gridCol w:w="1207"/>
      </w:tblGrid>
      <w:tr w:rsidR="00745DE5" w:rsidRPr="00745DE5" w:rsidTr="00745DE5">
        <w:trPr>
          <w:trHeight w:val="480"/>
        </w:trPr>
        <w:tc>
          <w:tcPr>
            <w:tcW w:w="424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Assets and Risk Weighted Assets by Business</w:t>
            </w:r>
            <w:r w:rsidRPr="00745DE5">
              <w:rPr>
                <w:rFonts w:ascii="Arial" w:eastAsia="Times New Roman" w:hAnsi="Arial" w:cs="Arial"/>
                <w:b/>
                <w:bCs/>
                <w:sz w:val="16"/>
                <w:szCs w:val="16"/>
                <w:vertAlign w:val="superscript"/>
                <w:lang w:eastAsia="en-GB"/>
              </w:rPr>
              <w:t xml:space="preserve"> </w:t>
            </w:r>
          </w:p>
        </w:tc>
        <w:tc>
          <w:tcPr>
            <w:tcW w:w="121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21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21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21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42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40"/>
        </w:trPr>
        <w:tc>
          <w:tcPr>
            <w:tcW w:w="42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UK RBB </w:t>
            </w: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133,750 </w:t>
            </w: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130,776 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37,305 </w:t>
            </w: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36,038 </w:t>
            </w:r>
          </w:p>
        </w:tc>
      </w:tr>
      <w:tr w:rsidR="00745DE5" w:rsidRPr="00745DE5" w:rsidTr="00745DE5">
        <w:trPr>
          <w:trHeight w:val="240"/>
        </w:trPr>
        <w:tc>
          <w:tcPr>
            <w:tcW w:w="42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Europe RBB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47,201 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48,109 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16,055 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16,563 </w:t>
            </w:r>
          </w:p>
        </w:tc>
      </w:tr>
      <w:tr w:rsidR="00745DE5" w:rsidRPr="00745DE5" w:rsidTr="00745DE5">
        <w:trPr>
          <w:trHeight w:val="240"/>
        </w:trPr>
        <w:tc>
          <w:tcPr>
            <w:tcW w:w="42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Africa RBB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45,788 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47,398 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26,846 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27,909 </w:t>
            </w:r>
          </w:p>
        </w:tc>
      </w:tr>
      <w:tr w:rsidR="00745DE5" w:rsidRPr="00745DE5" w:rsidTr="00745DE5">
        <w:trPr>
          <w:trHeight w:val="240"/>
        </w:trPr>
        <w:tc>
          <w:tcPr>
            <w:tcW w:w="42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Barclaycard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36,103 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34,596 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33,573 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33,149 </w:t>
            </w:r>
          </w:p>
        </w:tc>
      </w:tr>
      <w:tr w:rsidR="00745DE5" w:rsidRPr="00745DE5" w:rsidTr="00745DE5">
        <w:trPr>
          <w:trHeight w:val="240"/>
        </w:trPr>
        <w:tc>
          <w:tcPr>
            <w:tcW w:w="42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Investment Bank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1,188,580 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1,225,409 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180,415 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190,553 </w:t>
            </w:r>
          </w:p>
        </w:tc>
      </w:tr>
      <w:tr w:rsidR="00745DE5" w:rsidRPr="00745DE5" w:rsidTr="00745DE5">
        <w:trPr>
          <w:trHeight w:val="240"/>
        </w:trPr>
        <w:tc>
          <w:tcPr>
            <w:tcW w:w="42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Corporate Banking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85,753 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87,758 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64,349 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69,328 </w:t>
            </w:r>
          </w:p>
        </w:tc>
      </w:tr>
      <w:tr w:rsidR="00745DE5" w:rsidRPr="00745DE5" w:rsidTr="00745DE5">
        <w:trPr>
          <w:trHeight w:val="240"/>
        </w:trPr>
        <w:tc>
          <w:tcPr>
            <w:tcW w:w="42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Wealth and Investment Management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22,418 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22,205 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14,095 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13,998 </w:t>
            </w:r>
          </w:p>
        </w:tc>
      </w:tr>
      <w:tr w:rsidR="00745DE5" w:rsidRPr="00745DE5" w:rsidTr="00745DE5">
        <w:trPr>
          <w:trHeight w:val="240"/>
        </w:trPr>
        <w:tc>
          <w:tcPr>
            <w:tcW w:w="424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Head Office and Other Functions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39,545 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35,014 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6,004 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2,685 </w:t>
            </w:r>
          </w:p>
        </w:tc>
      </w:tr>
      <w:tr w:rsidR="00745DE5" w:rsidRPr="00745DE5" w:rsidTr="00745DE5">
        <w:trPr>
          <w:trHeight w:val="240"/>
        </w:trPr>
        <w:tc>
          <w:tcPr>
            <w:tcW w:w="424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lastRenderedPageBreak/>
              <w:t xml:space="preserve">Total </w:t>
            </w: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1,599,138 </w:t>
            </w: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1,631,265 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378,642 </w:t>
            </w: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390,223 </w:t>
            </w:r>
          </w:p>
        </w:tc>
      </w:tr>
      <w:tr w:rsidR="00745DE5" w:rsidRPr="00745DE5" w:rsidTr="00745DE5">
        <w:trPr>
          <w:trHeight w:val="240"/>
        </w:trPr>
        <w:tc>
          <w:tcPr>
            <w:tcW w:w="424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bl>
    <w:p w:rsidR="00745DE5" w:rsidRPr="00745DE5" w:rsidRDefault="00745DE5" w:rsidP="00745DE5">
      <w:pPr>
        <w:spacing w:line="240" w:lineRule="auto"/>
        <w:rPr>
          <w:rFonts w:ascii="Arial" w:eastAsia="Times New Roman" w:hAnsi="Arial" w:cs="Arial"/>
          <w:i/>
          <w:iCs/>
          <w:sz w:val="2"/>
          <w:szCs w:val="2"/>
          <w:lang w:eastAsia="en-GB"/>
        </w:rPr>
      </w:pPr>
      <w:r w:rsidRPr="00745DE5">
        <w:rPr>
          <w:rFonts w:ascii="Arial" w:eastAsia="Times New Roman" w:hAnsi="Arial" w:cs="Arial"/>
          <w:i/>
          <w:iCs/>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6736"/>
        <w:gridCol w:w="1198"/>
        <w:gridCol w:w="1200"/>
      </w:tblGrid>
      <w:tr w:rsidR="00745DE5" w:rsidRPr="00745DE5" w:rsidTr="00745DE5">
        <w:trPr>
          <w:trHeight w:val="240"/>
        </w:trPr>
        <w:tc>
          <w:tcPr>
            <w:tcW w:w="70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 </w:t>
            </w:r>
            <w:r w:rsidRPr="00745DE5">
              <w:rPr>
                <w:rFonts w:ascii="Arial" w:eastAsia="Times New Roman" w:hAnsi="Arial" w:cs="Arial"/>
                <w:sz w:val="16"/>
                <w:szCs w:val="16"/>
                <w:vertAlign w:val="superscript"/>
                <w:lang w:eastAsia="en-GB"/>
              </w:rPr>
              <w:t> </w:t>
            </w:r>
          </w:p>
        </w:tc>
        <w:tc>
          <w:tcPr>
            <w:tcW w:w="121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c>
          <w:tcPr>
            <w:tcW w:w="121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tc>
      </w:tr>
      <w:tr w:rsidR="00745DE5" w:rsidRPr="00745DE5" w:rsidTr="00745DE5">
        <w:trPr>
          <w:trHeight w:val="240"/>
        </w:trPr>
        <w:tc>
          <w:tcPr>
            <w:tcW w:w="70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0"/>
                <w:szCs w:val="20"/>
                <w:lang w:eastAsia="en-GB"/>
              </w:rPr>
              <w:t>Balance Sheet Leverage</w:t>
            </w:r>
          </w:p>
        </w:tc>
        <w:tc>
          <w:tcPr>
            <w:tcW w:w="121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21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700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 </w:t>
            </w:r>
            <w:r w:rsidRPr="00745DE5">
              <w:rPr>
                <w:rFonts w:ascii="Arial" w:eastAsia="Times New Roman" w:hAnsi="Arial" w:cs="Arial"/>
                <w:sz w:val="16"/>
                <w:szCs w:val="16"/>
                <w:vertAlign w:val="superscript"/>
                <w:lang w:eastAsia="en-GB"/>
              </w:rPr>
              <w:t> </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70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Total assets per balance sheet</w:t>
            </w:r>
            <w:r w:rsidRPr="00745DE5">
              <w:rPr>
                <w:rFonts w:ascii="Arial" w:eastAsia="Times New Roman" w:hAnsi="Arial" w:cs="Arial"/>
                <w:sz w:val="13"/>
                <w:szCs w:val="13"/>
                <w:vertAlign w:val="superscript"/>
                <w:lang w:eastAsia="en-GB"/>
              </w:rPr>
              <w:t>1 </w:t>
            </w: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1,599,138 </w:t>
            </w: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1,631,265 </w:t>
            </w:r>
          </w:p>
        </w:tc>
      </w:tr>
      <w:tr w:rsidR="00745DE5" w:rsidRPr="00745DE5" w:rsidTr="00745DE5">
        <w:trPr>
          <w:trHeight w:val="240"/>
        </w:trPr>
        <w:tc>
          <w:tcPr>
            <w:tcW w:w="70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Counterparty netting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(411,440)</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(425,616)</w:t>
            </w:r>
          </w:p>
        </w:tc>
      </w:tr>
      <w:tr w:rsidR="00745DE5" w:rsidRPr="00745DE5" w:rsidTr="00745DE5">
        <w:trPr>
          <w:trHeight w:val="240"/>
        </w:trPr>
        <w:tc>
          <w:tcPr>
            <w:tcW w:w="70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Collateral on derivatives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(48,142)</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(51,421)</w:t>
            </w:r>
          </w:p>
        </w:tc>
      </w:tr>
      <w:tr w:rsidR="00745DE5" w:rsidRPr="00745DE5" w:rsidTr="00745DE5">
        <w:trPr>
          <w:trHeight w:val="240"/>
        </w:trPr>
        <w:tc>
          <w:tcPr>
            <w:tcW w:w="70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Net settlement balances and cash collateral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(100,072)</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(97,181)</w:t>
            </w:r>
          </w:p>
        </w:tc>
      </w:tr>
      <w:tr w:rsidR="00745DE5" w:rsidRPr="00745DE5" w:rsidTr="00745DE5">
        <w:trPr>
          <w:trHeight w:val="240"/>
        </w:trPr>
        <w:tc>
          <w:tcPr>
            <w:tcW w:w="70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Goodwill and intangible assets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(7,859)</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(7,861)</w:t>
            </w:r>
          </w:p>
        </w:tc>
      </w:tr>
      <w:tr w:rsidR="00745DE5" w:rsidRPr="00745DE5" w:rsidTr="00745DE5">
        <w:trPr>
          <w:trHeight w:val="255"/>
        </w:trPr>
        <w:tc>
          <w:tcPr>
            <w:tcW w:w="700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Customer assets held under investment contracts</w:t>
            </w:r>
            <w:r w:rsidRPr="00745DE5">
              <w:rPr>
                <w:rFonts w:ascii="Arial" w:eastAsia="Times New Roman" w:hAnsi="Arial" w:cs="Arial"/>
                <w:sz w:val="13"/>
                <w:szCs w:val="13"/>
                <w:vertAlign w:val="superscript"/>
                <w:lang w:eastAsia="en-GB"/>
              </w:rPr>
              <w:t>2 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(1,570)</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(1,661)</w:t>
            </w:r>
          </w:p>
        </w:tc>
      </w:tr>
      <w:tr w:rsidR="00745DE5" w:rsidRPr="00745DE5" w:rsidTr="00745DE5">
        <w:trPr>
          <w:trHeight w:val="240"/>
        </w:trPr>
        <w:tc>
          <w:tcPr>
            <w:tcW w:w="70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Adjusted total tangible assets </w:t>
            </w: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1,030,055 </w:t>
            </w: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1,047,525 </w:t>
            </w:r>
          </w:p>
        </w:tc>
      </w:tr>
      <w:tr w:rsidR="00745DE5" w:rsidRPr="00745DE5" w:rsidTr="00745DE5">
        <w:trPr>
          <w:trHeight w:val="240"/>
        </w:trPr>
        <w:tc>
          <w:tcPr>
            <w:tcW w:w="7005" w:type="dxa"/>
            <w:tcBorders>
              <w:top w:val="nil"/>
              <w:left w:val="nil"/>
              <w:bottom w:val="single" w:sz="8" w:space="0" w:color="A5A5A5"/>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Total qualifying Tier 1 capital </w:t>
            </w:r>
          </w:p>
        </w:tc>
        <w:tc>
          <w:tcPr>
            <w:tcW w:w="1215" w:type="dxa"/>
            <w:tcBorders>
              <w:top w:val="nil"/>
              <w:left w:val="nil"/>
              <w:bottom w:val="single" w:sz="8" w:space="0" w:color="A5A5A5"/>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51,976 </w:t>
            </w:r>
          </w:p>
        </w:tc>
        <w:tc>
          <w:tcPr>
            <w:tcW w:w="1215" w:type="dxa"/>
            <w:tcBorders>
              <w:top w:val="nil"/>
              <w:left w:val="nil"/>
              <w:bottom w:val="single" w:sz="8" w:space="0" w:color="A5A5A5"/>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52,011 </w:t>
            </w:r>
          </w:p>
        </w:tc>
      </w:tr>
      <w:tr w:rsidR="00745DE5" w:rsidRPr="00745DE5" w:rsidTr="00745DE5">
        <w:trPr>
          <w:trHeight w:val="240"/>
        </w:trPr>
        <w:tc>
          <w:tcPr>
            <w:tcW w:w="70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gross leverage </w:t>
            </w: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20x</w:t>
            </w:r>
          </w:p>
        </w:tc>
        <w:tc>
          <w:tcPr>
            <w:tcW w:w="12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20x</w:t>
            </w:r>
          </w:p>
        </w:tc>
      </w:tr>
      <w:tr w:rsidR="00745DE5" w:rsidRPr="00745DE5" w:rsidTr="00745DE5">
        <w:trPr>
          <w:trHeight w:val="255"/>
        </w:trPr>
        <w:tc>
          <w:tcPr>
            <w:tcW w:w="70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Adjusted gross leverage (excluding liquidity pool)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17x</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17x</w:t>
            </w:r>
          </w:p>
        </w:tc>
      </w:tr>
      <w:tr w:rsidR="00745DE5" w:rsidRPr="00745DE5" w:rsidTr="00745DE5">
        <w:trPr>
          <w:trHeight w:val="255"/>
        </w:trPr>
        <w:tc>
          <w:tcPr>
            <w:tcW w:w="70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Ratio of total assets to shareholders' equity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25x</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26x</w:t>
            </w:r>
          </w:p>
        </w:tc>
      </w:tr>
      <w:tr w:rsidR="00745DE5" w:rsidRPr="00745DE5" w:rsidTr="00745DE5">
        <w:trPr>
          <w:trHeight w:val="255"/>
        </w:trPr>
        <w:tc>
          <w:tcPr>
            <w:tcW w:w="70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Ratio of total assets to shareholders' equity (excluding liquidity pool) </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23x</w:t>
            </w:r>
          </w:p>
        </w:tc>
        <w:tc>
          <w:tcPr>
            <w:tcW w:w="12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23x</w:t>
            </w:r>
          </w:p>
        </w:tc>
      </w:tr>
    </w:tbl>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Barclays continues to manage its balance sheet within limits and targets for balance sheet usage </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gross leverage remained stable at 20x with qualifying Tier 1 capital remaining broadly flat and adjusted total tangible assets down 2%</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During Q3 12, the ratio moved in a range from 20x to 21x (2012 year to date: 20x to 23x, Full Year 2011: 20x to 23x) primarily due to fluctuations in collateralised reverse repurchase lending and high quality trading portfolio assets </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Adjusted total tangible assets include cash and balances at central banks of £100.9bn (30 June 2012: £126.1bn). Excluding these balances, the balance sheet leverage would be 18x (30 June 2012: 18x). Excluding the whole liquidity pool, leverage would be 17x (30 June 2012: 17x)</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The ratio of total assets to total shareholders' equity was 25x (30 June 2012: 26x) and during Q3 12 moved within a month end range of 25x to 26x (2012 Year to date: 25x to 28x, Full Year 2011: 24x to 28x), driven by fluctuations noted above and changes in gross interest rate derivatives and settlement balances</w:t>
      </w:r>
      <w:r w:rsidRPr="00745DE5">
        <w:rPr>
          <w:rFonts w:ascii="Arial" w:eastAsia="Times New Roman" w:hAnsi="Arial" w:cs="Arial"/>
          <w:sz w:val="2"/>
          <w:szCs w:val="2"/>
          <w:lang w:eastAsia="en-GB"/>
        </w:rPr>
        <w:t> </w:t>
      </w:r>
    </w:p>
    <w:p w:rsidR="00745DE5" w:rsidRPr="00745DE5" w:rsidRDefault="00745DE5" w:rsidP="00745DE5">
      <w:pPr>
        <w:spacing w:before="20" w:after="0" w:line="240" w:lineRule="auto"/>
        <w:ind w:left="1418"/>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0" w:line="240" w:lineRule="auto"/>
        <w:ind w:left="1418"/>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0" w:line="240" w:lineRule="auto"/>
        <w:ind w:left="1418"/>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0" w:line="240" w:lineRule="auto"/>
        <w:ind w:left="1418"/>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2E19B7">
      <w:pPr>
        <w:spacing w:before="20" w:after="20" w:line="240" w:lineRule="auto"/>
        <w:ind w:left="284" w:hanging="284"/>
        <w:jc w:val="both"/>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1      Includes Liquidity Pool of £160bn (30 June 2012: £170bn).</w:t>
      </w:r>
    </w:p>
    <w:p w:rsidR="00745DE5" w:rsidRPr="00745DE5" w:rsidRDefault="002E19B7" w:rsidP="002E19B7">
      <w:pPr>
        <w:spacing w:before="20" w:after="240" w:line="240" w:lineRule="auto"/>
        <w:ind w:left="284" w:hanging="284"/>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2     </w:t>
      </w:r>
      <w:r w:rsidR="00745DE5" w:rsidRPr="00745DE5">
        <w:rPr>
          <w:rFonts w:ascii="Arial" w:eastAsia="Times New Roman" w:hAnsi="Arial" w:cs="Arial"/>
          <w:i/>
          <w:iCs/>
          <w:sz w:val="14"/>
          <w:szCs w:val="14"/>
          <w:lang w:eastAsia="en-GB"/>
        </w:rPr>
        <w:t>Comprising financial assets designated at fair value and associated cash balances.</w:t>
      </w:r>
      <w:r w:rsidR="00745DE5" w:rsidRPr="00745DE5">
        <w:rPr>
          <w:rFonts w:ascii="Arial" w:eastAsia="Times New Roman" w:hAnsi="Arial" w:cs="Arial"/>
          <w:i/>
          <w:iCs/>
          <w:sz w:val="14"/>
          <w:szCs w:val="14"/>
          <w:lang w:eastAsia="en-GB"/>
        </w:rPr>
        <w:br/>
      </w:r>
    </w:p>
    <w:p w:rsidR="00745DE5" w:rsidRPr="00745DE5" w:rsidRDefault="00745DE5" w:rsidP="00745DE5">
      <w:pPr>
        <w:spacing w:before="20" w:after="20" w:line="240" w:lineRule="auto"/>
        <w:ind w:left="1418" w:hanging="284"/>
        <w:jc w:val="both"/>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 </w:t>
      </w:r>
    </w:p>
    <w:p w:rsidR="00745DE5" w:rsidRPr="00745DE5" w:rsidRDefault="00745DE5" w:rsidP="00745DE5">
      <w:pPr>
        <w:spacing w:before="20" w:after="20" w:line="240" w:lineRule="auto"/>
        <w:ind w:left="1418" w:hanging="284"/>
        <w:jc w:val="both"/>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 </w:t>
      </w:r>
    </w:p>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9134"/>
      </w:tblGrid>
      <w:tr w:rsidR="00745DE5" w:rsidRPr="00745DE5" w:rsidTr="00745DE5">
        <w:trPr>
          <w:trHeight w:val="240"/>
        </w:trPr>
        <w:tc>
          <w:tcPr>
            <w:tcW w:w="961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color w:val="000000"/>
                <w:sz w:val="24"/>
                <w:szCs w:val="24"/>
                <w:lang w:eastAsia="en-GB"/>
              </w:rPr>
              <w:t>Appendix III - Balance Sheet and Capital</w:t>
            </w:r>
          </w:p>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0"/>
                <w:szCs w:val="20"/>
                <w:lang w:eastAsia="en-GB"/>
              </w:rPr>
              <w:t> </w:t>
            </w:r>
          </w:p>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0"/>
                <w:szCs w:val="20"/>
                <w:lang w:eastAsia="en-GB"/>
              </w:rPr>
              <w:t>Retail and Wholesale Loans and Advances to Customers and Banks</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740"/>
        <w:gridCol w:w="1050"/>
        <w:gridCol w:w="1050"/>
        <w:gridCol w:w="1050"/>
        <w:gridCol w:w="1050"/>
        <w:gridCol w:w="1050"/>
        <w:gridCol w:w="1050"/>
        <w:gridCol w:w="1050"/>
      </w:tblGrid>
      <w:tr w:rsidR="00745DE5" w:rsidRPr="00745DE5" w:rsidTr="00745DE5">
        <w:trPr>
          <w:trHeight w:val="720"/>
        </w:trPr>
        <w:tc>
          <w:tcPr>
            <w:tcW w:w="1740" w:type="dxa"/>
            <w:tcMar>
              <w:top w:w="0" w:type="dxa"/>
              <w:left w:w="36" w:type="dxa"/>
              <w:bottom w:w="0" w:type="dxa"/>
              <w:right w:w="36" w:type="dxa"/>
            </w:tcMar>
            <w:vAlign w:val="bottom"/>
            <w:hideMark/>
          </w:tcPr>
          <w:p w:rsidR="00745DE5" w:rsidRPr="00745DE5" w:rsidRDefault="00745DE5" w:rsidP="00745DE5">
            <w:pPr>
              <w:spacing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sz w:val="16"/>
                <w:szCs w:val="16"/>
                <w:lang w:eastAsia="en-GB"/>
              </w:rPr>
              <w:t>As at 30.09.12</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Gross</w:t>
            </w:r>
          </w:p>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L&amp;A</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Impairment Allowance</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L&amp;A Net of Impairment</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Credit Risk loans </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CRLs % of Gross L&amp;A</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 Impairment Charges</w:t>
            </w:r>
            <w:r w:rsidRPr="00745DE5">
              <w:rPr>
                <w:rFonts w:ascii="Arial" w:eastAsia="Times New Roman" w:hAnsi="Arial" w:cs="Arial"/>
                <w:b/>
                <w:bCs/>
                <w:sz w:val="13"/>
                <w:szCs w:val="13"/>
                <w:vertAlign w:val="superscript"/>
                <w:lang w:eastAsia="en-GB"/>
              </w:rPr>
              <w:t>1 </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 Loss</w:t>
            </w:r>
          </w:p>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 Rate </w:t>
            </w:r>
          </w:p>
        </w:tc>
      </w:tr>
      <w:tr w:rsidR="00745DE5" w:rsidRPr="00745DE5" w:rsidTr="00745DE5">
        <w:trPr>
          <w:trHeight w:val="240"/>
        </w:trPr>
        <w:tc>
          <w:tcPr>
            <w:tcW w:w="17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bps </w:t>
            </w:r>
          </w:p>
        </w:tc>
      </w:tr>
      <w:tr w:rsidR="00745DE5" w:rsidRPr="00745DE5" w:rsidTr="00745DE5">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 retail</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241,655 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4,854 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236,801 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9,206 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3.8 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1,490 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82 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Wholesale - customers</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220,948 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4,872 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216,076 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9,922 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1,162 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70  </w:t>
            </w:r>
          </w:p>
        </w:tc>
      </w:tr>
      <w:tr w:rsidR="00745DE5" w:rsidRPr="00745DE5" w:rsidTr="00745DE5">
        <w:trPr>
          <w:trHeight w:val="240"/>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Wholesale - banks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49,039 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49,001 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 </w:t>
            </w:r>
          </w:p>
        </w:tc>
      </w:tr>
      <w:tr w:rsidR="00745DE5" w:rsidRPr="00745DE5" w:rsidTr="00745DE5">
        <w:trPr>
          <w:trHeight w:val="255"/>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 wholesale</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269,987 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4,910 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265,077 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9,922 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3.7 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1,150 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57  </w:t>
            </w:r>
          </w:p>
        </w:tc>
      </w:tr>
      <w:tr w:rsidR="00745DE5" w:rsidRPr="00745DE5" w:rsidTr="00745DE5">
        <w:trPr>
          <w:trHeight w:val="240"/>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sz w:val="16"/>
                <w:szCs w:val="16"/>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51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Loans and advances at amortised cost</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511,642 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9,764 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501,878 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19,128 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3.7 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2,640 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69  </w:t>
            </w:r>
          </w:p>
        </w:tc>
      </w:tr>
      <w:tr w:rsidR="00745DE5" w:rsidRPr="00745DE5" w:rsidTr="00745DE5">
        <w:trPr>
          <w:trHeight w:val="510"/>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Loans and advances held at fair value</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23,013 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roofErr w:type="spellStart"/>
            <w:r w:rsidRPr="00745DE5">
              <w:rPr>
                <w:rFonts w:ascii="Arial" w:eastAsia="Times New Roman" w:hAnsi="Arial" w:cs="Arial"/>
                <w:sz w:val="16"/>
                <w:szCs w:val="16"/>
                <w:lang w:eastAsia="en-GB"/>
              </w:rPr>
              <w:t>na</w:t>
            </w:r>
            <w:proofErr w:type="spellEnd"/>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23,013 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lastRenderedPageBreak/>
              <w:t>Total loans and advances</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534,655 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9,764 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524,891 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3"/>
                <w:szCs w:val="13"/>
                <w:vertAlign w:val="superscript"/>
                <w:lang w:eastAsia="en-GB"/>
              </w:rPr>
              <w:t> </w:t>
            </w:r>
          </w:p>
        </w:tc>
      </w:tr>
      <w:tr w:rsidR="00745DE5" w:rsidRPr="00745DE5" w:rsidTr="00745DE5">
        <w:trPr>
          <w:trHeight w:val="240"/>
        </w:trPr>
        <w:tc>
          <w:tcPr>
            <w:tcW w:w="17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17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As at 30.06.12</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vertAlign w:val="superscript"/>
                <w:lang w:eastAsia="en-GB"/>
              </w:rPr>
              <w:t> </w:t>
            </w:r>
          </w:p>
        </w:tc>
      </w:tr>
      <w:tr w:rsidR="00745DE5" w:rsidRPr="00745DE5" w:rsidTr="00745DE5">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 retail</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240,903 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5,021 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235,882 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9,545 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4.0 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978 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82 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Wholesale - customers</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223,719 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4,873 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218,846 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10,161 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842 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76  </w:t>
            </w:r>
          </w:p>
        </w:tc>
      </w:tr>
      <w:tr w:rsidR="00745DE5" w:rsidRPr="00745DE5" w:rsidTr="00745DE5">
        <w:trPr>
          <w:trHeight w:val="240"/>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Wholesale - banks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48,829 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48,777 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0.1 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1  </w:t>
            </w:r>
          </w:p>
        </w:tc>
      </w:tr>
      <w:tr w:rsidR="00745DE5" w:rsidRPr="00745DE5" w:rsidTr="00745DE5">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 wholesale</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272,548 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4,925 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267,623 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10,196 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3.7 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844 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62  </w:t>
            </w:r>
          </w:p>
        </w:tc>
      </w:tr>
      <w:tr w:rsidR="00745DE5" w:rsidRPr="00745DE5" w:rsidTr="00745DE5">
        <w:trPr>
          <w:trHeight w:val="240"/>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sz w:val="16"/>
                <w:szCs w:val="16"/>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51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Loans and advances at amortised cost</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513,451 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9,946 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503,505 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19,741 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3.8 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1,822 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71  </w:t>
            </w:r>
          </w:p>
        </w:tc>
      </w:tr>
      <w:tr w:rsidR="00745DE5" w:rsidRPr="00745DE5" w:rsidTr="00745DE5">
        <w:trPr>
          <w:trHeight w:val="510"/>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Loans and advances held at fair value</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24,256 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roofErr w:type="spellStart"/>
            <w:r w:rsidRPr="00745DE5">
              <w:rPr>
                <w:rFonts w:ascii="Arial" w:eastAsia="Times New Roman" w:hAnsi="Arial" w:cs="Arial"/>
                <w:sz w:val="16"/>
                <w:szCs w:val="16"/>
                <w:lang w:eastAsia="en-GB"/>
              </w:rPr>
              <w:t>na</w:t>
            </w:r>
            <w:proofErr w:type="spellEnd"/>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24,256 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51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 loans and advances</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537,707 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9,946 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527,761 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679"/>
        <w:gridCol w:w="1014"/>
        <w:gridCol w:w="1014"/>
        <w:gridCol w:w="1014"/>
        <w:gridCol w:w="1014"/>
        <w:gridCol w:w="1375"/>
        <w:gridCol w:w="1013"/>
        <w:gridCol w:w="1011"/>
      </w:tblGrid>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r>
      <w:tr w:rsidR="00745DE5" w:rsidRPr="00745DE5" w:rsidTr="00745DE5">
        <w:trPr>
          <w:trHeight w:val="240"/>
        </w:trPr>
        <w:tc>
          <w:tcPr>
            <w:tcW w:w="7365" w:type="dxa"/>
            <w:gridSpan w:val="6"/>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0"/>
                <w:szCs w:val="20"/>
                <w:lang w:eastAsia="en-GB"/>
              </w:rPr>
              <w:t>Retail Loans and Advances at Amortised Cost</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740"/>
        <w:gridCol w:w="1050"/>
        <w:gridCol w:w="1050"/>
        <w:gridCol w:w="1050"/>
        <w:gridCol w:w="1050"/>
        <w:gridCol w:w="1050"/>
        <w:gridCol w:w="1050"/>
        <w:gridCol w:w="1050"/>
      </w:tblGrid>
      <w:tr w:rsidR="00745DE5" w:rsidRPr="00745DE5" w:rsidTr="00745DE5">
        <w:trPr>
          <w:trHeight w:val="647"/>
        </w:trPr>
        <w:tc>
          <w:tcPr>
            <w:tcW w:w="17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30.09.12 </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Gross L&amp;A</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Impairment Allowance</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L&amp;A Net of Impairment</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Credit Risk Loans</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CRLs % of Gross L&amp;A</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 Impairment Charges</w:t>
            </w:r>
            <w:r w:rsidRPr="00745DE5">
              <w:rPr>
                <w:rFonts w:ascii="Arial" w:eastAsia="Times New Roman" w:hAnsi="Arial" w:cs="Arial"/>
                <w:b/>
                <w:bCs/>
                <w:sz w:val="13"/>
                <w:szCs w:val="13"/>
                <w:vertAlign w:val="superscript"/>
                <w:lang w:eastAsia="en-GB"/>
              </w:rPr>
              <w:t>4 </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 Loss  Rates</w:t>
            </w:r>
          </w:p>
        </w:tc>
      </w:tr>
      <w:tr w:rsidR="00745DE5" w:rsidRPr="00745DE5" w:rsidTr="00745DE5">
        <w:trPr>
          <w:trHeight w:val="240"/>
        </w:trPr>
        <w:tc>
          <w:tcPr>
            <w:tcW w:w="17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bps</w:t>
            </w:r>
          </w:p>
        </w:tc>
      </w:tr>
      <w:tr w:rsidR="00745DE5" w:rsidRPr="00745DE5" w:rsidTr="00745DE5">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UK RBB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124,673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1,352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123,321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2,629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167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Europe RBB</w:t>
            </w:r>
            <w:r w:rsidRPr="00745DE5">
              <w:rPr>
                <w:rFonts w:ascii="Arial" w:eastAsia="Times New Roman" w:hAnsi="Arial" w:cs="Arial"/>
                <w:sz w:val="13"/>
                <w:szCs w:val="13"/>
                <w:vertAlign w:val="superscript"/>
                <w:lang w:eastAsia="en-GB"/>
              </w:rPr>
              <w:t>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40,970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693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40,277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1,856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233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76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Africa RBB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24,722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753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23,969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1,870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374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202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Barclaycard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32,162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1,826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30,336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2,262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694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288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 Banking</w:t>
            </w:r>
            <w:r w:rsidRPr="00745DE5">
              <w:rPr>
                <w:rFonts w:ascii="Arial" w:eastAsia="Times New Roman" w:hAnsi="Arial" w:cs="Arial"/>
                <w:sz w:val="13"/>
                <w:szCs w:val="13"/>
                <w:vertAlign w:val="superscript"/>
                <w:lang w:eastAsia="en-GB"/>
              </w:rPr>
              <w:t>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1,093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957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 </w:t>
            </w:r>
          </w:p>
        </w:tc>
      </w:tr>
      <w:tr w:rsidR="00745DE5" w:rsidRPr="00745DE5" w:rsidTr="00745DE5">
        <w:trPr>
          <w:trHeight w:val="510"/>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Wealth and Investment Management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18,035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94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17,941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449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 </w:t>
            </w:r>
          </w:p>
        </w:tc>
      </w:tr>
      <w:tr w:rsidR="00745DE5" w:rsidRPr="00745DE5" w:rsidTr="00745DE5">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241,655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4,854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236,801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9,206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3.8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 1,490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82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55"/>
        </w:trPr>
        <w:tc>
          <w:tcPr>
            <w:tcW w:w="17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30.06.12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r>
      <w:tr w:rsidR="00745DE5" w:rsidRPr="00745DE5" w:rsidTr="00745DE5">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UK RBB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122,284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1,403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120,881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2,713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2.2 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100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Europe RBB</w:t>
            </w:r>
            <w:r w:rsidRPr="00745DE5">
              <w:rPr>
                <w:rFonts w:ascii="Arial" w:eastAsia="Times New Roman" w:hAnsi="Arial" w:cs="Arial"/>
                <w:sz w:val="13"/>
                <w:szCs w:val="13"/>
                <w:vertAlign w:val="superscript"/>
                <w:lang w:eastAsia="en-GB"/>
              </w:rPr>
              <w:t>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42,198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721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41,477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1,833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157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75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Africa RBB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25,591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770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24,821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2,087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8.2 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257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202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Barclaycard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31,908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1,890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30,018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2,321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446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281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 Banking</w:t>
            </w:r>
            <w:r w:rsidRPr="00745DE5">
              <w:rPr>
                <w:rFonts w:ascii="Arial" w:eastAsia="Times New Roman" w:hAnsi="Arial" w:cs="Arial"/>
                <w:sz w:val="13"/>
                <w:szCs w:val="13"/>
                <w:vertAlign w:val="superscript"/>
                <w:lang w:eastAsia="en-GB"/>
              </w:rPr>
              <w:t>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1,207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1,062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 </w:t>
            </w:r>
          </w:p>
        </w:tc>
      </w:tr>
      <w:tr w:rsidR="00745DE5" w:rsidRPr="00745DE5" w:rsidTr="00745DE5">
        <w:trPr>
          <w:trHeight w:val="510"/>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Wealth and Investment Management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17,715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17,623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446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17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 </w:t>
            </w:r>
          </w:p>
        </w:tc>
      </w:tr>
      <w:tr w:rsidR="00745DE5" w:rsidRPr="00745DE5" w:rsidTr="00745DE5">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240,903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5,021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235,882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9,545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4.0 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 978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82 </w:t>
            </w:r>
          </w:p>
        </w:tc>
      </w:tr>
    </w:tbl>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745DE5">
      <w:pPr>
        <w:spacing w:after="0" w:line="240" w:lineRule="auto"/>
        <w:ind w:left="1418"/>
        <w:jc w:val="both"/>
        <w:rPr>
          <w:rFonts w:ascii="Arial" w:eastAsia="Times New Roman" w:hAnsi="Arial" w:cs="Arial"/>
          <w:i/>
          <w:iCs/>
          <w:sz w:val="18"/>
          <w:szCs w:val="18"/>
          <w:lang w:eastAsia="en-GB"/>
        </w:rPr>
      </w:pPr>
      <w:r w:rsidRPr="00745DE5">
        <w:rPr>
          <w:rFonts w:ascii="Arial" w:eastAsia="Times New Roman" w:hAnsi="Arial" w:cs="Arial"/>
          <w:i/>
          <w:iCs/>
          <w:sz w:val="2"/>
          <w:szCs w:val="2"/>
          <w:lang w:eastAsia="en-GB"/>
        </w:rPr>
        <w:t> </w:t>
      </w:r>
    </w:p>
    <w:p w:rsidR="00745DE5" w:rsidRPr="00745DE5" w:rsidRDefault="00745DE5" w:rsidP="002E19B7">
      <w:pPr>
        <w:spacing w:after="0" w:line="240" w:lineRule="auto"/>
        <w:ind w:left="284" w:hanging="284"/>
        <w:jc w:val="both"/>
        <w:rPr>
          <w:rFonts w:ascii="Arial" w:eastAsia="Times New Roman" w:hAnsi="Arial" w:cs="Arial"/>
          <w:i/>
          <w:iCs/>
          <w:sz w:val="18"/>
          <w:szCs w:val="18"/>
          <w:lang w:eastAsia="en-GB"/>
        </w:rPr>
      </w:pPr>
      <w:r w:rsidRPr="00745DE5">
        <w:rPr>
          <w:rFonts w:ascii="Arial" w:eastAsia="Times New Roman" w:hAnsi="Arial" w:cs="Arial"/>
          <w:i/>
          <w:iCs/>
          <w:sz w:val="14"/>
          <w:szCs w:val="14"/>
          <w:lang w:eastAsia="en-GB"/>
        </w:rPr>
        <w:t>1        Loan impairment charges, comprising impairment on loans and advances and charges in respect of undrawn facilities and guarantees.</w:t>
      </w:r>
    </w:p>
    <w:p w:rsidR="00745DE5" w:rsidRPr="00745DE5" w:rsidRDefault="002E19B7" w:rsidP="00745DE5">
      <w:pPr>
        <w:spacing w:before="20" w:after="20" w:line="240" w:lineRule="auto"/>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 xml:space="preserve">2       </w:t>
      </w:r>
      <w:r w:rsidR="00745DE5" w:rsidRPr="00745DE5">
        <w:rPr>
          <w:rFonts w:ascii="Arial" w:eastAsia="Times New Roman" w:hAnsi="Arial" w:cs="Arial"/>
          <w:i/>
          <w:iCs/>
          <w:sz w:val="14"/>
          <w:szCs w:val="14"/>
          <w:lang w:eastAsia="en-GB"/>
        </w:rPr>
        <w:t>Includes loans and advances to business customers.</w:t>
      </w:r>
    </w:p>
    <w:p w:rsidR="00745DE5" w:rsidRPr="00745DE5" w:rsidRDefault="002E19B7" w:rsidP="002E19B7">
      <w:pPr>
        <w:spacing w:before="20" w:after="20" w:line="240" w:lineRule="auto"/>
        <w:ind w:left="284" w:hanging="284"/>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3      </w:t>
      </w:r>
      <w:r w:rsidR="00745DE5" w:rsidRPr="00745DE5">
        <w:rPr>
          <w:rFonts w:ascii="Arial" w:eastAsia="Times New Roman" w:hAnsi="Arial" w:cs="Arial"/>
          <w:i/>
          <w:iCs/>
          <w:sz w:val="14"/>
          <w:szCs w:val="14"/>
          <w:lang w:eastAsia="en-GB"/>
        </w:rPr>
        <w:t xml:space="preserve"> Primarily comprises retail portfolios in India and UAE.</w:t>
      </w:r>
    </w:p>
    <w:p w:rsidR="00745DE5" w:rsidRPr="00745DE5" w:rsidRDefault="00745DE5" w:rsidP="002E19B7">
      <w:pPr>
        <w:spacing w:before="20" w:after="20" w:line="240" w:lineRule="auto"/>
        <w:ind w:left="284" w:hanging="284"/>
        <w:jc w:val="both"/>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4       Loan impairment charge as at June 2012 is the charge incurred over the period of 6 months.</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 xml:space="preserve">Appendix III - Balance Sheet and Capital </w:t>
      </w:r>
    </w:p>
    <w:tbl>
      <w:tblPr>
        <w:tblW w:w="0" w:type="auto"/>
        <w:tblInd w:w="-36" w:type="dxa"/>
        <w:tblCellMar>
          <w:left w:w="0" w:type="dxa"/>
          <w:right w:w="0" w:type="dxa"/>
        </w:tblCellMar>
        <w:tblLook w:val="04A0" w:firstRow="1" w:lastRow="0" w:firstColumn="1" w:lastColumn="0" w:noHBand="0" w:noVBand="1"/>
      </w:tblPr>
      <w:tblGrid>
        <w:gridCol w:w="5022"/>
        <w:gridCol w:w="1029"/>
        <w:gridCol w:w="1029"/>
        <w:gridCol w:w="1027"/>
        <w:gridCol w:w="1027"/>
      </w:tblGrid>
      <w:tr w:rsidR="00745DE5" w:rsidRPr="00745DE5" w:rsidTr="00745DE5">
        <w:trPr>
          <w:trHeight w:val="240"/>
        </w:trPr>
        <w:tc>
          <w:tcPr>
            <w:tcW w:w="511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0"/>
                <w:szCs w:val="20"/>
                <w:lang w:eastAsia="en-GB"/>
              </w:rPr>
              <w:t>Wholesale Loans and Advances at Amortised Cost</w:t>
            </w:r>
            <w:r w:rsidRPr="00745DE5">
              <w:rPr>
                <w:rFonts w:ascii="Arial" w:eastAsia="Times New Roman" w:hAnsi="Arial" w:cs="Arial"/>
                <w:sz w:val="16"/>
                <w:szCs w:val="16"/>
                <w:vertAlign w:val="superscript"/>
                <w:lang w:eastAsia="en-GB"/>
              </w:rPr>
              <w:t>1 </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0"/>
                <w:szCs w:val="20"/>
                <w:lang w:eastAsia="en-GB"/>
              </w:rPr>
              <w:t> </w:t>
            </w:r>
            <w:r w:rsidRPr="00745DE5">
              <w:rPr>
                <w:rFonts w:ascii="Arial" w:eastAsia="Times New Roman" w:hAnsi="Arial" w:cs="Arial"/>
                <w:sz w:val="16"/>
                <w:szCs w:val="16"/>
                <w:vertAlign w:val="superscript"/>
                <w:lang w:eastAsia="en-GB"/>
              </w:rPr>
              <w:t> </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740"/>
        <w:gridCol w:w="1050"/>
        <w:gridCol w:w="1050"/>
        <w:gridCol w:w="1050"/>
        <w:gridCol w:w="1050"/>
        <w:gridCol w:w="1050"/>
        <w:gridCol w:w="1050"/>
        <w:gridCol w:w="1050"/>
      </w:tblGrid>
      <w:tr w:rsidR="00745DE5" w:rsidRPr="00745DE5" w:rsidTr="00745DE5">
        <w:trPr>
          <w:trHeight w:val="720"/>
        </w:trPr>
        <w:tc>
          <w:tcPr>
            <w:tcW w:w="17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30.09.12 </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Gross</w:t>
            </w:r>
          </w:p>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L&amp;A</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Impairment Allowance</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L&amp;A Net of Impairment </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Credit</w:t>
            </w:r>
          </w:p>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Risk Loans </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CRLs % of Gross L&amp;A </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 Impairment Charges</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 Loss Rates</w:t>
            </w:r>
          </w:p>
        </w:tc>
      </w:tr>
      <w:tr w:rsidR="00745DE5" w:rsidRPr="00745DE5" w:rsidTr="00745DE5">
        <w:trPr>
          <w:trHeight w:val="240"/>
        </w:trPr>
        <w:tc>
          <w:tcPr>
            <w:tcW w:w="17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bps</w:t>
            </w:r>
          </w:p>
        </w:tc>
      </w:tr>
      <w:tr w:rsidR="00745DE5" w:rsidRPr="00745DE5" w:rsidTr="00745DE5">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lastRenderedPageBreak/>
              <w:t xml:space="preserve">UK RBB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2,909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63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2,846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236 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8.1 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31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142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Africa RBB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9,342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9,044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811 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8.7 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183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Barclaycard</w:t>
            </w:r>
            <w:r w:rsidRPr="00745DE5">
              <w:rPr>
                <w:rFonts w:ascii="Arial" w:eastAsia="Times New Roman" w:hAnsi="Arial" w:cs="Arial"/>
                <w:sz w:val="13"/>
                <w:szCs w:val="13"/>
                <w:vertAlign w:val="superscript"/>
                <w:lang w:eastAsia="en-GB"/>
              </w:rPr>
              <w:t>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606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599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0.5 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463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Investment Bank</w:t>
            </w:r>
            <w:r w:rsidRPr="00745DE5">
              <w:rPr>
                <w:rFonts w:ascii="Arial" w:eastAsia="Times New Roman" w:hAnsi="Arial" w:cs="Arial"/>
                <w:sz w:val="13"/>
                <w:szCs w:val="13"/>
                <w:vertAlign w:val="superscript"/>
                <w:lang w:eastAsia="en-GB"/>
              </w:rPr>
              <w:t>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188,684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2,442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186,242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4,555 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344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Corporate Banking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64,779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2,029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62,750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3,978 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6.1 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621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128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UK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51,525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405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51,120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1,303 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55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Europe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8,390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1,525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6,865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2,523 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30.1 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406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646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Rest of World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4,864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4,765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152 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 </w:t>
            </w:r>
          </w:p>
        </w:tc>
      </w:tr>
      <w:tr w:rsidR="00745DE5" w:rsidRPr="00745DE5" w:rsidTr="00745DE5">
        <w:trPr>
          <w:trHeight w:val="383"/>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Wealth and Investment Management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2,383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2,330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320 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13.4 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22 </w:t>
            </w:r>
          </w:p>
        </w:tc>
      </w:tr>
      <w:tr w:rsidR="00745DE5" w:rsidRPr="00745DE5" w:rsidTr="00745DE5">
        <w:trPr>
          <w:trHeight w:val="510"/>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Head Office and Other Functions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1,284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1,266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19 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 </w:t>
            </w:r>
          </w:p>
        </w:tc>
      </w:tr>
      <w:tr w:rsidR="00745DE5" w:rsidRPr="00745DE5" w:rsidTr="00745DE5">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269,987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4,910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 265,077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9,922 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3.7 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1,150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57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6"/>
                <w:szCs w:val="16"/>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17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30.06.12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r>
      <w:tr w:rsidR="00745DE5" w:rsidRPr="00745DE5" w:rsidTr="00745DE5">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UK RBB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2,844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66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2,778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241 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8.5 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22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156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Africa RBB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9,952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278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9,674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839 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8.4 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129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Barclaycard</w:t>
            </w:r>
            <w:r w:rsidRPr="00745DE5">
              <w:rPr>
                <w:rFonts w:ascii="Arial" w:eastAsia="Times New Roman" w:hAnsi="Arial" w:cs="Arial"/>
                <w:sz w:val="13"/>
                <w:szCs w:val="13"/>
                <w:vertAlign w:val="superscript"/>
                <w:lang w:eastAsia="en-GB"/>
              </w:rPr>
              <w:t>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589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582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0.8 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478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Investment Bank</w:t>
            </w:r>
            <w:r w:rsidRPr="00745DE5">
              <w:rPr>
                <w:rFonts w:ascii="Arial" w:eastAsia="Times New Roman" w:hAnsi="Arial" w:cs="Arial"/>
                <w:sz w:val="13"/>
                <w:szCs w:val="13"/>
                <w:vertAlign w:val="superscript"/>
                <w:lang w:eastAsia="en-GB"/>
              </w:rPr>
              <w:t>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188,414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2,494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185,920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4,631 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324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35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Corporate Banking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67,034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2,010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65,024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4,117 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6.1 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417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125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UK</w:t>
            </w:r>
            <w:r w:rsidRPr="00745DE5">
              <w:rPr>
                <w:rFonts w:ascii="Arial" w:eastAsia="Times New Roman" w:hAnsi="Arial" w:cs="Arial"/>
                <w:sz w:val="13"/>
                <w:szCs w:val="13"/>
                <w:vertAlign w:val="superscript"/>
                <w:lang w:eastAsia="en-GB"/>
              </w:rPr>
              <w:t>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52,404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433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51,971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1,243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55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Europe</w:t>
            </w:r>
            <w:r w:rsidRPr="00745DE5">
              <w:rPr>
                <w:rFonts w:ascii="Arial" w:eastAsia="Times New Roman" w:hAnsi="Arial" w:cs="Arial"/>
                <w:sz w:val="13"/>
                <w:szCs w:val="13"/>
                <w:vertAlign w:val="superscript"/>
                <w:lang w:eastAsia="en-GB"/>
              </w:rPr>
              <w:t>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9,106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1,474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7,632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2,714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29.8 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273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602 </w:t>
            </w:r>
          </w:p>
        </w:tc>
      </w:tr>
      <w:tr w:rsidR="00745DE5" w:rsidRPr="00745DE5" w:rsidTr="00745DE5">
        <w:trPr>
          <w:trHeight w:val="24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Rest of World</w:t>
            </w:r>
            <w:r w:rsidRPr="00745DE5">
              <w:rPr>
                <w:rFonts w:ascii="Arial" w:eastAsia="Times New Roman" w:hAnsi="Arial" w:cs="Arial"/>
                <w:sz w:val="13"/>
                <w:szCs w:val="13"/>
                <w:vertAlign w:val="superscript"/>
                <w:lang w:eastAsia="en-GB"/>
              </w:rPr>
              <w:t>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5,524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5,421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160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 </w:t>
            </w:r>
          </w:p>
        </w:tc>
      </w:tr>
      <w:tr w:rsidR="00745DE5" w:rsidRPr="00745DE5" w:rsidTr="00745DE5">
        <w:trPr>
          <w:trHeight w:val="510"/>
        </w:trPr>
        <w:tc>
          <w:tcPr>
            <w:tcW w:w="17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Wealth and Investment Management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2,441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2,389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329 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13.5 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 </w:t>
            </w:r>
          </w:p>
        </w:tc>
      </w:tr>
      <w:tr w:rsidR="00745DE5" w:rsidRPr="00745DE5" w:rsidTr="00745DE5">
        <w:trPr>
          <w:trHeight w:val="240"/>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Head Office and Other Functions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1,274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1,256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34 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2.7 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 </w:t>
            </w:r>
          </w:p>
        </w:tc>
      </w:tr>
      <w:tr w:rsidR="00745DE5" w:rsidRPr="00745DE5" w:rsidTr="00745DE5">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272,548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4,925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 267,623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10,196 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3.7 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844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62 </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745DE5" w:rsidP="00745DE5">
      <w:pPr>
        <w:spacing w:before="20" w:after="20" w:line="240" w:lineRule="auto"/>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20" w:line="240" w:lineRule="auto"/>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20" w:line="240" w:lineRule="auto"/>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20" w:line="240" w:lineRule="auto"/>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20" w:line="240" w:lineRule="auto"/>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20" w:line="240" w:lineRule="auto"/>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20" w:line="240" w:lineRule="auto"/>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20" w:line="240" w:lineRule="auto"/>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2E19B7">
      <w:pPr>
        <w:spacing w:before="20" w:after="20" w:line="240" w:lineRule="auto"/>
        <w:ind w:left="284" w:hanging="284"/>
        <w:jc w:val="both"/>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1      Loans and advances to business customers in Europe RBB are included in the Retail Loans and Advances to Customers at Amortised Cost table on page 25.</w:t>
      </w:r>
    </w:p>
    <w:p w:rsidR="00745DE5" w:rsidRPr="00745DE5" w:rsidRDefault="00745DE5" w:rsidP="002E19B7">
      <w:pPr>
        <w:spacing w:before="20" w:after="20" w:line="240" w:lineRule="auto"/>
        <w:ind w:left="284" w:hanging="284"/>
        <w:jc w:val="both"/>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2    Barclaycard wholesale loans and advances represent corporate credit and charge cards.</w:t>
      </w:r>
    </w:p>
    <w:p w:rsidR="00745DE5" w:rsidRPr="00745DE5" w:rsidRDefault="00745DE5" w:rsidP="002E19B7">
      <w:pPr>
        <w:spacing w:before="20" w:after="20" w:line="240" w:lineRule="auto"/>
        <w:ind w:left="284" w:hanging="284"/>
        <w:jc w:val="both"/>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3    </w:t>
      </w:r>
      <w:r w:rsidR="002E19B7">
        <w:rPr>
          <w:rFonts w:ascii="Arial" w:eastAsia="Times New Roman" w:hAnsi="Arial" w:cs="Arial"/>
          <w:i/>
          <w:iCs/>
          <w:sz w:val="14"/>
          <w:szCs w:val="14"/>
          <w:lang w:eastAsia="en-GB"/>
        </w:rPr>
        <w:t xml:space="preserve"> </w:t>
      </w:r>
      <w:r w:rsidRPr="00745DE5">
        <w:rPr>
          <w:rFonts w:ascii="Arial" w:eastAsia="Times New Roman" w:hAnsi="Arial" w:cs="Arial"/>
          <w:i/>
          <w:iCs/>
          <w:sz w:val="14"/>
          <w:szCs w:val="14"/>
          <w:lang w:eastAsia="en-GB"/>
        </w:rPr>
        <w:t>Investment Bank gross loans and advances include cash collateral and settlement balances of £117bn as at 30 September 2012 and £111bn as at 30 June 2012. Excluding these balances CRLs as a proportion of gross loans and advances was 6.35% (30 June 2012: 5.98% respectively).</w:t>
      </w:r>
    </w:p>
    <w:p w:rsidR="00745DE5" w:rsidRPr="00745DE5" w:rsidRDefault="00745DE5" w:rsidP="002E19B7">
      <w:pPr>
        <w:spacing w:before="20" w:line="240" w:lineRule="auto"/>
        <w:ind w:left="284" w:hanging="284"/>
        <w:jc w:val="both"/>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4    Balances revised following a reallocation of £1,361m from UK to Europe (£390m) and Rest of World (£971m).</w:t>
      </w:r>
    </w:p>
    <w:p w:rsidR="00745DE5" w:rsidRDefault="00745DE5" w:rsidP="002E19B7">
      <w:pPr>
        <w:spacing w:before="100" w:beforeAutospacing="1" w:after="100" w:afterAutospacing="1" w:line="240" w:lineRule="auto"/>
        <w:ind w:left="284"/>
        <w:rPr>
          <w:rFonts w:ascii="Arial" w:eastAsia="Times New Roman" w:hAnsi="Arial" w:cs="Arial"/>
          <w:sz w:val="2"/>
          <w:szCs w:val="2"/>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sz w:val="24"/>
          <w:szCs w:val="24"/>
          <w:lang w:eastAsia="en-GB"/>
        </w:rPr>
      </w:pPr>
    </w:p>
    <w:p w:rsidR="00745DE5" w:rsidRPr="00745DE5" w:rsidRDefault="00745DE5" w:rsidP="00745DE5">
      <w:pPr>
        <w:spacing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IV - Group Exposures to Selected Countries</w:t>
      </w:r>
    </w:p>
    <w:p w:rsidR="00745DE5" w:rsidRPr="00745DE5" w:rsidRDefault="00745DE5" w:rsidP="00745DE5">
      <w:pPr>
        <w:spacing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sz w:val="24"/>
          <w:szCs w:val="24"/>
          <w:lang w:eastAsia="en-GB"/>
        </w:rPr>
        <w:t>Group Exposures to Selected Eurozone Countries</w:t>
      </w:r>
    </w:p>
    <w:p w:rsidR="00745DE5" w:rsidRPr="00745DE5" w:rsidRDefault="00745DE5" w:rsidP="00745DE5">
      <w:pPr>
        <w:spacing w:before="240" w:after="0" w:line="240" w:lineRule="auto"/>
        <w:jc w:val="both"/>
        <w:rPr>
          <w:rFonts w:ascii="Arial" w:eastAsia="Times New Roman" w:hAnsi="Arial" w:cs="Arial"/>
          <w:b/>
          <w:bCs/>
          <w:color w:val="000000"/>
          <w:sz w:val="20"/>
          <w:szCs w:val="20"/>
          <w:lang w:eastAsia="en-GB"/>
        </w:rPr>
      </w:pPr>
      <w:r w:rsidRPr="00745DE5">
        <w:rPr>
          <w:rFonts w:ascii="Arial" w:eastAsia="Times New Roman" w:hAnsi="Arial" w:cs="Arial"/>
          <w:b/>
          <w:bCs/>
          <w:sz w:val="20"/>
          <w:szCs w:val="20"/>
          <w:lang w:eastAsia="en-GB"/>
        </w:rPr>
        <w:t>Direct credit and market risk exposures</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The following table shows Barclays net exposure to those Eurozone countries monitored internally as being higher risk and the subject of particular management focus. Detailed analysis on these countries is on pages 29 to 34. The basis of preparation is consistent with that described in the H1 2012 Results Announcement. Net exposures are shown as they provide a relevant measure of counterparty credit risk</w:t>
      </w:r>
    </w:p>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080"/>
        <w:gridCol w:w="990"/>
        <w:gridCol w:w="990"/>
        <w:gridCol w:w="990"/>
        <w:gridCol w:w="990"/>
        <w:gridCol w:w="990"/>
        <w:gridCol w:w="990"/>
        <w:gridCol w:w="1113"/>
        <w:gridCol w:w="930"/>
      </w:tblGrid>
      <w:tr w:rsidR="00745DE5" w:rsidRPr="00745DE5" w:rsidTr="00745DE5">
        <w:trPr>
          <w:trHeight w:val="240"/>
        </w:trPr>
        <w:tc>
          <w:tcPr>
            <w:tcW w:w="108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 net on-</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Contingent</w:t>
            </w:r>
          </w:p>
        </w:tc>
        <w:tc>
          <w:tcPr>
            <w:tcW w:w="9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108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Financial</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Residential</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Other retail</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balance sheet</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 and</w:t>
            </w:r>
          </w:p>
        </w:tc>
        <w:tc>
          <w:tcPr>
            <w:tcW w:w="9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108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 30.09.12</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Sovereign</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institutions</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Corporate</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mortgages</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lending</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exposure</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commitments</w:t>
            </w:r>
          </w:p>
        </w:tc>
        <w:tc>
          <w:tcPr>
            <w:tcW w:w="9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exposure</w:t>
            </w:r>
          </w:p>
        </w:tc>
      </w:tr>
      <w:tr w:rsidR="00745DE5" w:rsidRPr="00745DE5" w:rsidTr="00745DE5">
        <w:trPr>
          <w:trHeight w:val="240"/>
        </w:trPr>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99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9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9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9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9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9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108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Spain</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2,165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2,866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4,175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13,261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2,815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25,282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3,195 </w:t>
            </w:r>
          </w:p>
        </w:tc>
        <w:tc>
          <w:tcPr>
            <w:tcW w:w="9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28,477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Italy</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1,946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298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1,790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15,238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1,991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21,263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2,836 </w:t>
            </w:r>
          </w:p>
        </w:tc>
        <w:tc>
          <w:tcPr>
            <w:tcW w:w="9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24,099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lastRenderedPageBreak/>
              <w:t>Portugal</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627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67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2,190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3,436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1,752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8,072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2,623 </w:t>
            </w:r>
          </w:p>
        </w:tc>
        <w:tc>
          <w:tcPr>
            <w:tcW w:w="9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10,695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Ireland</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3,790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1,023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78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105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5,006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1,518 </w:t>
            </w:r>
          </w:p>
        </w:tc>
        <w:tc>
          <w:tcPr>
            <w:tcW w:w="9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6,524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Cyprus</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133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48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120 </w:t>
            </w:r>
          </w:p>
        </w:tc>
        <w:tc>
          <w:tcPr>
            <w:tcW w:w="9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330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Greece</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59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 </w:t>
            </w:r>
          </w:p>
        </w:tc>
        <w:tc>
          <w:tcPr>
            <w:tcW w:w="9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97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 30.06.12</w:t>
            </w: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108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Spain</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2,207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1,082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5,117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13,645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2,988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25,039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3,244 </w:t>
            </w:r>
          </w:p>
        </w:tc>
        <w:tc>
          <w:tcPr>
            <w:tcW w:w="9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28,283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Italy</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2,551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270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2,500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15,447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2,134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22,902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2,616 </w:t>
            </w:r>
          </w:p>
        </w:tc>
        <w:tc>
          <w:tcPr>
            <w:tcW w:w="9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25,518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Portugal</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588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45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2,415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3,510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1,879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8,437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2,740 </w:t>
            </w:r>
          </w:p>
        </w:tc>
        <w:tc>
          <w:tcPr>
            <w:tcW w:w="9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11,177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Ireland</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4,222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1,109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105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5,738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1,570 </w:t>
            </w:r>
          </w:p>
        </w:tc>
        <w:tc>
          <w:tcPr>
            <w:tcW w:w="9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7,308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Cyprus</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122 </w:t>
            </w:r>
          </w:p>
        </w:tc>
        <w:tc>
          <w:tcPr>
            <w:tcW w:w="9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323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Greece</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59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 </w:t>
            </w:r>
          </w:p>
        </w:tc>
        <w:tc>
          <w:tcPr>
            <w:tcW w:w="9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108 </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before="240" w:after="0" w:line="240" w:lineRule="auto"/>
        <w:jc w:val="both"/>
        <w:rPr>
          <w:rFonts w:ascii="Arial" w:eastAsia="Times New Roman" w:hAnsi="Arial" w:cs="Arial"/>
          <w:b/>
          <w:bCs/>
          <w:color w:val="000000"/>
          <w:sz w:val="20"/>
          <w:szCs w:val="20"/>
          <w:lang w:eastAsia="en-GB"/>
        </w:rPr>
      </w:pPr>
      <w:r w:rsidRPr="00745DE5">
        <w:rPr>
          <w:rFonts w:ascii="Arial" w:eastAsia="Times New Roman" w:hAnsi="Arial" w:cs="Arial"/>
          <w:b/>
          <w:bCs/>
          <w:sz w:val="20"/>
          <w:szCs w:val="20"/>
          <w:lang w:eastAsia="en-GB"/>
        </w:rPr>
        <w:t>Exposures to other Eurozone countries</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Barclays has net exposures to other Eurozone countries as set out below. Individual countries that have an on-balance sheet exposure of less than £1bn are reported in aggregate under Other</w:t>
      </w:r>
    </w:p>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080"/>
        <w:gridCol w:w="990"/>
        <w:gridCol w:w="990"/>
        <w:gridCol w:w="990"/>
        <w:gridCol w:w="990"/>
        <w:gridCol w:w="990"/>
        <w:gridCol w:w="1050"/>
        <w:gridCol w:w="1113"/>
        <w:gridCol w:w="870"/>
      </w:tblGrid>
      <w:tr w:rsidR="00745DE5" w:rsidRPr="00745DE5" w:rsidTr="00745DE5">
        <w:trPr>
          <w:trHeight w:val="240"/>
        </w:trPr>
        <w:tc>
          <w:tcPr>
            <w:tcW w:w="108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 net on-</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Contingent</w:t>
            </w:r>
          </w:p>
        </w:tc>
        <w:tc>
          <w:tcPr>
            <w:tcW w:w="87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108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Financial</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Residential</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Other retail</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balance sheet</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 and</w:t>
            </w:r>
          </w:p>
        </w:tc>
        <w:tc>
          <w:tcPr>
            <w:tcW w:w="87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108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 30.09.12</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Sovereign</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institutions</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Corporate</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mortgages</w:t>
            </w:r>
          </w:p>
        </w:tc>
        <w:tc>
          <w:tcPr>
            <w:tcW w:w="99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lending</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exposure</w:t>
            </w:r>
          </w:p>
        </w:tc>
        <w:tc>
          <w:tcPr>
            <w:tcW w:w="10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commitments</w:t>
            </w:r>
          </w:p>
        </w:tc>
        <w:tc>
          <w:tcPr>
            <w:tcW w:w="87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exposure</w:t>
            </w:r>
          </w:p>
        </w:tc>
      </w:tr>
      <w:tr w:rsidR="00745DE5" w:rsidRPr="00745DE5" w:rsidTr="00745DE5">
        <w:trPr>
          <w:trHeight w:val="240"/>
        </w:trPr>
        <w:tc>
          <w:tcPr>
            <w:tcW w:w="108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99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9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9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9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99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7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108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France</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3,544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6,072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3,584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2,518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204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15,922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7,497 </w:t>
            </w:r>
          </w:p>
        </w:tc>
        <w:tc>
          <w:tcPr>
            <w:tcW w:w="87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23,419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Germany</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4,841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2,832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1,645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9,622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6,406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16,028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Netherlands</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2,599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5,039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2,012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66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9,731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1,837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11,568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Luxembourg</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3,965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581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105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4,702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748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5,450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Belgium</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2,618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377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3,019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1,558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4,577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Austria</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1,437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279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194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1,915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97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2,012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Finland</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1,122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149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45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1,318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451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1,769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183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34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297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320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108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 30.06.12</w:t>
            </w:r>
          </w:p>
        </w:tc>
        <w:tc>
          <w:tcPr>
            <w:tcW w:w="99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9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70"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108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France</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3,867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4,350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3,432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2,612 </w:t>
            </w:r>
          </w:p>
        </w:tc>
        <w:tc>
          <w:tcPr>
            <w:tcW w:w="99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267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14,528 </w:t>
            </w:r>
          </w:p>
        </w:tc>
        <w:tc>
          <w:tcPr>
            <w:tcW w:w="105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6,949 </w:t>
            </w:r>
          </w:p>
        </w:tc>
        <w:tc>
          <w:tcPr>
            <w:tcW w:w="87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21,477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Germany</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1,170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5,377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2,985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26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1,605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11,163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6,457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17,620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Netherlands</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2,513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4,646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1,857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9,055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1,918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10,973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Luxembourg</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3,104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551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3,870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760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4,630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Belgium</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2,670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88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303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3,075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1,660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4,735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Austria</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675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300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178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1,159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182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1,341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Finland</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586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133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50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772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431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1,203 </w:t>
            </w:r>
          </w:p>
        </w:tc>
      </w:tr>
      <w:tr w:rsidR="00745DE5" w:rsidRPr="00745DE5" w:rsidTr="00745DE5">
        <w:trPr>
          <w:trHeight w:val="240"/>
        </w:trPr>
        <w:tc>
          <w:tcPr>
            <w:tcW w:w="108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186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41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27 </w:t>
            </w:r>
          </w:p>
        </w:tc>
        <w:tc>
          <w:tcPr>
            <w:tcW w:w="99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42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299 </w:t>
            </w:r>
          </w:p>
        </w:tc>
        <w:tc>
          <w:tcPr>
            <w:tcW w:w="105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48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347 </w:t>
            </w:r>
          </w:p>
        </w:tc>
      </w:tr>
    </w:tbl>
    <w:p w:rsidR="00745DE5" w:rsidRDefault="00745DE5" w:rsidP="00745DE5">
      <w:pPr>
        <w:spacing w:after="180" w:line="240" w:lineRule="auto"/>
        <w:jc w:val="both"/>
        <w:rPr>
          <w:rFonts w:ascii="Arial" w:eastAsia="Times New Roman" w:hAnsi="Arial" w:cs="Arial"/>
          <w:color w:val="000000"/>
          <w:sz w:val="24"/>
          <w:szCs w:val="24"/>
          <w:lang w:eastAsia="en-GB"/>
        </w:rPr>
      </w:pPr>
    </w:p>
    <w:p w:rsidR="00745DE5" w:rsidRDefault="00745DE5" w:rsidP="00745DE5">
      <w:pPr>
        <w:spacing w:after="180" w:line="240" w:lineRule="auto"/>
        <w:jc w:val="both"/>
        <w:rPr>
          <w:rFonts w:ascii="Arial" w:eastAsia="Times New Roman" w:hAnsi="Arial" w:cs="Arial"/>
          <w:color w:val="000000"/>
          <w:sz w:val="24"/>
          <w:szCs w:val="24"/>
          <w:lang w:eastAsia="en-GB"/>
        </w:rPr>
      </w:pPr>
    </w:p>
    <w:p w:rsidR="00745DE5" w:rsidRPr="00745DE5" w:rsidRDefault="00745DE5" w:rsidP="00745DE5">
      <w:pPr>
        <w:spacing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IV - Group Exposures to Selected Countries</w:t>
      </w:r>
    </w:p>
    <w:p w:rsidR="00745DE5" w:rsidRPr="00745DE5" w:rsidRDefault="00745DE5" w:rsidP="00745DE5">
      <w:pPr>
        <w:spacing w:before="180" w:after="180" w:line="240" w:lineRule="auto"/>
        <w:jc w:val="both"/>
        <w:rPr>
          <w:rFonts w:ascii="Arial" w:eastAsia="Times New Roman" w:hAnsi="Arial" w:cs="Arial"/>
          <w:b/>
          <w:bCs/>
          <w:sz w:val="18"/>
          <w:szCs w:val="18"/>
          <w:lang w:eastAsia="en-GB"/>
        </w:rPr>
      </w:pPr>
      <w:r w:rsidRPr="00745DE5">
        <w:rPr>
          <w:rFonts w:ascii="Arial" w:eastAsia="Times New Roman" w:hAnsi="Arial" w:cs="Arial"/>
          <w:b/>
          <w:bCs/>
          <w:sz w:val="20"/>
          <w:szCs w:val="20"/>
          <w:lang w:eastAsia="en-GB"/>
        </w:rPr>
        <w:t>Credit Derivatives Referencing Eurozone Sovereign Debt</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The Group enters into credit mitigation arrangements (principally credit default swaps and total return swaps) primarily for risk management purposes for which the reference asset is government debt. These generally have the net effect of reducing the Group's exposure in the event of sovereign default</w:t>
      </w:r>
    </w:p>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170"/>
        <w:gridCol w:w="825"/>
        <w:gridCol w:w="825"/>
        <w:gridCol w:w="825"/>
        <w:gridCol w:w="825"/>
        <w:gridCol w:w="825"/>
        <w:gridCol w:w="825"/>
      </w:tblGrid>
      <w:tr w:rsidR="00745DE5" w:rsidRPr="00745DE5" w:rsidTr="00745DE5">
        <w:trPr>
          <w:trHeight w:val="255"/>
        </w:trPr>
        <w:tc>
          <w:tcPr>
            <w:tcW w:w="417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 30.09.12</w:t>
            </w: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Spain</w:t>
            </w: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Italy</w:t>
            </w: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Portugal</w:t>
            </w: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Ireland</w:t>
            </w: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Cyprus</w:t>
            </w: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Greece</w:t>
            </w:r>
          </w:p>
        </w:tc>
      </w:tr>
      <w:tr w:rsidR="00745DE5" w:rsidRPr="00745DE5" w:rsidTr="00745DE5">
        <w:trPr>
          <w:trHeight w:val="240"/>
        </w:trPr>
        <w:tc>
          <w:tcPr>
            <w:tcW w:w="417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25"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25"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25"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25"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25"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25" w:type="dxa"/>
            <w:tcBorders>
              <w:top w:val="nil"/>
              <w:left w:val="nil"/>
              <w:bottom w:val="single" w:sz="8" w:space="0" w:color="A5A5A5"/>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417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17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lastRenderedPageBreak/>
              <w:t>- Bought</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245 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361 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139 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61 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417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Sold</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(242)</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(297)</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(131)</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(74)</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417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 derivative fair value</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64 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(13)</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p>
        </w:tc>
      </w:tr>
      <w:tr w:rsidR="00745DE5" w:rsidRPr="00745DE5" w:rsidTr="00745DE5">
        <w:trPr>
          <w:trHeight w:val="240"/>
        </w:trPr>
        <w:tc>
          <w:tcPr>
            <w:tcW w:w="417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17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Contract notional amount</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417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Bought</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(2,507)</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(3,901)</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(1,173)</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(953)</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417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Sold</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2,457 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3,757 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1,016 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1,048 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r>
      <w:tr w:rsidR="00745DE5" w:rsidRPr="00745DE5" w:rsidTr="00745DE5">
        <w:trPr>
          <w:trHeight w:val="240"/>
        </w:trPr>
        <w:tc>
          <w:tcPr>
            <w:tcW w:w="417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 derivative notional amount</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(50)</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(144)</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(157)</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95 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p>
        </w:tc>
      </w:tr>
      <w:tr w:rsidR="00745DE5" w:rsidRPr="00745DE5" w:rsidTr="00745DE5">
        <w:trPr>
          <w:trHeight w:val="240"/>
        </w:trPr>
        <w:tc>
          <w:tcPr>
            <w:tcW w:w="417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480"/>
        </w:trPr>
        <w:tc>
          <w:tcPr>
            <w:tcW w:w="417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 (protection)/exposure from credit derivatives in the event of sovereign default (notional less fair value)</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(47)</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(80)</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(149)</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82 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The net derivative notional amount disclosed represents a reduction in exposures and should be considered alongside the direct exposures as disclosed in the following pages</w:t>
      </w:r>
    </w:p>
    <w:p w:rsidR="00745DE5" w:rsidRPr="00745DE5" w:rsidRDefault="00745DE5" w:rsidP="002E19B7">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In addition, the Group has indirect sovereign exposure through the guarantee of certain savings and investment funds, which hold a proportion of their assets in sovereign debt. As at 30 September 2012, the net liability in respect of these guarantees was £34m (30 June 2012: £45m)</w:t>
      </w:r>
    </w:p>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before="120" w:after="0" w:line="240" w:lineRule="auto"/>
        <w:jc w:val="both"/>
        <w:rPr>
          <w:rFonts w:ascii="Arial" w:eastAsia="Times New Roman" w:hAnsi="Arial" w:cs="Arial"/>
          <w:b/>
          <w:bCs/>
          <w:color w:val="000000"/>
          <w:sz w:val="20"/>
          <w:szCs w:val="20"/>
          <w:lang w:eastAsia="en-GB"/>
        </w:rPr>
      </w:pPr>
      <w:r w:rsidRPr="00745DE5">
        <w:rPr>
          <w:rFonts w:ascii="Arial" w:eastAsia="Times New Roman" w:hAnsi="Arial" w:cs="Arial"/>
          <w:b/>
          <w:bCs/>
          <w:sz w:val="20"/>
          <w:szCs w:val="20"/>
          <w:lang w:eastAsia="en-GB"/>
        </w:rPr>
        <w:t>Eurozone balance sheet funding mismatches</w:t>
      </w:r>
    </w:p>
    <w:p w:rsidR="00745DE5" w:rsidRPr="00745DE5" w:rsidRDefault="00745DE5" w:rsidP="002E19B7">
      <w:pPr>
        <w:tabs>
          <w:tab w:val="left" w:pos="284"/>
        </w:tabs>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Redenomination risk is the risk of financial loss to the Group should one or more countries exit from the Euro, leading to the devaluation of local balance sheet assets and liabilities. The Group is directly exposed to redenomination risk where there is a mismatch between the level of locally denominated assets and funding</w:t>
      </w:r>
    </w:p>
    <w:p w:rsidR="00745DE5" w:rsidRPr="00745DE5" w:rsidRDefault="00745DE5" w:rsidP="002E19B7">
      <w:pPr>
        <w:tabs>
          <w:tab w:val="left" w:pos="284"/>
        </w:tabs>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Within Barclays, retail banking, corporate banking and wealth activities in the Eurozone are generally booked locally within each country. Locally booked external customer assets and liabilities, primarily loans and advances to customers and customer deposits, are predominantly denominated in Euros. The remaining funding mismatch between local external assets and liabilities is met through local funding secured against customer loans and advances, with any residual mismatch funded through the Group</w:t>
      </w:r>
    </w:p>
    <w:p w:rsidR="00745DE5" w:rsidRPr="00745DE5" w:rsidRDefault="00745DE5" w:rsidP="002E19B7">
      <w:pPr>
        <w:tabs>
          <w:tab w:val="left" w:pos="284"/>
        </w:tabs>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Barclays continues to monitor and take mitigating actions to limit the potential impact of the Eurozone volatility on local balance sheet funding</w:t>
      </w:r>
    </w:p>
    <w:p w:rsidR="00745DE5" w:rsidRPr="00745DE5" w:rsidRDefault="00745DE5" w:rsidP="002E19B7">
      <w:pPr>
        <w:tabs>
          <w:tab w:val="left" w:pos="284"/>
        </w:tabs>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During Q3 12, mitigating actions have been taken to reduce local net funding mismatches in particular through the attraction of corporate deposits in Spain and reducing corporate lending in Spain and Portugal. As a result the Group reduced the aggregate net local balance sheet funding mismatch from £2.5bn to £0.1bn in Spain and from £3.7bn to £3.3bn in Portugal </w:t>
      </w:r>
    </w:p>
    <w:p w:rsidR="00745DE5" w:rsidRPr="00745DE5" w:rsidRDefault="00745DE5" w:rsidP="002E19B7">
      <w:pPr>
        <w:tabs>
          <w:tab w:val="left" w:pos="284"/>
        </w:tabs>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In Italy net funding by the Group reduced from £11.9bn to £9.6bn during Q3 12. Collateral is available to support additional secured funding in Italy should the risk of redenomination increase</w:t>
      </w:r>
    </w:p>
    <w:p w:rsidR="00745DE5" w:rsidRPr="00745DE5" w:rsidRDefault="00745DE5" w:rsidP="002E19B7">
      <w:pPr>
        <w:tabs>
          <w:tab w:val="left" w:pos="284"/>
        </w:tabs>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Direct exposure to Greece is very small with negligible net funding required from Group. For Ireland there is no local balance sheet funding requirement by the Group as total liabilities in this country exceed total assets</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IV - Group Exposures to Selected Countries</w:t>
      </w:r>
    </w:p>
    <w:tbl>
      <w:tblPr>
        <w:tblW w:w="10320" w:type="dxa"/>
        <w:tblInd w:w="-36" w:type="dxa"/>
        <w:tblCellMar>
          <w:left w:w="0" w:type="dxa"/>
          <w:right w:w="0" w:type="dxa"/>
        </w:tblCellMar>
        <w:tblLook w:val="04A0" w:firstRow="1" w:lastRow="0" w:firstColumn="1" w:lastColumn="0" w:noHBand="0" w:noVBand="1"/>
      </w:tblPr>
      <w:tblGrid>
        <w:gridCol w:w="1718"/>
        <w:gridCol w:w="2393"/>
        <w:gridCol w:w="118"/>
        <w:gridCol w:w="3506"/>
        <w:gridCol w:w="1051"/>
        <w:gridCol w:w="708"/>
        <w:gridCol w:w="118"/>
        <w:gridCol w:w="708"/>
      </w:tblGrid>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4"/>
                <w:szCs w:val="24"/>
                <w:lang w:eastAsia="en-GB"/>
              </w:rPr>
              <w:t>Spain</w:t>
            </w:r>
          </w:p>
        </w:tc>
        <w:tc>
          <w:tcPr>
            <w:tcW w:w="21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 Portfolio</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312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Derivatives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Designated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320" w:type="dxa"/>
        <w:tblInd w:w="-36" w:type="dxa"/>
        <w:tblCellMar>
          <w:left w:w="0" w:type="dxa"/>
          <w:right w:w="0" w:type="dxa"/>
        </w:tblCellMar>
        <w:tblLook w:val="04A0" w:firstRow="1" w:lastRow="0" w:firstColumn="1" w:lastColumn="0" w:noHBand="0" w:noVBand="1"/>
      </w:tblPr>
      <w:tblGrid>
        <w:gridCol w:w="1683"/>
        <w:gridCol w:w="802"/>
        <w:gridCol w:w="890"/>
        <w:gridCol w:w="802"/>
        <w:gridCol w:w="115"/>
        <w:gridCol w:w="656"/>
        <w:gridCol w:w="890"/>
        <w:gridCol w:w="881"/>
        <w:gridCol w:w="1018"/>
        <w:gridCol w:w="940"/>
        <w:gridCol w:w="764"/>
        <w:gridCol w:w="115"/>
        <w:gridCol w:w="764"/>
      </w:tblGrid>
      <w:tr w:rsidR="00745DE5" w:rsidRPr="00745DE5" w:rsidTr="00745DE5">
        <w:trPr>
          <w:trHeight w:val="255"/>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 through</w:t>
            </w: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at FV</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55"/>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Profit and Loss</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Gross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Gross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Cash</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through</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Assets</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Assets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Collateral</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Derivatives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P&amp;L</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30.09.12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2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1,101 </w:t>
            </w: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(849)</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252 </w:t>
            </w:r>
          </w:p>
        </w:tc>
        <w:tc>
          <w:tcPr>
            <w:tcW w:w="1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32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(32)</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252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232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2,195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(156)</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2,039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7,936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(7,383)</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(553)</w:t>
            </w: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155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2,194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367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215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(209)</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535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(208)</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327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304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637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1,291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90" w:type="dxa"/>
        <w:tblInd w:w="-36" w:type="dxa"/>
        <w:tblCellMar>
          <w:left w:w="0" w:type="dxa"/>
          <w:right w:w="0" w:type="dxa"/>
        </w:tblCellMar>
        <w:tblLook w:val="04A0" w:firstRow="1" w:lastRow="0" w:firstColumn="1" w:lastColumn="0" w:noHBand="0" w:noVBand="1"/>
      </w:tblPr>
      <w:tblGrid>
        <w:gridCol w:w="1701"/>
        <w:gridCol w:w="700"/>
        <w:gridCol w:w="801"/>
        <w:gridCol w:w="951"/>
        <w:gridCol w:w="117"/>
        <w:gridCol w:w="600"/>
        <w:gridCol w:w="817"/>
        <w:gridCol w:w="817"/>
        <w:gridCol w:w="984"/>
        <w:gridCol w:w="951"/>
        <w:gridCol w:w="1034"/>
        <w:gridCol w:w="117"/>
        <w:gridCol w:w="700"/>
      </w:tblGrid>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3735" w:type="dxa"/>
            <w:gridSpan w:val="4"/>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 through Equity</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4140" w:type="dxa"/>
            <w:gridSpan w:val="5"/>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Available for Sale Assets as at 30.09.12</w:t>
            </w:r>
            <w:r w:rsidRPr="00745DE5">
              <w:rPr>
                <w:rFonts w:ascii="Arial" w:eastAsia="Times New Roman" w:hAnsi="Arial" w:cs="Arial"/>
                <w:b/>
                <w:bCs/>
                <w:sz w:val="13"/>
                <w:szCs w:val="13"/>
                <w:vertAlign w:val="superscript"/>
                <w:lang w:eastAsia="en-GB"/>
              </w:rPr>
              <w:t>1</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305" w:type="dxa"/>
        <w:tblInd w:w="-36" w:type="dxa"/>
        <w:tblCellMar>
          <w:left w:w="0" w:type="dxa"/>
          <w:right w:w="0" w:type="dxa"/>
        </w:tblCellMar>
        <w:tblLook w:val="04A0" w:firstRow="1" w:lastRow="0" w:firstColumn="1" w:lastColumn="0" w:noHBand="0" w:noVBand="1"/>
      </w:tblPr>
      <w:tblGrid>
        <w:gridCol w:w="1762"/>
        <w:gridCol w:w="726"/>
        <w:gridCol w:w="829"/>
        <w:gridCol w:w="726"/>
        <w:gridCol w:w="121"/>
        <w:gridCol w:w="1555"/>
        <w:gridCol w:w="1953"/>
        <w:gridCol w:w="985"/>
        <w:gridCol w:w="726"/>
        <w:gridCol w:w="121"/>
        <w:gridCol w:w="801"/>
      </w:tblGrid>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3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Cost</w:t>
            </w:r>
          </w:p>
        </w:tc>
        <w:tc>
          <w:tcPr>
            <w:tcW w:w="169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AFS Reserve</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35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69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90" w:type="dxa"/>
        <w:tblInd w:w="-36" w:type="dxa"/>
        <w:tblCellMar>
          <w:left w:w="0" w:type="dxa"/>
          <w:right w:w="0" w:type="dxa"/>
        </w:tblCellMar>
        <w:tblLook w:val="04A0" w:firstRow="1" w:lastRow="0" w:firstColumn="1" w:lastColumn="0" w:noHBand="0" w:noVBand="1"/>
      </w:tblPr>
      <w:tblGrid>
        <w:gridCol w:w="1801"/>
        <w:gridCol w:w="18"/>
        <w:gridCol w:w="741"/>
        <w:gridCol w:w="847"/>
        <w:gridCol w:w="741"/>
        <w:gridCol w:w="124"/>
        <w:gridCol w:w="635"/>
        <w:gridCol w:w="865"/>
        <w:gridCol w:w="865"/>
        <w:gridCol w:w="1041"/>
        <w:gridCol w:w="1006"/>
        <w:gridCol w:w="741"/>
        <w:gridCol w:w="124"/>
        <w:gridCol w:w="741"/>
      </w:tblGrid>
      <w:tr w:rsidR="00745DE5" w:rsidRPr="00745DE5" w:rsidTr="00745DE5">
        <w:trPr>
          <w:trHeight w:val="240"/>
        </w:trPr>
        <w:tc>
          <w:tcPr>
            <w:tcW w:w="153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495" w:type="dxa"/>
            <w:gridSpan w:val="2"/>
            <w:tcBorders>
              <w:top w:val="single" w:sz="8" w:space="0" w:color="969696"/>
              <w:left w:val="nil"/>
              <w:bottom w:val="nil"/>
              <w:right w:val="nil"/>
            </w:tcBorders>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1,954 </w:t>
            </w:r>
          </w:p>
        </w:tc>
        <w:tc>
          <w:tcPr>
            <w:tcW w:w="73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(69)</w:t>
            </w:r>
          </w:p>
        </w:tc>
        <w:tc>
          <w:tcPr>
            <w:tcW w:w="85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1,885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1,926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495" w:type="dxa"/>
            <w:gridSpan w:val="2"/>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490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478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467 </w:t>
            </w:r>
          </w:p>
        </w:tc>
      </w:tr>
      <w:tr w:rsidR="00745DE5" w:rsidRPr="00745DE5" w:rsidTr="00745DE5">
        <w:trPr>
          <w:trHeight w:val="240"/>
        </w:trPr>
        <w:tc>
          <w:tcPr>
            <w:tcW w:w="1530" w:type="dxa"/>
            <w:gridSpan w:val="2"/>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6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 </w:t>
            </w:r>
          </w:p>
        </w:tc>
      </w:tr>
      <w:tr w:rsidR="00745DE5" w:rsidRPr="00745DE5" w:rsidTr="00745DE5">
        <w:trPr>
          <w:trHeight w:val="240"/>
        </w:trPr>
        <w:tc>
          <w:tcPr>
            <w:tcW w:w="1530" w:type="dxa"/>
            <w:gridSpan w:val="2"/>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c>
          <w:tcPr>
            <w:tcW w:w="15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2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0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54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3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3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8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5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0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90" w:type="dxa"/>
        <w:tblInd w:w="-36" w:type="dxa"/>
        <w:tblCellMar>
          <w:left w:w="0" w:type="dxa"/>
          <w:right w:w="0" w:type="dxa"/>
        </w:tblCellMar>
        <w:tblLook w:val="04A0" w:firstRow="1" w:lastRow="0" w:firstColumn="1" w:lastColumn="0" w:noHBand="0" w:noVBand="1"/>
      </w:tblPr>
      <w:tblGrid>
        <w:gridCol w:w="4153"/>
        <w:gridCol w:w="117"/>
        <w:gridCol w:w="600"/>
        <w:gridCol w:w="4603"/>
        <w:gridCol w:w="117"/>
        <w:gridCol w:w="700"/>
      </w:tblGrid>
      <w:tr w:rsidR="00745DE5" w:rsidRPr="00745DE5" w:rsidTr="00745DE5">
        <w:trPr>
          <w:trHeight w:val="240"/>
        </w:trPr>
        <w:tc>
          <w:tcPr>
            <w:tcW w:w="3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Held at Amortised Cost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41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Loans and Advances as at 30.09.12</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75" w:type="dxa"/>
        <w:tblInd w:w="-36" w:type="dxa"/>
        <w:tblCellMar>
          <w:left w:w="0" w:type="dxa"/>
          <w:right w:w="0" w:type="dxa"/>
        </w:tblCellMar>
        <w:tblLook w:val="04A0" w:firstRow="1" w:lastRow="0" w:firstColumn="1" w:lastColumn="0" w:noHBand="0" w:noVBand="1"/>
      </w:tblPr>
      <w:tblGrid>
        <w:gridCol w:w="1925"/>
        <w:gridCol w:w="573"/>
        <w:gridCol w:w="833"/>
        <w:gridCol w:w="729"/>
        <w:gridCol w:w="121"/>
        <w:gridCol w:w="625"/>
        <w:gridCol w:w="850"/>
        <w:gridCol w:w="850"/>
        <w:gridCol w:w="1102"/>
        <w:gridCol w:w="989"/>
        <w:gridCol w:w="753"/>
        <w:gridCol w:w="121"/>
        <w:gridCol w:w="804"/>
      </w:tblGrid>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Impairment</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255"/>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Gross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Allowances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166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49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40"/>
        </w:trPr>
        <w:tc>
          <w:tcPr>
            <w:tcW w:w="166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49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49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208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194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248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Residential mortgages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13,355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(94)</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13,261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13,645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4,636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(1,104)</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3,532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3,821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 retail lending</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2,945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(130)</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2,815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2,988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60" w:type="dxa"/>
        <w:tblInd w:w="-36" w:type="dxa"/>
        <w:tblCellMar>
          <w:left w:w="0" w:type="dxa"/>
          <w:right w:w="0" w:type="dxa"/>
        </w:tblCellMar>
        <w:tblLook w:val="04A0" w:firstRow="1" w:lastRow="0" w:firstColumn="1" w:lastColumn="0" w:noHBand="0" w:noVBand="1"/>
      </w:tblPr>
      <w:tblGrid>
        <w:gridCol w:w="1907"/>
        <w:gridCol w:w="567"/>
        <w:gridCol w:w="825"/>
        <w:gridCol w:w="980"/>
        <w:gridCol w:w="120"/>
        <w:gridCol w:w="619"/>
        <w:gridCol w:w="842"/>
        <w:gridCol w:w="842"/>
        <w:gridCol w:w="1014"/>
        <w:gridCol w:w="980"/>
        <w:gridCol w:w="722"/>
        <w:gridCol w:w="120"/>
        <w:gridCol w:w="722"/>
      </w:tblGrid>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3735" w:type="dxa"/>
            <w:gridSpan w:val="4"/>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Contingent Liabilities and Commitments</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45" w:type="dxa"/>
        <w:tblInd w:w="-36" w:type="dxa"/>
        <w:tblCellMar>
          <w:left w:w="0" w:type="dxa"/>
          <w:right w:w="0" w:type="dxa"/>
        </w:tblCellMar>
        <w:tblLook w:val="04A0" w:firstRow="1" w:lastRow="0" w:firstColumn="1" w:lastColumn="0" w:noHBand="0" w:noVBand="1"/>
      </w:tblPr>
      <w:tblGrid>
        <w:gridCol w:w="1926"/>
        <w:gridCol w:w="572"/>
        <w:gridCol w:w="833"/>
        <w:gridCol w:w="728"/>
        <w:gridCol w:w="121"/>
        <w:gridCol w:w="624"/>
        <w:gridCol w:w="850"/>
        <w:gridCol w:w="850"/>
        <w:gridCol w:w="1023"/>
        <w:gridCol w:w="989"/>
        <w:gridCol w:w="804"/>
        <w:gridCol w:w="121"/>
        <w:gridCol w:w="804"/>
      </w:tblGrid>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30.09.12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166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Borders>
              <w:top w:val="nil"/>
              <w:left w:val="nil"/>
              <w:bottom w:val="single" w:sz="8" w:space="0" w:color="7F7F7F"/>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166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49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162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102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Residential mortgages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1,953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2,027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 retail lending</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1,125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1,024 </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2E19B7">
      <w:pPr>
        <w:tabs>
          <w:tab w:val="left" w:pos="284"/>
        </w:tabs>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Sovereign</w:t>
      </w:r>
    </w:p>
    <w:p w:rsidR="00745DE5" w:rsidRPr="00745DE5" w:rsidRDefault="00745DE5" w:rsidP="002E19B7">
      <w:pPr>
        <w:tabs>
          <w:tab w:val="left" w:pos="284"/>
        </w:tabs>
        <w:spacing w:before="180" w:after="180" w:line="240" w:lineRule="auto"/>
        <w:ind w:left="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Largely AFS government bonds. No impairment and £69m (30 June 2012: £158m) loss held in AFS reserve </w:t>
      </w:r>
    </w:p>
    <w:p w:rsidR="00745DE5" w:rsidRPr="00745DE5" w:rsidRDefault="00745DE5" w:rsidP="002E19B7">
      <w:pPr>
        <w:tabs>
          <w:tab w:val="left" w:pos="284"/>
        </w:tabs>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Financial institutions</w:t>
      </w:r>
    </w:p>
    <w:p w:rsidR="00745DE5" w:rsidRPr="00745DE5" w:rsidRDefault="00745DE5" w:rsidP="002E19B7">
      <w:pPr>
        <w:tabs>
          <w:tab w:val="left" w:pos="284"/>
        </w:tabs>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£2,194m (30 June 2012: £367m) held at fair value through profit and loss, predominantly traded equity securities that are fully hedged by total return swaps with non-Spanish counterparties</w:t>
      </w:r>
    </w:p>
    <w:p w:rsidR="00745DE5" w:rsidRPr="00745DE5" w:rsidRDefault="00745DE5" w:rsidP="002E19B7">
      <w:pPr>
        <w:tabs>
          <w:tab w:val="left" w:pos="284"/>
        </w:tabs>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£478m (30 June 2012: £467m) AFS assets with £12m (30 June 2012: £28m) loss held in AFS reserve</w:t>
      </w:r>
    </w:p>
    <w:p w:rsidR="00745DE5" w:rsidRPr="00745DE5" w:rsidRDefault="00745DE5" w:rsidP="002E19B7">
      <w:pPr>
        <w:tabs>
          <w:tab w:val="left" w:pos="284"/>
        </w:tabs>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Residential mortgages</w:t>
      </w:r>
    </w:p>
    <w:p w:rsidR="00745DE5" w:rsidRPr="00745DE5" w:rsidRDefault="00745DE5" w:rsidP="002E19B7">
      <w:pPr>
        <w:tabs>
          <w:tab w:val="left" w:pos="284"/>
        </w:tabs>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Fully secured on residential property with average marked to market LTV of 63.8% (30 June 2012: 62.7%), which is reflected in the CRL coverage of 30% (30 June 2012: 26%)</w:t>
      </w:r>
    </w:p>
    <w:p w:rsidR="00745DE5" w:rsidRPr="00745DE5" w:rsidRDefault="00745DE5" w:rsidP="002E19B7">
      <w:pPr>
        <w:tabs>
          <w:tab w:val="left" w:pos="284"/>
        </w:tabs>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90 day arrears rates have remained stable at 0.7% during Q3 12 while annualised loan loss rates have marginally increased to 45bps (30 June 2012: 43bps) </w:t>
      </w:r>
    </w:p>
    <w:p w:rsidR="00745DE5" w:rsidRPr="00745DE5" w:rsidRDefault="00745DE5" w:rsidP="002E19B7">
      <w:pPr>
        <w:tabs>
          <w:tab w:val="left" w:pos="284"/>
        </w:tabs>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2E19B7">
      <w:pPr>
        <w:tabs>
          <w:tab w:val="left" w:pos="284"/>
        </w:tabs>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2E19B7">
      <w:pPr>
        <w:tabs>
          <w:tab w:val="left" w:pos="284"/>
        </w:tabs>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2E19B7">
      <w:pPr>
        <w:tabs>
          <w:tab w:val="left" w:pos="284"/>
        </w:tabs>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2E19B7">
      <w:pPr>
        <w:tabs>
          <w:tab w:val="left" w:pos="284"/>
        </w:tabs>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2E19B7">
      <w:pPr>
        <w:tabs>
          <w:tab w:val="left" w:pos="284"/>
        </w:tabs>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2E19B7">
      <w:pPr>
        <w:tabs>
          <w:tab w:val="left" w:pos="284"/>
        </w:tabs>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2E19B7">
      <w:pPr>
        <w:tabs>
          <w:tab w:val="left" w:pos="284"/>
        </w:tabs>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2E19B7">
      <w:pPr>
        <w:tabs>
          <w:tab w:val="left" w:pos="284"/>
        </w:tabs>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2E19B7">
      <w:pPr>
        <w:tabs>
          <w:tab w:val="left" w:pos="284"/>
        </w:tabs>
        <w:spacing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B3064B" w:rsidP="002E19B7">
      <w:pPr>
        <w:tabs>
          <w:tab w:val="left" w:pos="284"/>
        </w:tabs>
        <w:spacing w:before="20" w:after="20" w:line="240" w:lineRule="auto"/>
        <w:ind w:left="284" w:hanging="284"/>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1     </w:t>
      </w:r>
      <w:r w:rsidR="00745DE5" w:rsidRPr="00745DE5">
        <w:rPr>
          <w:rFonts w:ascii="Arial" w:eastAsia="Times New Roman" w:hAnsi="Arial" w:cs="Arial"/>
          <w:i/>
          <w:iCs/>
          <w:sz w:val="14"/>
          <w:szCs w:val="14"/>
          <w:lang w:eastAsia="en-GB"/>
        </w:rPr>
        <w:t>'Cost' refers to the fair value of the asset at recognition, less any impairment booked. 'AFS Reserve' is the cumulative fair value gain or loss on the assets that is held in equity. 'Total' is the fair value of the assets at the balance sheet date.</w:t>
      </w:r>
    </w:p>
    <w:p w:rsidR="00745DE5" w:rsidRDefault="00745DE5" w:rsidP="00745DE5">
      <w:pPr>
        <w:spacing w:before="100" w:beforeAutospacing="1" w:after="100" w:afterAutospacing="1" w:line="240" w:lineRule="auto"/>
        <w:rPr>
          <w:rFonts w:ascii="Arial" w:eastAsia="Times New Roman" w:hAnsi="Arial" w:cs="Arial"/>
          <w:b/>
          <w:bCs/>
          <w:color w:val="000000"/>
          <w:sz w:val="24"/>
          <w:szCs w:val="24"/>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sz w:val="24"/>
          <w:szCs w:val="24"/>
          <w:lang w:eastAsia="en-GB"/>
        </w:rPr>
      </w:pPr>
      <w:r w:rsidRPr="00745DE5">
        <w:rPr>
          <w:rFonts w:ascii="Times New Roman" w:eastAsia="Times New Roman" w:hAnsi="Times New Roman"/>
          <w:sz w:val="24"/>
          <w:szCs w:val="24"/>
          <w:lang w:eastAsia="en-GB"/>
        </w:rPr>
        <w:t> </w:t>
      </w:r>
    </w:p>
    <w:p w:rsidR="00745DE5" w:rsidRPr="00745DE5" w:rsidRDefault="00745DE5" w:rsidP="00745DE5">
      <w:pPr>
        <w:spacing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lastRenderedPageBreak/>
        <w:t>Appendix IV - Group Exposures to Selected Countries</w:t>
      </w:r>
    </w:p>
    <w:p w:rsidR="00745DE5" w:rsidRPr="00745DE5" w:rsidRDefault="00745DE5" w:rsidP="00B3064B">
      <w:pPr>
        <w:spacing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Corporate</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Net lending to corporates of £3,532m (30 June 2012: £3,821m) with CRLs of £1,870m (30 June 2012: £2,005m), impairment allowance of £1,104m (30 June 2012: £1,082m) and CRL coverage of 59% (30 June 2012: 54%)</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Net lending to property and construction industry of £1,223m (30 June 2012: £1,556m) largely secured on real estate collateral, with CRLs of £1,475m (30 June 2012: £1,364m), impairment allowance of £852m (30 June 2012: £795m) and CRL coverage of 58% (30 June 2012: 58%)</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Balances on early warning lists peaked in September 2009. Portfolio kept under close review and impairment recognised as appropriate</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Corporate impairment in Spain was at its highest level in H1 10 when commercial property declines were reflected earlier in the cycle</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£418m (30 June 2012: £368m) Investment Bank lending to multinational and large national corporates, which continues to perform</w:t>
      </w:r>
    </w:p>
    <w:p w:rsidR="00745DE5" w:rsidRPr="00745DE5" w:rsidRDefault="00745DE5" w:rsidP="00B3064B">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Other retail lending</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£1,019m (30 June 2012: £1,045m) credit cards and unsecured loans. Arrears and charge off rates in credit cards and unsecured loans increased marginally in Q3 12</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£1,447m (30 June 2012: £1,542m) lending to small and medium enterprises (SMEs), largely secured against commercial property</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IV - Group Exposures to Selected Countries</w:t>
      </w:r>
    </w:p>
    <w:tbl>
      <w:tblPr>
        <w:tblW w:w="10410" w:type="dxa"/>
        <w:tblInd w:w="-36" w:type="dxa"/>
        <w:tblCellMar>
          <w:left w:w="0" w:type="dxa"/>
          <w:right w:w="0" w:type="dxa"/>
        </w:tblCellMar>
        <w:tblLook w:val="04A0" w:firstRow="1" w:lastRow="0" w:firstColumn="1" w:lastColumn="0" w:noHBand="0" w:noVBand="1"/>
      </w:tblPr>
      <w:tblGrid>
        <w:gridCol w:w="1734"/>
        <w:gridCol w:w="2414"/>
        <w:gridCol w:w="119"/>
        <w:gridCol w:w="3536"/>
        <w:gridCol w:w="1060"/>
        <w:gridCol w:w="714"/>
        <w:gridCol w:w="119"/>
        <w:gridCol w:w="714"/>
      </w:tblGrid>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4"/>
                <w:szCs w:val="24"/>
                <w:lang w:eastAsia="en-GB"/>
              </w:rPr>
              <w:t>Italy</w:t>
            </w:r>
          </w:p>
        </w:tc>
        <w:tc>
          <w:tcPr>
            <w:tcW w:w="21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 Portfolio</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312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Derivatives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Designated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305" w:type="dxa"/>
        <w:tblInd w:w="-36" w:type="dxa"/>
        <w:tblCellMar>
          <w:left w:w="0" w:type="dxa"/>
          <w:right w:w="0" w:type="dxa"/>
        </w:tblCellMar>
        <w:tblLook w:val="04A0" w:firstRow="1" w:lastRow="0" w:firstColumn="1" w:lastColumn="0" w:noHBand="0" w:noVBand="1"/>
      </w:tblPr>
      <w:tblGrid>
        <w:gridCol w:w="1616"/>
        <w:gridCol w:w="771"/>
        <w:gridCol w:w="856"/>
        <w:gridCol w:w="904"/>
        <w:gridCol w:w="111"/>
        <w:gridCol w:w="631"/>
        <w:gridCol w:w="856"/>
        <w:gridCol w:w="848"/>
        <w:gridCol w:w="979"/>
        <w:gridCol w:w="904"/>
        <w:gridCol w:w="983"/>
        <w:gridCol w:w="111"/>
        <w:gridCol w:w="735"/>
      </w:tblGrid>
      <w:tr w:rsidR="00745DE5" w:rsidRPr="00745DE5" w:rsidTr="00745DE5">
        <w:trPr>
          <w:trHeight w:val="114"/>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 through</w:t>
            </w: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at FV</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189"/>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Profit and Loss</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Gross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Gross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Cash</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through</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Assets</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Assets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Collateral</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Derivatives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P&amp;L</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30.09.12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125"/>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2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8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84"/>
        </w:trPr>
        <w:tc>
          <w:tcPr>
            <w:tcW w:w="15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2,313 </w:t>
            </w: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(2,249)</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64 </w:t>
            </w:r>
          </w:p>
        </w:tc>
        <w:tc>
          <w:tcPr>
            <w:tcW w:w="1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1,383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(1,118)</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265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331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598 </w:t>
            </w:r>
          </w:p>
        </w:tc>
      </w:tr>
      <w:tr w:rsidR="00745DE5" w:rsidRPr="00745DE5" w:rsidTr="00745DE5">
        <w:trPr>
          <w:trHeight w:val="132"/>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144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(113)</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7,169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(5,444)</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(1,725)</w:t>
            </w: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124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155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129 </w:t>
            </w:r>
          </w:p>
        </w:tc>
      </w:tr>
      <w:tr w:rsidR="00745DE5" w:rsidRPr="00745DE5" w:rsidTr="00745DE5">
        <w:trPr>
          <w:trHeight w:val="177"/>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288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(204)</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84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648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(440)</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w:t>
            </w: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191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224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499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415 </w:t>
            </w:r>
          </w:p>
        </w:tc>
      </w:tr>
      <w:tr w:rsidR="00745DE5" w:rsidRPr="00745DE5" w:rsidTr="00745DE5">
        <w:trPr>
          <w:trHeight w:val="154"/>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199"/>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3735" w:type="dxa"/>
            <w:gridSpan w:val="4"/>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 through Equity</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4140" w:type="dxa"/>
            <w:gridSpan w:val="5"/>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Available for Sale Assets as at 30.09.12</w:t>
            </w:r>
            <w:r w:rsidRPr="00745DE5">
              <w:rPr>
                <w:rFonts w:ascii="Arial" w:eastAsia="Times New Roman" w:hAnsi="Arial" w:cs="Arial"/>
                <w:b/>
                <w:bCs/>
                <w:sz w:val="13"/>
                <w:szCs w:val="13"/>
                <w:vertAlign w:val="superscript"/>
                <w:lang w:eastAsia="en-GB"/>
              </w:rPr>
              <w:t>1</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305" w:type="dxa"/>
        <w:tblInd w:w="-36" w:type="dxa"/>
        <w:tblCellMar>
          <w:left w:w="0" w:type="dxa"/>
          <w:right w:w="0" w:type="dxa"/>
        </w:tblCellMar>
        <w:tblLook w:val="04A0" w:firstRow="1" w:lastRow="0" w:firstColumn="1" w:lastColumn="0" w:noHBand="0" w:noVBand="1"/>
      </w:tblPr>
      <w:tblGrid>
        <w:gridCol w:w="1689"/>
        <w:gridCol w:w="17"/>
        <w:gridCol w:w="695"/>
        <w:gridCol w:w="795"/>
        <w:gridCol w:w="944"/>
        <w:gridCol w:w="116"/>
        <w:gridCol w:w="596"/>
        <w:gridCol w:w="894"/>
        <w:gridCol w:w="811"/>
        <w:gridCol w:w="1060"/>
        <w:gridCol w:w="944"/>
        <w:gridCol w:w="861"/>
        <w:gridCol w:w="116"/>
        <w:gridCol w:w="767"/>
      </w:tblGrid>
      <w:tr w:rsidR="00745DE5" w:rsidRPr="00745DE5" w:rsidTr="00745DE5">
        <w:trPr>
          <w:trHeight w:val="193"/>
        </w:trPr>
        <w:tc>
          <w:tcPr>
            <w:tcW w:w="1530" w:type="dxa"/>
            <w:gridSpan w:val="2"/>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350" w:type="dxa"/>
            <w:gridSpan w:val="2"/>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Cost</w:t>
            </w:r>
          </w:p>
        </w:tc>
        <w:tc>
          <w:tcPr>
            <w:tcW w:w="1695" w:type="dxa"/>
            <w:gridSpan w:val="2"/>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AFS Reserve</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153"/>
        </w:trPr>
        <w:tc>
          <w:tcPr>
            <w:tcW w:w="1530" w:type="dxa"/>
            <w:gridSpan w:val="2"/>
            <w:tcBorders>
              <w:top w:val="nil"/>
              <w:left w:val="nil"/>
              <w:bottom w:val="single" w:sz="8" w:space="0" w:color="7F7F7F"/>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Borders>
              <w:top w:val="nil"/>
              <w:left w:val="nil"/>
              <w:bottom w:val="single" w:sz="8" w:space="0" w:color="7F7F7F"/>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7F7F7F"/>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54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83"/>
        </w:trPr>
        <w:tc>
          <w:tcPr>
            <w:tcW w:w="1530" w:type="dxa"/>
            <w:gridSpan w:val="2"/>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1,614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1,615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1,940 </w:t>
            </w:r>
          </w:p>
        </w:tc>
      </w:tr>
      <w:tr w:rsidR="00745DE5" w:rsidRPr="00745DE5" w:rsidTr="00745DE5">
        <w:trPr>
          <w:trHeight w:val="129"/>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495" w:type="dxa"/>
            <w:gridSpan w:val="2"/>
            <w:tcMar>
              <w:top w:w="0" w:type="dxa"/>
              <w:left w:w="108" w:type="dxa"/>
              <w:bottom w:w="0" w:type="dxa"/>
              <w:right w:w="108"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127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129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127 </w:t>
            </w:r>
          </w:p>
        </w:tc>
      </w:tr>
      <w:tr w:rsidR="00745DE5" w:rsidRPr="00745DE5" w:rsidTr="00745DE5">
        <w:trPr>
          <w:trHeight w:val="161"/>
        </w:trPr>
        <w:tc>
          <w:tcPr>
            <w:tcW w:w="1530" w:type="dxa"/>
            <w:gridSpan w:val="2"/>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31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30 </w:t>
            </w:r>
          </w:p>
        </w:tc>
      </w:tr>
      <w:tr w:rsidR="00745DE5" w:rsidRPr="00745DE5" w:rsidTr="00745DE5">
        <w:trPr>
          <w:trHeight w:val="74"/>
        </w:trPr>
        <w:tc>
          <w:tcPr>
            <w:tcW w:w="3735" w:type="dxa"/>
            <w:gridSpan w:val="5"/>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140" w:type="dxa"/>
            <w:gridSpan w:val="5"/>
            <w:tcMar>
              <w:top w:w="0" w:type="dxa"/>
              <w:left w:w="36" w:type="dxa"/>
              <w:bottom w:w="0" w:type="dxa"/>
              <w:right w:w="36" w:type="dxa"/>
            </w:tcMar>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c>
          <w:tcPr>
            <w:tcW w:w="15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2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5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0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54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1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3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96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5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8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0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6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320" w:type="dxa"/>
        <w:tblInd w:w="-36" w:type="dxa"/>
        <w:tblCellMar>
          <w:left w:w="0" w:type="dxa"/>
          <w:right w:w="0" w:type="dxa"/>
        </w:tblCellMar>
        <w:tblLook w:val="04A0" w:firstRow="1" w:lastRow="0" w:firstColumn="1" w:lastColumn="0" w:noHBand="0" w:noVBand="1"/>
      </w:tblPr>
      <w:tblGrid>
        <w:gridCol w:w="4166"/>
        <w:gridCol w:w="117"/>
        <w:gridCol w:w="602"/>
        <w:gridCol w:w="4616"/>
        <w:gridCol w:w="117"/>
        <w:gridCol w:w="702"/>
      </w:tblGrid>
      <w:tr w:rsidR="00745DE5" w:rsidRPr="00745DE5" w:rsidTr="00745DE5">
        <w:trPr>
          <w:trHeight w:val="130"/>
        </w:trPr>
        <w:tc>
          <w:tcPr>
            <w:tcW w:w="3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Held at Amortised Cost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41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Loans and Advances as at 30.09.12</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90" w:type="dxa"/>
        <w:tblInd w:w="-36" w:type="dxa"/>
        <w:tblCellMar>
          <w:left w:w="0" w:type="dxa"/>
          <w:right w:w="0" w:type="dxa"/>
        </w:tblCellMar>
        <w:tblLook w:val="04A0" w:firstRow="1" w:lastRow="0" w:firstColumn="1" w:lastColumn="0" w:noHBand="0" w:noVBand="1"/>
      </w:tblPr>
      <w:tblGrid>
        <w:gridCol w:w="1881"/>
        <w:gridCol w:w="559"/>
        <w:gridCol w:w="813"/>
        <w:gridCol w:w="966"/>
        <w:gridCol w:w="119"/>
        <w:gridCol w:w="610"/>
        <w:gridCol w:w="830"/>
        <w:gridCol w:w="830"/>
        <w:gridCol w:w="1077"/>
        <w:gridCol w:w="966"/>
        <w:gridCol w:w="735"/>
        <w:gridCol w:w="119"/>
        <w:gridCol w:w="785"/>
      </w:tblGrid>
      <w:tr w:rsidR="00745DE5" w:rsidRPr="00745DE5" w:rsidTr="00745DE5">
        <w:trPr>
          <w:trHeight w:val="133"/>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Impairment</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Gross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Allowances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81"/>
        </w:trPr>
        <w:tc>
          <w:tcPr>
            <w:tcW w:w="166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49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2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54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22"/>
        </w:trPr>
        <w:tc>
          <w:tcPr>
            <w:tcW w:w="166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49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 </w:t>
            </w:r>
          </w:p>
        </w:tc>
      </w:tr>
      <w:tr w:rsidR="00745DE5" w:rsidRPr="00745DE5" w:rsidTr="00745DE5">
        <w:trPr>
          <w:trHeight w:val="127"/>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14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 </w:t>
            </w:r>
          </w:p>
        </w:tc>
      </w:tr>
      <w:tr w:rsidR="00745DE5" w:rsidRPr="00745DE5" w:rsidTr="00745DE5">
        <w:trPr>
          <w:trHeight w:val="159"/>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Residential mortgages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15,338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(100)</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15,238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15,447 </w:t>
            </w:r>
          </w:p>
        </w:tc>
      </w:tr>
      <w:tr w:rsidR="00745DE5" w:rsidRPr="00745DE5" w:rsidTr="00745DE5">
        <w:trPr>
          <w:trHeight w:val="74"/>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1,369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(109)</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1,260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2,055 </w:t>
            </w:r>
          </w:p>
        </w:tc>
      </w:tr>
      <w:tr w:rsidR="00745DE5" w:rsidRPr="00745DE5" w:rsidTr="00745DE5">
        <w:trPr>
          <w:trHeight w:val="11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 retail lending</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2,133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(142)</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1,991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2,134 </w:t>
            </w:r>
          </w:p>
        </w:tc>
      </w:tr>
      <w:tr w:rsidR="00745DE5" w:rsidRPr="00745DE5" w:rsidTr="00745DE5">
        <w:trPr>
          <w:trHeight w:val="155"/>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3735" w:type="dxa"/>
            <w:gridSpan w:val="4"/>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Contingent Liabilities and Commitments</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60" w:type="dxa"/>
        <w:tblInd w:w="-36" w:type="dxa"/>
        <w:tblCellMar>
          <w:left w:w="0" w:type="dxa"/>
          <w:right w:w="0" w:type="dxa"/>
        </w:tblCellMar>
        <w:tblLook w:val="04A0" w:firstRow="1" w:lastRow="0" w:firstColumn="1" w:lastColumn="0" w:noHBand="0" w:noVBand="1"/>
      </w:tblPr>
      <w:tblGrid>
        <w:gridCol w:w="1927"/>
        <w:gridCol w:w="573"/>
        <w:gridCol w:w="834"/>
        <w:gridCol w:w="730"/>
        <w:gridCol w:w="122"/>
        <w:gridCol w:w="625"/>
        <w:gridCol w:w="851"/>
        <w:gridCol w:w="851"/>
        <w:gridCol w:w="1025"/>
        <w:gridCol w:w="990"/>
        <w:gridCol w:w="805"/>
        <w:gridCol w:w="122"/>
        <w:gridCol w:w="805"/>
      </w:tblGrid>
      <w:tr w:rsidR="00745DE5" w:rsidRPr="00745DE5" w:rsidTr="00745DE5">
        <w:trPr>
          <w:trHeight w:val="123"/>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30.09.12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01"/>
        </w:trPr>
        <w:tc>
          <w:tcPr>
            <w:tcW w:w="166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49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2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14"/>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102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 </w:t>
            </w:r>
          </w:p>
        </w:tc>
      </w:tr>
      <w:tr w:rsidR="00745DE5" w:rsidRPr="00745DE5" w:rsidTr="00745DE5">
        <w:trPr>
          <w:trHeight w:val="106"/>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Residential mortgages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55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60 </w:t>
            </w:r>
          </w:p>
        </w:tc>
      </w:tr>
      <w:tr w:rsidR="00745DE5" w:rsidRPr="00745DE5" w:rsidTr="00745DE5">
        <w:trPr>
          <w:trHeight w:val="165"/>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1,871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1,668 </w:t>
            </w:r>
          </w:p>
        </w:tc>
      </w:tr>
      <w:tr w:rsidR="00745DE5" w:rsidRPr="00745DE5" w:rsidTr="00745DE5">
        <w:trPr>
          <w:trHeight w:val="74"/>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 retail lending</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808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875 </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B3064B">
      <w:pPr>
        <w:spacing w:before="120" w:after="12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 xml:space="preserve">Sovereign </w:t>
      </w:r>
    </w:p>
    <w:p w:rsidR="00745DE5" w:rsidRPr="00745DE5" w:rsidRDefault="00745DE5" w:rsidP="00B3064B">
      <w:pPr>
        <w:spacing w:before="120" w:after="120" w:line="240" w:lineRule="auto"/>
        <w:ind w:left="720"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Predominantly £1,615m (30 June 2012: £1,940m) AFS government bonds with no impairment or loss in the AFS reserve</w:t>
      </w:r>
    </w:p>
    <w:p w:rsidR="00745DE5" w:rsidRPr="00745DE5" w:rsidRDefault="00745DE5" w:rsidP="00B3064B">
      <w:pPr>
        <w:spacing w:before="120" w:after="12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 xml:space="preserve">Residential mortgages </w:t>
      </w:r>
    </w:p>
    <w:p w:rsidR="00745DE5" w:rsidRPr="00745DE5" w:rsidRDefault="00745DE5" w:rsidP="00B3064B">
      <w:pPr>
        <w:spacing w:before="120" w:after="12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Fully secured on residential property with average marked to market LTVs of 46.3% (30 June 2012: 46.5%)</w:t>
      </w:r>
    </w:p>
    <w:p w:rsidR="00745DE5" w:rsidRPr="00745DE5" w:rsidRDefault="00745DE5" w:rsidP="00B3064B">
      <w:pPr>
        <w:spacing w:before="120" w:after="12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90 day arrears rates at 1.1% (30 June 2012: 1.0%) and annualised loan loss rates of 18bps (30 June 2012: 17bps) remained broadly stable</w:t>
      </w:r>
    </w:p>
    <w:p w:rsidR="00745DE5" w:rsidRPr="00745DE5" w:rsidRDefault="00745DE5" w:rsidP="00B3064B">
      <w:pPr>
        <w:spacing w:before="120" w:after="12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CRL coverage of 23% (30 June 2012: 23%) </w:t>
      </w:r>
    </w:p>
    <w:p w:rsidR="00745DE5" w:rsidRPr="00745DE5" w:rsidRDefault="00745DE5" w:rsidP="00B3064B">
      <w:pPr>
        <w:spacing w:before="120" w:after="12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 xml:space="preserve">Corporate </w:t>
      </w:r>
    </w:p>
    <w:p w:rsidR="00745DE5" w:rsidRPr="00745DE5" w:rsidRDefault="00745DE5" w:rsidP="00B3064B">
      <w:pPr>
        <w:spacing w:before="120" w:after="12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Net loans and advances of £1,260m (30 June 2012: £2,055m), which are focused on large corporate clients with very limited exposure to the property sector</w:t>
      </w:r>
    </w:p>
    <w:p w:rsidR="00745DE5" w:rsidRPr="00745DE5" w:rsidRDefault="00745DE5" w:rsidP="00B3064B">
      <w:pPr>
        <w:spacing w:before="120" w:after="12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Balances in early warning lists were broadly stable since December 2011</w:t>
      </w:r>
    </w:p>
    <w:p w:rsidR="00745DE5" w:rsidRPr="00745DE5" w:rsidRDefault="00745DE5" w:rsidP="00B3064B">
      <w:pPr>
        <w:spacing w:before="120" w:after="12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 xml:space="preserve">Other retail lending </w:t>
      </w:r>
    </w:p>
    <w:p w:rsidR="00745DE5" w:rsidRPr="00745DE5" w:rsidRDefault="00745DE5" w:rsidP="00B3064B">
      <w:pPr>
        <w:spacing w:before="120" w:after="12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£1,397m (30 June 2012: £1,503m) Italian salary advance loans (repayment deducted at source by qualifying employers and Barclays is insured in the event of termination of employment or death). During Q3 12, arrears rates have deteriorated while charge off rates have improved</w:t>
      </w:r>
    </w:p>
    <w:p w:rsidR="00745DE5" w:rsidRPr="00745DE5" w:rsidRDefault="00745DE5" w:rsidP="00B3064B">
      <w:pPr>
        <w:spacing w:before="120" w:after="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£417m (30 June 2012: £432m) credit cards and other unsecured loans. During Q3 12, arrears rates have improved while charge off rates have deteriorated</w:t>
      </w:r>
      <w:r w:rsidRPr="00745DE5">
        <w:rPr>
          <w:rFonts w:ascii="Arial" w:eastAsia="Times New Roman" w:hAnsi="Arial" w:cs="Arial"/>
          <w:sz w:val="2"/>
          <w:szCs w:val="2"/>
          <w:lang w:eastAsia="en-GB"/>
        </w:rPr>
        <w:t> </w:t>
      </w:r>
    </w:p>
    <w:p w:rsidR="00745DE5" w:rsidRPr="00745DE5" w:rsidRDefault="00745DE5" w:rsidP="00B3064B">
      <w:pPr>
        <w:spacing w:before="120"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before="120" w:after="0" w:line="240" w:lineRule="auto"/>
        <w:ind w:left="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B3064B" w:rsidP="00B3064B">
      <w:pPr>
        <w:spacing w:before="20" w:after="20" w:line="240" w:lineRule="auto"/>
        <w:ind w:left="284" w:hanging="284"/>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1    </w:t>
      </w:r>
      <w:r w:rsidR="00745DE5" w:rsidRPr="00745DE5">
        <w:rPr>
          <w:rFonts w:ascii="Arial" w:eastAsia="Times New Roman" w:hAnsi="Arial" w:cs="Arial"/>
          <w:i/>
          <w:iCs/>
          <w:sz w:val="14"/>
          <w:szCs w:val="14"/>
          <w:lang w:eastAsia="en-GB"/>
        </w:rPr>
        <w:t xml:space="preserve"> 'Cost' refers to the fair value of the asset at recognition, less any impairment booked. 'AFS Reserve' is the cumulative fair value gain or loss on the assets that is held in equity. 'Total' is the fair value of the assets at the balance sheet date.</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IV - Group Exposures to Selected Countries</w:t>
      </w:r>
    </w:p>
    <w:tbl>
      <w:tblPr>
        <w:tblW w:w="10410" w:type="dxa"/>
        <w:tblInd w:w="-36" w:type="dxa"/>
        <w:tblCellMar>
          <w:left w:w="0" w:type="dxa"/>
          <w:right w:w="0" w:type="dxa"/>
        </w:tblCellMar>
        <w:tblLook w:val="04A0" w:firstRow="1" w:lastRow="0" w:firstColumn="1" w:lastColumn="0" w:noHBand="0" w:noVBand="1"/>
      </w:tblPr>
      <w:tblGrid>
        <w:gridCol w:w="1734"/>
        <w:gridCol w:w="2414"/>
        <w:gridCol w:w="119"/>
        <w:gridCol w:w="3536"/>
        <w:gridCol w:w="1060"/>
        <w:gridCol w:w="714"/>
        <w:gridCol w:w="119"/>
        <w:gridCol w:w="714"/>
      </w:tblGrid>
      <w:tr w:rsidR="00745DE5" w:rsidRPr="00745DE5" w:rsidTr="00745DE5">
        <w:trPr>
          <w:trHeight w:val="168"/>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4"/>
                <w:szCs w:val="24"/>
                <w:lang w:eastAsia="en-GB"/>
              </w:rPr>
              <w:t>Portugal</w:t>
            </w:r>
          </w:p>
        </w:tc>
        <w:tc>
          <w:tcPr>
            <w:tcW w:w="21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 Portfolio</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312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Derivatives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Designated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45" w:type="dxa"/>
        <w:tblInd w:w="-36" w:type="dxa"/>
        <w:tblCellMar>
          <w:left w:w="0" w:type="dxa"/>
          <w:right w:w="0" w:type="dxa"/>
        </w:tblCellMar>
        <w:tblLook w:val="04A0" w:firstRow="1" w:lastRow="0" w:firstColumn="1" w:lastColumn="0" w:noHBand="0" w:noVBand="1"/>
      </w:tblPr>
      <w:tblGrid>
        <w:gridCol w:w="1609"/>
        <w:gridCol w:w="768"/>
        <w:gridCol w:w="851"/>
        <w:gridCol w:w="898"/>
        <w:gridCol w:w="110"/>
        <w:gridCol w:w="627"/>
        <w:gridCol w:w="851"/>
        <w:gridCol w:w="843"/>
        <w:gridCol w:w="973"/>
        <w:gridCol w:w="898"/>
        <w:gridCol w:w="977"/>
        <w:gridCol w:w="110"/>
        <w:gridCol w:w="730"/>
      </w:tblGrid>
      <w:tr w:rsidR="00745DE5" w:rsidRPr="00745DE5" w:rsidTr="00745DE5">
        <w:trPr>
          <w:trHeight w:val="114"/>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 through</w:t>
            </w: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at FV</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189"/>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Profit and Loss</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Gross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Gross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Cash</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through</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122"/>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Assets</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Assets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Collateral</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Derivatives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P&amp;L</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30.09.12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74"/>
        </w:trPr>
        <w:tc>
          <w:tcPr>
            <w:tcW w:w="15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2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126"/>
        </w:trPr>
        <w:tc>
          <w:tcPr>
            <w:tcW w:w="15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130 </w:t>
            </w: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(117)</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13 </w:t>
            </w:r>
          </w:p>
        </w:tc>
        <w:tc>
          <w:tcPr>
            <w:tcW w:w="1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237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(237)</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13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r>
      <w:tr w:rsidR="00745DE5" w:rsidRPr="00745DE5" w:rsidTr="00745DE5">
        <w:trPr>
          <w:trHeight w:val="216"/>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22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284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(177)</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(107)</w:t>
            </w: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16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 </w:t>
            </w:r>
          </w:p>
        </w:tc>
      </w:tr>
      <w:tr w:rsidR="00745DE5" w:rsidRPr="00745DE5" w:rsidTr="00745DE5">
        <w:trPr>
          <w:trHeight w:val="133"/>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46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441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(209)</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w:t>
            </w: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227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265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262 </w:t>
            </w:r>
          </w:p>
        </w:tc>
      </w:tr>
      <w:tr w:rsidR="00745DE5" w:rsidRPr="00745DE5" w:rsidTr="00745DE5">
        <w:trPr>
          <w:trHeight w:val="221"/>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125"/>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85"/>
        </w:trPr>
        <w:tc>
          <w:tcPr>
            <w:tcW w:w="3735" w:type="dxa"/>
            <w:gridSpan w:val="4"/>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 through Equity</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140" w:type="dxa"/>
            <w:gridSpan w:val="5"/>
            <w:tcMar>
              <w:top w:w="0" w:type="dxa"/>
              <w:left w:w="36" w:type="dxa"/>
              <w:bottom w:w="0" w:type="dxa"/>
              <w:right w:w="36" w:type="dxa"/>
            </w:tcMar>
            <w:vAlign w:val="center"/>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Available for Sale Assets as at 30.09.12</w:t>
            </w:r>
            <w:r w:rsidRPr="00745DE5">
              <w:rPr>
                <w:rFonts w:ascii="Arial" w:eastAsia="Times New Roman" w:hAnsi="Arial" w:cs="Arial"/>
                <w:b/>
                <w:bCs/>
                <w:sz w:val="13"/>
                <w:szCs w:val="13"/>
                <w:vertAlign w:val="superscript"/>
                <w:lang w:eastAsia="en-GB"/>
              </w:rPr>
              <w:t>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60" w:type="dxa"/>
        <w:tblInd w:w="-36" w:type="dxa"/>
        <w:tblCellMar>
          <w:left w:w="0" w:type="dxa"/>
          <w:right w:w="0" w:type="dxa"/>
        </w:tblCellMar>
        <w:tblLook w:val="04A0" w:firstRow="1" w:lastRow="0" w:firstColumn="1" w:lastColumn="0" w:noHBand="0" w:noVBand="1"/>
      </w:tblPr>
      <w:tblGrid>
        <w:gridCol w:w="1755"/>
        <w:gridCol w:w="723"/>
        <w:gridCol w:w="826"/>
        <w:gridCol w:w="723"/>
        <w:gridCol w:w="120"/>
        <w:gridCol w:w="619"/>
        <w:gridCol w:w="929"/>
        <w:gridCol w:w="843"/>
        <w:gridCol w:w="1101"/>
        <w:gridCol w:w="981"/>
        <w:gridCol w:w="723"/>
        <w:gridCol w:w="120"/>
        <w:gridCol w:w="797"/>
      </w:tblGrid>
      <w:tr w:rsidR="00745DE5" w:rsidRPr="00745DE5" w:rsidTr="00745DE5">
        <w:trPr>
          <w:trHeight w:val="122"/>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350" w:type="dxa"/>
            <w:gridSpan w:val="2"/>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Cost</w:t>
            </w:r>
          </w:p>
        </w:tc>
        <w:tc>
          <w:tcPr>
            <w:tcW w:w="1695" w:type="dxa"/>
            <w:gridSpan w:val="2"/>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AFS Reserve</w:t>
            </w:r>
          </w:p>
        </w:tc>
        <w:tc>
          <w:tcPr>
            <w:tcW w:w="85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123"/>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br/>
              <w:t xml:space="preserve">£m </w:t>
            </w:r>
          </w:p>
        </w:tc>
      </w:tr>
      <w:tr w:rsidR="00745DE5" w:rsidRPr="00745DE5" w:rsidTr="00745DE5">
        <w:tc>
          <w:tcPr>
            <w:tcW w:w="15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2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0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54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1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3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96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5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0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6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45" w:type="dxa"/>
        <w:tblInd w:w="-36" w:type="dxa"/>
        <w:tblCellMar>
          <w:left w:w="0" w:type="dxa"/>
          <w:right w:w="0" w:type="dxa"/>
        </w:tblCellMar>
        <w:tblLook w:val="04A0" w:firstRow="1" w:lastRow="0" w:firstColumn="1" w:lastColumn="0" w:noHBand="0" w:noVBand="1"/>
      </w:tblPr>
      <w:tblGrid>
        <w:gridCol w:w="1691"/>
        <w:gridCol w:w="17"/>
        <w:gridCol w:w="696"/>
        <w:gridCol w:w="796"/>
        <w:gridCol w:w="945"/>
        <w:gridCol w:w="116"/>
        <w:gridCol w:w="597"/>
        <w:gridCol w:w="812"/>
        <w:gridCol w:w="812"/>
        <w:gridCol w:w="978"/>
        <w:gridCol w:w="945"/>
        <w:gridCol w:w="1028"/>
        <w:gridCol w:w="116"/>
        <w:gridCol w:w="696"/>
      </w:tblGrid>
      <w:tr w:rsidR="00745DE5" w:rsidRPr="00745DE5" w:rsidTr="00745DE5">
        <w:trPr>
          <w:trHeight w:val="208"/>
        </w:trPr>
        <w:tc>
          <w:tcPr>
            <w:tcW w:w="1530" w:type="dxa"/>
            <w:gridSpan w:val="2"/>
            <w:tcBorders>
              <w:top w:val="single" w:sz="8" w:space="0" w:color="808080"/>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630" w:type="dxa"/>
            <w:tcBorders>
              <w:top w:val="single" w:sz="8" w:space="0" w:color="808080"/>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Borders>
              <w:top w:val="single" w:sz="8" w:space="0" w:color="808080"/>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single" w:sz="8" w:space="0" w:color="808080"/>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Borders>
              <w:top w:val="single" w:sz="8" w:space="0" w:color="808080"/>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single" w:sz="8" w:space="0" w:color="808080"/>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Borders>
              <w:top w:val="single" w:sz="8" w:space="0" w:color="808080"/>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592 </w:t>
            </w:r>
          </w:p>
        </w:tc>
        <w:tc>
          <w:tcPr>
            <w:tcW w:w="735" w:type="dxa"/>
            <w:tcBorders>
              <w:top w:val="single" w:sz="8" w:space="0" w:color="808080"/>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single" w:sz="8" w:space="0" w:color="808080"/>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w:t>
            </w:r>
          </w:p>
        </w:tc>
        <w:tc>
          <w:tcPr>
            <w:tcW w:w="855" w:type="dxa"/>
            <w:tcBorders>
              <w:top w:val="single" w:sz="8" w:space="0" w:color="808080"/>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single" w:sz="8" w:space="0" w:color="808080"/>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577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550 </w:t>
            </w:r>
          </w:p>
        </w:tc>
      </w:tr>
      <w:tr w:rsidR="00745DE5" w:rsidRPr="00745DE5" w:rsidTr="00745DE5">
        <w:trPr>
          <w:trHeight w:val="141"/>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495" w:type="dxa"/>
            <w:gridSpan w:val="2"/>
            <w:tcMar>
              <w:top w:w="0" w:type="dxa"/>
              <w:left w:w="108" w:type="dxa"/>
              <w:bottom w:w="0" w:type="dxa"/>
              <w:right w:w="108"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r>
      <w:tr w:rsidR="00745DE5" w:rsidRPr="00745DE5" w:rsidTr="00745DE5">
        <w:trPr>
          <w:trHeight w:val="87"/>
        </w:trPr>
        <w:tc>
          <w:tcPr>
            <w:tcW w:w="1530" w:type="dxa"/>
            <w:gridSpan w:val="2"/>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436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435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534 </w:t>
            </w:r>
          </w:p>
        </w:tc>
      </w:tr>
      <w:tr w:rsidR="00745DE5" w:rsidRPr="00745DE5" w:rsidTr="00745DE5">
        <w:trPr>
          <w:trHeight w:val="161"/>
        </w:trPr>
        <w:tc>
          <w:tcPr>
            <w:tcW w:w="1530" w:type="dxa"/>
            <w:gridSpan w:val="2"/>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r>
      <w:tr w:rsidR="00745DE5" w:rsidRPr="00745DE5" w:rsidTr="00745DE5">
        <w:trPr>
          <w:trHeight w:val="240"/>
        </w:trPr>
        <w:tc>
          <w:tcPr>
            <w:tcW w:w="3735" w:type="dxa"/>
            <w:gridSpan w:val="5"/>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Held at Amortised Cost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140" w:type="dxa"/>
            <w:gridSpan w:val="5"/>
            <w:tcMar>
              <w:top w:w="0" w:type="dxa"/>
              <w:left w:w="36" w:type="dxa"/>
              <w:bottom w:w="0" w:type="dxa"/>
              <w:right w:w="36" w:type="dxa"/>
            </w:tcMar>
            <w:vAlign w:val="center"/>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Loans and Advances as at 30.09.12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c>
          <w:tcPr>
            <w:tcW w:w="15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2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5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0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54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3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3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8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5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91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0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30" w:type="dxa"/>
        <w:tblInd w:w="-36" w:type="dxa"/>
        <w:tblCellMar>
          <w:left w:w="0" w:type="dxa"/>
          <w:right w:w="0" w:type="dxa"/>
        </w:tblCellMar>
        <w:tblLook w:val="04A0" w:firstRow="1" w:lastRow="0" w:firstColumn="1" w:lastColumn="0" w:noHBand="0" w:noVBand="1"/>
      </w:tblPr>
      <w:tblGrid>
        <w:gridCol w:w="1875"/>
        <w:gridCol w:w="558"/>
        <w:gridCol w:w="811"/>
        <w:gridCol w:w="962"/>
        <w:gridCol w:w="118"/>
        <w:gridCol w:w="608"/>
        <w:gridCol w:w="827"/>
        <w:gridCol w:w="827"/>
        <w:gridCol w:w="1073"/>
        <w:gridCol w:w="962"/>
        <w:gridCol w:w="709"/>
        <w:gridCol w:w="118"/>
        <w:gridCol w:w="782"/>
      </w:tblGrid>
      <w:tr w:rsidR="00745DE5" w:rsidRPr="00745DE5" w:rsidTr="00745DE5">
        <w:trPr>
          <w:trHeight w:val="143"/>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Impairment</w:t>
            </w:r>
          </w:p>
        </w:tc>
        <w:tc>
          <w:tcPr>
            <w:tcW w:w="85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10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Gross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Allowances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145"/>
        </w:trPr>
        <w:tc>
          <w:tcPr>
            <w:tcW w:w="1665" w:type="dxa"/>
            <w:tcBorders>
              <w:top w:val="nil"/>
              <w:left w:val="nil"/>
              <w:bottom w:val="single" w:sz="8" w:space="0" w:color="808080"/>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Borders>
              <w:top w:val="nil"/>
              <w:left w:val="nil"/>
              <w:bottom w:val="single" w:sz="8" w:space="0" w:color="808080"/>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Borders>
              <w:top w:val="nil"/>
              <w:left w:val="nil"/>
              <w:bottom w:val="single" w:sz="8" w:space="0" w:color="808080"/>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808080"/>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04"/>
        </w:trPr>
        <w:tc>
          <w:tcPr>
            <w:tcW w:w="166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lastRenderedPageBreak/>
              <w:t>Sovereign</w:t>
            </w:r>
          </w:p>
        </w:tc>
        <w:tc>
          <w:tcPr>
            <w:tcW w:w="49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37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37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38 </w:t>
            </w:r>
          </w:p>
        </w:tc>
      </w:tr>
      <w:tr w:rsidR="00745DE5" w:rsidRPr="00745DE5" w:rsidTr="00745DE5">
        <w:trPr>
          <w:trHeight w:val="151"/>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49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49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31 </w:t>
            </w:r>
          </w:p>
        </w:tc>
      </w:tr>
      <w:tr w:rsidR="00745DE5" w:rsidRPr="00745DE5" w:rsidTr="00745DE5">
        <w:trPr>
          <w:trHeight w:val="83"/>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Residential mortgages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3,461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3,436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3,510 </w:t>
            </w:r>
          </w:p>
        </w:tc>
      </w:tr>
      <w:tr w:rsidR="00745DE5" w:rsidRPr="00745DE5" w:rsidTr="00745DE5">
        <w:trPr>
          <w:trHeight w:val="171"/>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1,744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(254)</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1,490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1,619 </w:t>
            </w:r>
          </w:p>
        </w:tc>
      </w:tr>
      <w:tr w:rsidR="00745DE5" w:rsidRPr="00745DE5" w:rsidTr="00745DE5">
        <w:trPr>
          <w:trHeight w:val="103"/>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 retail lending</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1,944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(192)</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1,752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1,879 </w:t>
            </w:r>
          </w:p>
        </w:tc>
      </w:tr>
      <w:tr w:rsidR="00745DE5" w:rsidRPr="00745DE5" w:rsidTr="00745DE5">
        <w:trPr>
          <w:trHeight w:val="191"/>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96"/>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155"/>
        </w:trPr>
        <w:tc>
          <w:tcPr>
            <w:tcW w:w="3735" w:type="dxa"/>
            <w:gridSpan w:val="4"/>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Contingent Liabilities and Commitments</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30" w:type="dxa"/>
        <w:tblInd w:w="-36" w:type="dxa"/>
        <w:tblCellMar>
          <w:left w:w="0" w:type="dxa"/>
          <w:right w:w="0" w:type="dxa"/>
        </w:tblCellMar>
        <w:tblLook w:val="04A0" w:firstRow="1" w:lastRow="0" w:firstColumn="1" w:lastColumn="0" w:noHBand="0" w:noVBand="1"/>
      </w:tblPr>
      <w:tblGrid>
        <w:gridCol w:w="1923"/>
        <w:gridCol w:w="573"/>
        <w:gridCol w:w="831"/>
        <w:gridCol w:w="727"/>
        <w:gridCol w:w="121"/>
        <w:gridCol w:w="623"/>
        <w:gridCol w:w="849"/>
        <w:gridCol w:w="849"/>
        <w:gridCol w:w="1022"/>
        <w:gridCol w:w="987"/>
        <w:gridCol w:w="802"/>
        <w:gridCol w:w="121"/>
        <w:gridCol w:w="802"/>
      </w:tblGrid>
      <w:tr w:rsidR="00745DE5" w:rsidRPr="00745DE5" w:rsidTr="00745DE5">
        <w:trPr>
          <w:trHeight w:val="173"/>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30.09.12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91"/>
        </w:trPr>
        <w:tc>
          <w:tcPr>
            <w:tcW w:w="166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Borders>
              <w:top w:val="nil"/>
              <w:left w:val="nil"/>
              <w:bottom w:val="single" w:sz="8" w:space="0" w:color="808080"/>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122"/>
        </w:trPr>
        <w:tc>
          <w:tcPr>
            <w:tcW w:w="166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49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 </w:t>
            </w:r>
          </w:p>
        </w:tc>
      </w:tr>
      <w:tr w:rsidR="00745DE5" w:rsidRPr="00745DE5" w:rsidTr="00745DE5">
        <w:trPr>
          <w:trHeight w:val="17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 </w:t>
            </w:r>
          </w:p>
        </w:tc>
      </w:tr>
      <w:tr w:rsidR="00745DE5" w:rsidRPr="00745DE5" w:rsidTr="00745DE5">
        <w:trPr>
          <w:trHeight w:val="229"/>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Residential mortgages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29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39 </w:t>
            </w:r>
          </w:p>
        </w:tc>
      </w:tr>
      <w:tr w:rsidR="00745DE5" w:rsidRPr="00745DE5" w:rsidTr="00745DE5">
        <w:trPr>
          <w:trHeight w:val="134"/>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1,015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1,240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 retail lending</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1,578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1,449 </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B3064B">
      <w:pPr>
        <w:spacing w:before="120" w:after="12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 xml:space="preserve">Sovereign </w:t>
      </w:r>
    </w:p>
    <w:p w:rsidR="00745DE5" w:rsidRPr="00745DE5" w:rsidRDefault="00745DE5" w:rsidP="00B3064B">
      <w:pPr>
        <w:spacing w:before="120" w:after="120" w:line="240" w:lineRule="auto"/>
        <w:ind w:left="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Largely AFS government bonds. No impairment and £15m (30 June 2012: £56m) loss held in the AFS reserve</w:t>
      </w:r>
    </w:p>
    <w:p w:rsidR="00745DE5" w:rsidRPr="00745DE5" w:rsidRDefault="00745DE5" w:rsidP="00B3064B">
      <w:pPr>
        <w:spacing w:before="120" w:after="12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Residential mortgages</w:t>
      </w:r>
    </w:p>
    <w:p w:rsidR="00745DE5" w:rsidRPr="00745DE5" w:rsidRDefault="00745DE5" w:rsidP="00B3064B">
      <w:pPr>
        <w:spacing w:before="120" w:after="12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Fully secured on residential property with average marked to market LTVs of 76.6% (30 June 2012: 73.1%)</w:t>
      </w:r>
    </w:p>
    <w:p w:rsidR="00745DE5" w:rsidRPr="00745DE5" w:rsidRDefault="00745DE5" w:rsidP="00B3064B">
      <w:pPr>
        <w:spacing w:before="120" w:after="12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90 day arrears rates remained broadly stable at 0.6% (Jun 12: 0.6%) while annualised loan loss rates improved to 62bps (30 June 2012: 76bps)</w:t>
      </w:r>
    </w:p>
    <w:p w:rsidR="00745DE5" w:rsidRPr="00745DE5" w:rsidRDefault="00745DE5" w:rsidP="00B3064B">
      <w:pPr>
        <w:spacing w:before="120" w:after="12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CRL coverage of 21% (30 June 2012: 21%)</w:t>
      </w:r>
    </w:p>
    <w:p w:rsidR="00745DE5" w:rsidRPr="00745DE5" w:rsidRDefault="00745DE5" w:rsidP="00B3064B">
      <w:pPr>
        <w:spacing w:before="120" w:after="12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Corporate</w:t>
      </w:r>
    </w:p>
    <w:p w:rsidR="00745DE5" w:rsidRPr="00745DE5" w:rsidRDefault="00745DE5" w:rsidP="00B3064B">
      <w:pPr>
        <w:spacing w:before="120" w:after="12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Net lending to corporates of £1,490m (30 June 2012: £1,619m), with CRLs of £442m (30 June 2012: £512m), impairment allowance of £254m (30 June 2012: £230m) and CRL coverage of 57% (30 June 2012: 45%)</w:t>
      </w:r>
    </w:p>
    <w:p w:rsidR="00745DE5" w:rsidRPr="00745DE5" w:rsidRDefault="00745DE5" w:rsidP="00B3064B">
      <w:pPr>
        <w:spacing w:before="120" w:after="12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Net lending to property and construction industry of £385m (30 June 2012: £306m) secured, in part, on real estate collateral, with CRLs of £258m (30 June 2012: £240m), impairment allowance of £120m (30 June 2012: £118m) and CRL coverage of 46% (30 June 2012: 49%)</w:t>
      </w:r>
    </w:p>
    <w:p w:rsidR="00745DE5" w:rsidRPr="00745DE5" w:rsidRDefault="00745DE5" w:rsidP="00B3064B">
      <w:pPr>
        <w:spacing w:before="120" w:after="12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Other retail lending</w:t>
      </w:r>
    </w:p>
    <w:p w:rsidR="00745DE5" w:rsidRPr="00745DE5" w:rsidRDefault="00745DE5" w:rsidP="00B3064B">
      <w:pPr>
        <w:spacing w:before="120" w:after="12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£963m (30 June 2012: £988m) credit cards and unsecured loans. During Q3 12, arrears rates in cards and unsecured portfolios have improved while charge off rates have marginally deteriorated</w:t>
      </w:r>
    </w:p>
    <w:p w:rsidR="00745DE5" w:rsidRPr="00745DE5" w:rsidRDefault="00745DE5" w:rsidP="00B3064B">
      <w:pPr>
        <w:spacing w:before="120" w:after="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CRL coverage of 74% (30 June 2012: 65%) driven by credit cards and unsecured loans exposure</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737"/>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B3064B" w:rsidP="00B3064B">
      <w:pPr>
        <w:spacing w:before="20" w:after="20" w:line="240" w:lineRule="auto"/>
        <w:ind w:left="284" w:hanging="284"/>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1     </w:t>
      </w:r>
      <w:r w:rsidR="00745DE5" w:rsidRPr="00745DE5">
        <w:rPr>
          <w:rFonts w:ascii="Arial" w:eastAsia="Times New Roman" w:hAnsi="Arial" w:cs="Arial"/>
          <w:i/>
          <w:iCs/>
          <w:sz w:val="14"/>
          <w:szCs w:val="14"/>
          <w:lang w:eastAsia="en-GB"/>
        </w:rPr>
        <w:t>'Cost' refers to the fair value of the asset at recognition, less any impairment booked. 'AFS Reserve' is the cumulative fair value gain or loss on the assets that is held in equity. 'Total' is the fair value of the assets at the balance sheet date.</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IV - Group Exposures to Selected Countries</w:t>
      </w:r>
    </w:p>
    <w:tbl>
      <w:tblPr>
        <w:tblW w:w="10320" w:type="dxa"/>
        <w:tblInd w:w="-36" w:type="dxa"/>
        <w:tblCellMar>
          <w:left w:w="0" w:type="dxa"/>
          <w:right w:w="0" w:type="dxa"/>
        </w:tblCellMar>
        <w:tblLook w:val="04A0" w:firstRow="1" w:lastRow="0" w:firstColumn="1" w:lastColumn="0" w:noHBand="0" w:noVBand="1"/>
      </w:tblPr>
      <w:tblGrid>
        <w:gridCol w:w="1718"/>
        <w:gridCol w:w="2393"/>
        <w:gridCol w:w="118"/>
        <w:gridCol w:w="3506"/>
        <w:gridCol w:w="1051"/>
        <w:gridCol w:w="708"/>
        <w:gridCol w:w="118"/>
        <w:gridCol w:w="708"/>
      </w:tblGrid>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4"/>
                <w:szCs w:val="24"/>
                <w:lang w:eastAsia="en-GB"/>
              </w:rPr>
              <w:t>Ireland</w:t>
            </w:r>
          </w:p>
        </w:tc>
        <w:tc>
          <w:tcPr>
            <w:tcW w:w="21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 Portfolio</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312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Derivatives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Designated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75" w:type="dxa"/>
        <w:tblInd w:w="-36" w:type="dxa"/>
        <w:tblCellMar>
          <w:left w:w="0" w:type="dxa"/>
          <w:right w:w="0" w:type="dxa"/>
        </w:tblCellMar>
        <w:tblLook w:val="04A0" w:firstRow="1" w:lastRow="0" w:firstColumn="1" w:lastColumn="0" w:noHBand="0" w:noVBand="1"/>
      </w:tblPr>
      <w:tblGrid>
        <w:gridCol w:w="1612"/>
        <w:gridCol w:w="769"/>
        <w:gridCol w:w="854"/>
        <w:gridCol w:w="901"/>
        <w:gridCol w:w="111"/>
        <w:gridCol w:w="629"/>
        <w:gridCol w:w="854"/>
        <w:gridCol w:w="845"/>
        <w:gridCol w:w="976"/>
        <w:gridCol w:w="901"/>
        <w:gridCol w:w="980"/>
        <w:gridCol w:w="111"/>
        <w:gridCol w:w="732"/>
      </w:tblGrid>
      <w:tr w:rsidR="00745DE5" w:rsidRPr="00745DE5" w:rsidTr="00745DE5">
        <w:trPr>
          <w:trHeight w:val="255"/>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 through</w:t>
            </w: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at FV</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Profit and Loss</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Gross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Gross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Cash</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through</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Assets</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Assets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Collateral</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Derivatives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P&amp;L</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30.09.12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2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61 </w:t>
            </w: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(61)</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977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948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4,805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(3,917)</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(888)</w:t>
            </w: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491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1,439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1,795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112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(50)</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62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282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(70)</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(117)</w:t>
            </w: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95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77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234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238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3735" w:type="dxa"/>
            <w:gridSpan w:val="4"/>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 through Equity</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4140" w:type="dxa"/>
            <w:gridSpan w:val="5"/>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Available for Sale Assets as at 30.09.12</w:t>
            </w:r>
            <w:r w:rsidRPr="00745DE5">
              <w:rPr>
                <w:rFonts w:ascii="Arial" w:eastAsia="Times New Roman" w:hAnsi="Arial" w:cs="Arial"/>
                <w:b/>
                <w:bCs/>
                <w:sz w:val="13"/>
                <w:szCs w:val="13"/>
                <w:vertAlign w:val="superscript"/>
                <w:lang w:eastAsia="en-GB"/>
              </w:rPr>
              <w:t>1</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75" w:type="dxa"/>
        <w:tblInd w:w="-36" w:type="dxa"/>
        <w:tblCellMar>
          <w:left w:w="0" w:type="dxa"/>
          <w:right w:w="0" w:type="dxa"/>
        </w:tblCellMar>
        <w:tblLook w:val="04A0" w:firstRow="1" w:lastRow="0" w:firstColumn="1" w:lastColumn="0" w:noHBand="0" w:noVBand="1"/>
      </w:tblPr>
      <w:tblGrid>
        <w:gridCol w:w="1683"/>
        <w:gridCol w:w="16"/>
        <w:gridCol w:w="693"/>
        <w:gridCol w:w="793"/>
        <w:gridCol w:w="941"/>
        <w:gridCol w:w="116"/>
        <w:gridCol w:w="594"/>
        <w:gridCol w:w="892"/>
        <w:gridCol w:w="809"/>
        <w:gridCol w:w="1057"/>
        <w:gridCol w:w="941"/>
        <w:gridCol w:w="859"/>
        <w:gridCol w:w="116"/>
        <w:gridCol w:w="765"/>
      </w:tblGrid>
      <w:tr w:rsidR="00745DE5" w:rsidRPr="00745DE5" w:rsidTr="00745DE5">
        <w:trPr>
          <w:trHeight w:val="240"/>
        </w:trPr>
        <w:tc>
          <w:tcPr>
            <w:tcW w:w="1530" w:type="dxa"/>
            <w:gridSpan w:val="2"/>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350" w:type="dxa"/>
            <w:gridSpan w:val="2"/>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Cost</w:t>
            </w:r>
          </w:p>
        </w:tc>
        <w:tc>
          <w:tcPr>
            <w:tcW w:w="1695" w:type="dxa"/>
            <w:gridSpan w:val="2"/>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AFS Reserve</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1530" w:type="dxa"/>
            <w:gridSpan w:val="2"/>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40"/>
        </w:trPr>
        <w:tc>
          <w:tcPr>
            <w:tcW w:w="1530" w:type="dxa"/>
            <w:gridSpan w:val="2"/>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211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495" w:type="dxa"/>
            <w:gridSpan w:val="2"/>
            <w:tcMar>
              <w:top w:w="0" w:type="dxa"/>
              <w:left w:w="108" w:type="dxa"/>
              <w:bottom w:w="0" w:type="dxa"/>
              <w:right w:w="108"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44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46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29 </w:t>
            </w:r>
          </w:p>
        </w:tc>
      </w:tr>
      <w:tr w:rsidR="00745DE5" w:rsidRPr="00745DE5" w:rsidTr="00745DE5">
        <w:trPr>
          <w:trHeight w:val="240"/>
        </w:trPr>
        <w:tc>
          <w:tcPr>
            <w:tcW w:w="1530" w:type="dxa"/>
            <w:gridSpan w:val="2"/>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3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 </w:t>
            </w:r>
          </w:p>
        </w:tc>
      </w:tr>
      <w:tr w:rsidR="00745DE5" w:rsidRPr="00745DE5" w:rsidTr="00745DE5">
        <w:trPr>
          <w:trHeight w:val="240"/>
        </w:trPr>
        <w:tc>
          <w:tcPr>
            <w:tcW w:w="3735" w:type="dxa"/>
            <w:gridSpan w:val="5"/>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4140" w:type="dxa"/>
            <w:gridSpan w:val="5"/>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735" w:type="dxa"/>
            <w:gridSpan w:val="5"/>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Held at Amortised Cost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4140" w:type="dxa"/>
            <w:gridSpan w:val="5"/>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Loans and Advances as at 30.09.12</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c>
          <w:tcPr>
            <w:tcW w:w="15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3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2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5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0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54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1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3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96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85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78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105"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c>
          <w:tcPr>
            <w:tcW w:w="660" w:type="dxa"/>
            <w:tcBorders>
              <w:top w:val="nil"/>
              <w:left w:val="nil"/>
              <w:bottom w:val="nil"/>
              <w:right w:val="nil"/>
            </w:tcBorders>
            <w:vAlign w:val="center"/>
            <w:hideMark/>
          </w:tcPr>
          <w:p w:rsidR="00745DE5" w:rsidRPr="00745DE5" w:rsidRDefault="00745DE5" w:rsidP="00745DE5">
            <w:pPr>
              <w:spacing w:after="0" w:line="240" w:lineRule="auto"/>
              <w:rPr>
                <w:rFonts w:ascii="Times New Roman" w:eastAsia="Times New Roman" w:hAnsi="Times New Roman"/>
                <w:sz w:val="1"/>
                <w:szCs w:val="24"/>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45" w:type="dxa"/>
        <w:tblInd w:w="-36" w:type="dxa"/>
        <w:tblCellMar>
          <w:left w:w="0" w:type="dxa"/>
          <w:right w:w="0" w:type="dxa"/>
        </w:tblCellMar>
        <w:tblLook w:val="04A0" w:firstRow="1" w:lastRow="0" w:firstColumn="1" w:lastColumn="0" w:noHBand="0" w:noVBand="1"/>
      </w:tblPr>
      <w:tblGrid>
        <w:gridCol w:w="1877"/>
        <w:gridCol w:w="558"/>
        <w:gridCol w:w="812"/>
        <w:gridCol w:w="964"/>
        <w:gridCol w:w="118"/>
        <w:gridCol w:w="609"/>
        <w:gridCol w:w="829"/>
        <w:gridCol w:w="829"/>
        <w:gridCol w:w="1074"/>
        <w:gridCol w:w="964"/>
        <w:gridCol w:w="710"/>
        <w:gridCol w:w="118"/>
        <w:gridCol w:w="783"/>
      </w:tblGrid>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Impairment</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Gross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Allowances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166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2,462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(157)</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2,305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2,398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Residential mortgages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88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78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91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795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786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868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 retail lending</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105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105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105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20"/>
                <w:szCs w:val="20"/>
                <w:lang w:eastAsia="en-GB"/>
              </w:rPr>
              <w:t> </w:t>
            </w:r>
            <w:r w:rsidRPr="00745DE5">
              <w:rPr>
                <w:rFonts w:ascii="Arial" w:eastAsia="Times New Roman" w:hAnsi="Arial" w:cs="Arial"/>
                <w:b/>
                <w:bCs/>
                <w:sz w:val="16"/>
                <w:szCs w:val="16"/>
                <w:vertAlign w:val="superscript"/>
                <w:lang w:eastAsia="en-GB"/>
              </w:rPr>
              <w:t>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r>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3735" w:type="dxa"/>
            <w:gridSpan w:val="4"/>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Contingent Liabilities and Commitments</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45" w:type="dxa"/>
        <w:tblInd w:w="-36" w:type="dxa"/>
        <w:tblCellMar>
          <w:left w:w="0" w:type="dxa"/>
          <w:right w:w="0" w:type="dxa"/>
        </w:tblCellMar>
        <w:tblLook w:val="04A0" w:firstRow="1" w:lastRow="0" w:firstColumn="1" w:lastColumn="0" w:noHBand="0" w:noVBand="1"/>
      </w:tblPr>
      <w:tblGrid>
        <w:gridCol w:w="1926"/>
        <w:gridCol w:w="572"/>
        <w:gridCol w:w="833"/>
        <w:gridCol w:w="728"/>
        <w:gridCol w:w="121"/>
        <w:gridCol w:w="624"/>
        <w:gridCol w:w="850"/>
        <w:gridCol w:w="850"/>
        <w:gridCol w:w="1023"/>
        <w:gridCol w:w="989"/>
        <w:gridCol w:w="804"/>
        <w:gridCol w:w="121"/>
        <w:gridCol w:w="804"/>
      </w:tblGrid>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30.09.12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166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697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548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810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1,013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 retail lending</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 </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B3064B">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Sovereign</w:t>
      </w:r>
    </w:p>
    <w:p w:rsidR="00745DE5" w:rsidRPr="00745DE5" w:rsidRDefault="00745DE5" w:rsidP="00B3064B">
      <w:pPr>
        <w:spacing w:before="180" w:after="180" w:line="240" w:lineRule="auto"/>
        <w:ind w:left="720"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AFS exposure reduced to £8m (30 June 2012: £211m) due to the disposal of government bonds held for the purposes of interest rate hedging and liquidity, which have been replaced by bonds with alternative counterparties</w:t>
      </w:r>
    </w:p>
    <w:p w:rsidR="00745DE5" w:rsidRPr="00745DE5" w:rsidRDefault="00745DE5" w:rsidP="00B3064B">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Financial institutions</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Exposure focused on financial institutions with investment grade credit ratings</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Exposure to Irish banks amounted to £68m (30 June 2012: £82m)</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£1.2bn (30 June 2012: £0.9bn) of loans relate to issuers domiciled in Ireland whose principal business and exposures are outside of Ireland</w:t>
      </w:r>
    </w:p>
    <w:p w:rsidR="00745DE5" w:rsidRPr="00745DE5" w:rsidRDefault="00745DE5" w:rsidP="00B3064B">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b/>
          <w:bCs/>
          <w:sz w:val="18"/>
          <w:szCs w:val="18"/>
          <w:lang w:eastAsia="en-GB"/>
        </w:rPr>
        <w:t xml:space="preserve">Corporate </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£786m (30 June 2012: £868m) net loans and advances, including a significant proportion to other multinational entities domiciled in Ireland, whose principal businesses and exposures are outside of Ireland </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The portfolio continues to perform and has not been impacted materially by the decline in the property sector</w:t>
      </w: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745DE5" w:rsidP="00B3064B">
      <w:pPr>
        <w:spacing w:after="0" w:line="240" w:lineRule="auto"/>
        <w:ind w:left="284"/>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745DE5" w:rsidP="00B3064B">
      <w:pPr>
        <w:spacing w:after="0" w:line="240" w:lineRule="auto"/>
        <w:ind w:left="284"/>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745DE5" w:rsidP="00B3064B">
      <w:pPr>
        <w:spacing w:after="0" w:line="240" w:lineRule="auto"/>
        <w:ind w:left="284"/>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745DE5" w:rsidP="00B3064B">
      <w:pPr>
        <w:spacing w:after="0" w:line="240" w:lineRule="auto"/>
        <w:ind w:left="284"/>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745DE5" w:rsidP="00B3064B">
      <w:pPr>
        <w:spacing w:after="0" w:line="240" w:lineRule="auto"/>
        <w:ind w:left="284"/>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745DE5" w:rsidP="00B3064B">
      <w:pPr>
        <w:spacing w:after="0" w:line="240" w:lineRule="auto"/>
        <w:ind w:left="284"/>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745DE5" w:rsidP="00B3064B">
      <w:pPr>
        <w:spacing w:after="0" w:line="240" w:lineRule="auto"/>
        <w:ind w:left="284"/>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745DE5" w:rsidP="00B3064B">
      <w:pPr>
        <w:spacing w:after="0" w:line="240" w:lineRule="auto"/>
        <w:ind w:left="284"/>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745DE5" w:rsidP="00B3064B">
      <w:pPr>
        <w:spacing w:after="0" w:line="240" w:lineRule="auto"/>
        <w:ind w:left="284"/>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745DE5" w:rsidP="00B3064B">
      <w:pPr>
        <w:spacing w:after="0" w:line="240" w:lineRule="auto"/>
        <w:ind w:left="284"/>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745DE5" w:rsidP="00B3064B">
      <w:pPr>
        <w:spacing w:after="0" w:line="240" w:lineRule="auto"/>
        <w:ind w:left="284"/>
        <w:rPr>
          <w:rFonts w:ascii="Times New Roman" w:eastAsia="Times New Roman" w:hAnsi="Times New Roman"/>
          <w:sz w:val="24"/>
          <w:szCs w:val="24"/>
          <w:lang w:eastAsia="en-GB"/>
        </w:rPr>
      </w:pPr>
      <w:r w:rsidRPr="00745DE5">
        <w:rPr>
          <w:rFonts w:ascii="Times New Roman" w:eastAsia="Times New Roman" w:hAnsi="Times New Roman"/>
          <w:sz w:val="2"/>
          <w:szCs w:val="2"/>
          <w:lang w:eastAsia="en-GB"/>
        </w:rPr>
        <w:t> </w:t>
      </w:r>
    </w:p>
    <w:p w:rsidR="00745DE5" w:rsidRPr="00745DE5" w:rsidRDefault="00B3064B" w:rsidP="00B3064B">
      <w:pPr>
        <w:spacing w:before="20" w:after="20" w:line="240" w:lineRule="auto"/>
        <w:ind w:left="284" w:hanging="284"/>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1     </w:t>
      </w:r>
      <w:r w:rsidR="00745DE5" w:rsidRPr="00745DE5">
        <w:rPr>
          <w:rFonts w:ascii="Arial" w:eastAsia="Times New Roman" w:hAnsi="Arial" w:cs="Arial"/>
          <w:i/>
          <w:iCs/>
          <w:sz w:val="14"/>
          <w:szCs w:val="14"/>
          <w:lang w:eastAsia="en-GB"/>
        </w:rPr>
        <w:t>'Cost' refers to the fair value of the asset at recognition, less any impairment booked. 'AFS Reserve' is the cumulative fair value gain or loss on the assets that is held in equity. 'Total' is the fair value of the assets at the balance sheet date.</w:t>
      </w: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Default="00745DE5" w:rsidP="00745DE5">
      <w:pPr>
        <w:spacing w:line="240" w:lineRule="auto"/>
        <w:jc w:val="both"/>
        <w:rPr>
          <w:rFonts w:ascii="Arial" w:eastAsia="Times New Roman" w:hAnsi="Arial" w:cs="Arial"/>
          <w:color w:val="000000"/>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IV - Group Exposures to Selected Countries</w:t>
      </w:r>
    </w:p>
    <w:tbl>
      <w:tblPr>
        <w:tblW w:w="10335" w:type="dxa"/>
        <w:tblInd w:w="-36" w:type="dxa"/>
        <w:tblCellMar>
          <w:left w:w="0" w:type="dxa"/>
          <w:right w:w="0" w:type="dxa"/>
        </w:tblCellMar>
        <w:tblLook w:val="04A0" w:firstRow="1" w:lastRow="0" w:firstColumn="1" w:lastColumn="0" w:noHBand="0" w:noVBand="1"/>
      </w:tblPr>
      <w:tblGrid>
        <w:gridCol w:w="1721"/>
        <w:gridCol w:w="2397"/>
        <w:gridCol w:w="118"/>
        <w:gridCol w:w="3511"/>
        <w:gridCol w:w="1052"/>
        <w:gridCol w:w="709"/>
        <w:gridCol w:w="118"/>
        <w:gridCol w:w="709"/>
      </w:tblGrid>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4"/>
                <w:szCs w:val="24"/>
                <w:lang w:eastAsia="en-GB"/>
              </w:rPr>
              <w:t>Greece</w:t>
            </w:r>
          </w:p>
        </w:tc>
        <w:tc>
          <w:tcPr>
            <w:tcW w:w="21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 Portfolio</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312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Derivatives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Designated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75" w:type="dxa"/>
        <w:tblInd w:w="-36" w:type="dxa"/>
        <w:tblCellMar>
          <w:left w:w="0" w:type="dxa"/>
          <w:right w:w="0" w:type="dxa"/>
        </w:tblCellMar>
        <w:tblLook w:val="04A0" w:firstRow="1" w:lastRow="0" w:firstColumn="1" w:lastColumn="0" w:noHBand="0" w:noVBand="1"/>
      </w:tblPr>
      <w:tblGrid>
        <w:gridCol w:w="1612"/>
        <w:gridCol w:w="769"/>
        <w:gridCol w:w="854"/>
        <w:gridCol w:w="901"/>
        <w:gridCol w:w="111"/>
        <w:gridCol w:w="629"/>
        <w:gridCol w:w="854"/>
        <w:gridCol w:w="845"/>
        <w:gridCol w:w="976"/>
        <w:gridCol w:w="901"/>
        <w:gridCol w:w="980"/>
        <w:gridCol w:w="111"/>
        <w:gridCol w:w="732"/>
      </w:tblGrid>
      <w:tr w:rsidR="00745DE5" w:rsidRPr="00745DE5" w:rsidTr="00745DE5">
        <w:trPr>
          <w:trHeight w:val="255"/>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 through</w:t>
            </w: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at FV</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Profit and Loss</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Gross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Gross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Cash</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through</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Assets</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Assets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Collateral</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Derivatives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P&amp;L</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30.09.12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83"/>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2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1,227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(333)</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(894)</w:t>
            </w: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2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3735" w:type="dxa"/>
            <w:gridSpan w:val="4"/>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 through Equity</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4140" w:type="dxa"/>
            <w:gridSpan w:val="5"/>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Available for Sale Assets as at 30.09.12</w:t>
            </w:r>
            <w:r w:rsidRPr="00745DE5">
              <w:rPr>
                <w:rFonts w:ascii="Arial" w:eastAsia="Times New Roman" w:hAnsi="Arial" w:cs="Arial"/>
                <w:b/>
                <w:bCs/>
                <w:sz w:val="13"/>
                <w:szCs w:val="13"/>
                <w:vertAlign w:val="superscript"/>
                <w:lang w:eastAsia="en-GB"/>
              </w:rPr>
              <w:t>1</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60" w:type="dxa"/>
        <w:tblInd w:w="-36" w:type="dxa"/>
        <w:tblCellMar>
          <w:left w:w="0" w:type="dxa"/>
          <w:right w:w="0" w:type="dxa"/>
        </w:tblCellMar>
        <w:tblLook w:val="04A0" w:firstRow="1" w:lastRow="0" w:firstColumn="1" w:lastColumn="0" w:noHBand="0" w:noVBand="1"/>
      </w:tblPr>
      <w:tblGrid>
        <w:gridCol w:w="1683"/>
        <w:gridCol w:w="694"/>
        <w:gridCol w:w="793"/>
        <w:gridCol w:w="941"/>
        <w:gridCol w:w="116"/>
        <w:gridCol w:w="594"/>
        <w:gridCol w:w="892"/>
        <w:gridCol w:w="809"/>
        <w:gridCol w:w="1057"/>
        <w:gridCol w:w="941"/>
        <w:gridCol w:w="859"/>
        <w:gridCol w:w="116"/>
        <w:gridCol w:w="765"/>
      </w:tblGrid>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350" w:type="dxa"/>
            <w:gridSpan w:val="2"/>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Cost</w:t>
            </w:r>
          </w:p>
        </w:tc>
        <w:tc>
          <w:tcPr>
            <w:tcW w:w="1695" w:type="dxa"/>
            <w:gridSpan w:val="2"/>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AFS Reserve</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15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808080"/>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55"/>
        </w:trPr>
        <w:tc>
          <w:tcPr>
            <w:tcW w:w="15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r>
      <w:tr w:rsidR="00745DE5" w:rsidRPr="00745DE5" w:rsidTr="00745DE5">
        <w:trPr>
          <w:trHeight w:val="240"/>
        </w:trPr>
        <w:tc>
          <w:tcPr>
            <w:tcW w:w="3735" w:type="dxa"/>
            <w:gridSpan w:val="4"/>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140" w:type="dxa"/>
            <w:gridSpan w:val="5"/>
            <w:tcMar>
              <w:top w:w="0" w:type="dxa"/>
              <w:left w:w="36" w:type="dxa"/>
              <w:bottom w:w="0" w:type="dxa"/>
              <w:right w:w="36" w:type="dxa"/>
            </w:tcMar>
            <w:vAlign w:val="center"/>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735" w:type="dxa"/>
            <w:gridSpan w:val="4"/>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Held at Amortised Cost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4140" w:type="dxa"/>
            <w:gridSpan w:val="5"/>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Loans and Advances as at 30.09.12</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60" w:type="dxa"/>
        <w:tblInd w:w="-36" w:type="dxa"/>
        <w:tblCellMar>
          <w:left w:w="0" w:type="dxa"/>
          <w:right w:w="0" w:type="dxa"/>
        </w:tblCellMar>
        <w:tblLook w:val="04A0" w:firstRow="1" w:lastRow="0" w:firstColumn="1" w:lastColumn="0" w:noHBand="0" w:noVBand="1"/>
      </w:tblPr>
      <w:tblGrid>
        <w:gridCol w:w="1879"/>
        <w:gridCol w:w="558"/>
        <w:gridCol w:w="813"/>
        <w:gridCol w:w="965"/>
        <w:gridCol w:w="119"/>
        <w:gridCol w:w="610"/>
        <w:gridCol w:w="830"/>
        <w:gridCol w:w="830"/>
        <w:gridCol w:w="1076"/>
        <w:gridCol w:w="965"/>
        <w:gridCol w:w="711"/>
        <w:gridCol w:w="119"/>
        <w:gridCol w:w="785"/>
      </w:tblGrid>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Impairment</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Gross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Allowances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166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808080"/>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r w:rsidRPr="00745DE5">
              <w:rPr>
                <w:rFonts w:ascii="Arial" w:eastAsia="Times New Roman" w:hAnsi="Arial" w:cs="Arial"/>
                <w:b/>
                <w:bCs/>
                <w:sz w:val="13"/>
                <w:szCs w:val="13"/>
                <w:vertAlign w:val="superscript"/>
                <w:lang w:eastAsia="en-GB"/>
              </w:rPr>
              <w: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Residential mortgages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6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57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57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57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 retail lending</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25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16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19 </w:t>
            </w:r>
          </w:p>
        </w:tc>
      </w:tr>
      <w:tr w:rsidR="00745DE5" w:rsidRPr="00745DE5" w:rsidTr="00745DE5">
        <w:trPr>
          <w:trHeight w:val="161"/>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3735" w:type="dxa"/>
            <w:gridSpan w:val="4"/>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Contingent Liabilities and Commitments</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45" w:type="dxa"/>
        <w:tblInd w:w="-36" w:type="dxa"/>
        <w:tblCellMar>
          <w:left w:w="0" w:type="dxa"/>
          <w:right w:w="0" w:type="dxa"/>
        </w:tblCellMar>
        <w:tblLook w:val="04A0" w:firstRow="1" w:lastRow="0" w:firstColumn="1" w:lastColumn="0" w:noHBand="0" w:noVBand="1"/>
      </w:tblPr>
      <w:tblGrid>
        <w:gridCol w:w="1926"/>
        <w:gridCol w:w="572"/>
        <w:gridCol w:w="833"/>
        <w:gridCol w:w="728"/>
        <w:gridCol w:w="121"/>
        <w:gridCol w:w="624"/>
        <w:gridCol w:w="850"/>
        <w:gridCol w:w="850"/>
        <w:gridCol w:w="1023"/>
        <w:gridCol w:w="989"/>
        <w:gridCol w:w="804"/>
        <w:gridCol w:w="121"/>
        <w:gridCol w:w="804"/>
      </w:tblGrid>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30.09.12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240"/>
        </w:trPr>
        <w:tc>
          <w:tcPr>
            <w:tcW w:w="166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3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 retail lending</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11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17 </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350" w:type="dxa"/>
        <w:tblInd w:w="-36" w:type="dxa"/>
        <w:tblCellMar>
          <w:left w:w="0" w:type="dxa"/>
          <w:right w:w="0" w:type="dxa"/>
        </w:tblCellMar>
        <w:tblLook w:val="04A0" w:firstRow="1" w:lastRow="0" w:firstColumn="1" w:lastColumn="0" w:noHBand="0" w:noVBand="1"/>
      </w:tblPr>
      <w:tblGrid>
        <w:gridCol w:w="1724"/>
        <w:gridCol w:w="2400"/>
        <w:gridCol w:w="118"/>
        <w:gridCol w:w="3516"/>
        <w:gridCol w:w="1054"/>
        <w:gridCol w:w="710"/>
        <w:gridCol w:w="118"/>
        <w:gridCol w:w="710"/>
      </w:tblGrid>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24"/>
                <w:szCs w:val="24"/>
                <w:lang w:eastAsia="en-GB"/>
              </w:rPr>
              <w:t>Cyprus</w:t>
            </w:r>
          </w:p>
        </w:tc>
        <w:tc>
          <w:tcPr>
            <w:tcW w:w="21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 Portfolio</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312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Derivatives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Designated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320" w:type="dxa"/>
        <w:tblInd w:w="-36" w:type="dxa"/>
        <w:tblCellMar>
          <w:left w:w="0" w:type="dxa"/>
          <w:right w:w="0" w:type="dxa"/>
        </w:tblCellMar>
        <w:tblLook w:val="04A0" w:firstRow="1" w:lastRow="0" w:firstColumn="1" w:lastColumn="0" w:noHBand="0" w:noVBand="1"/>
      </w:tblPr>
      <w:tblGrid>
        <w:gridCol w:w="1620"/>
        <w:gridCol w:w="773"/>
        <w:gridCol w:w="857"/>
        <w:gridCol w:w="905"/>
        <w:gridCol w:w="111"/>
        <w:gridCol w:w="632"/>
        <w:gridCol w:w="857"/>
        <w:gridCol w:w="849"/>
        <w:gridCol w:w="980"/>
        <w:gridCol w:w="905"/>
        <w:gridCol w:w="984"/>
        <w:gridCol w:w="111"/>
        <w:gridCol w:w="736"/>
      </w:tblGrid>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 through</w:t>
            </w: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at FV</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Profit and Loss</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Trading</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Gross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Gross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Cash</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Net</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through</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Assets</w:t>
            </w: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Portfolio</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Assets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Liabilities</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Collateral</w:t>
            </w: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Derivatives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P&amp;L</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161"/>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2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Financial institutions</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94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(44)</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(50)</w:t>
            </w: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 </w:t>
            </w:r>
          </w:p>
        </w:tc>
      </w:tr>
      <w:tr w:rsidR="00745DE5" w:rsidRPr="00745DE5" w:rsidTr="00745DE5">
        <w:trPr>
          <w:trHeight w:val="240"/>
        </w:trPr>
        <w:tc>
          <w:tcPr>
            <w:tcW w:w="15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 </w:t>
            </w: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23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 </w:t>
            </w:r>
          </w:p>
        </w:tc>
      </w:tr>
      <w:tr w:rsidR="00745DE5" w:rsidRPr="00745DE5" w:rsidTr="00745DE5">
        <w:trPr>
          <w:trHeight w:val="240"/>
        </w:trPr>
        <w:tc>
          <w:tcPr>
            <w:tcW w:w="3735" w:type="dxa"/>
            <w:gridSpan w:val="4"/>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4140" w:type="dxa"/>
            <w:gridSpan w:val="5"/>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r>
      <w:tr w:rsidR="00745DE5" w:rsidRPr="00745DE5" w:rsidTr="00745DE5">
        <w:trPr>
          <w:trHeight w:val="240"/>
        </w:trPr>
        <w:tc>
          <w:tcPr>
            <w:tcW w:w="3735" w:type="dxa"/>
            <w:gridSpan w:val="4"/>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Held at Amortised Cost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p>
        </w:tc>
        <w:tc>
          <w:tcPr>
            <w:tcW w:w="4140" w:type="dxa"/>
            <w:gridSpan w:val="5"/>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Loans and Advances as at 30.09.12</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90" w:type="dxa"/>
        <w:tblInd w:w="-36" w:type="dxa"/>
        <w:tblCellMar>
          <w:left w:w="0" w:type="dxa"/>
          <w:right w:w="0" w:type="dxa"/>
        </w:tblCellMar>
        <w:tblLook w:val="04A0" w:firstRow="1" w:lastRow="0" w:firstColumn="1" w:lastColumn="0" w:noHBand="0" w:noVBand="1"/>
      </w:tblPr>
      <w:tblGrid>
        <w:gridCol w:w="1934"/>
        <w:gridCol w:w="575"/>
        <w:gridCol w:w="836"/>
        <w:gridCol w:w="731"/>
        <w:gridCol w:w="122"/>
        <w:gridCol w:w="627"/>
        <w:gridCol w:w="853"/>
        <w:gridCol w:w="853"/>
        <w:gridCol w:w="1106"/>
        <w:gridCol w:w="993"/>
        <w:gridCol w:w="731"/>
        <w:gridCol w:w="122"/>
        <w:gridCol w:w="807"/>
      </w:tblGrid>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Impairment</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Gross </w:t>
            </w: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Allowances</w:t>
            </w: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74"/>
        </w:trPr>
        <w:tc>
          <w:tcPr>
            <w:tcW w:w="166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49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72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40"/>
        </w:trPr>
        <w:tc>
          <w:tcPr>
            <w:tcW w:w="166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Sovereign</w:t>
            </w:r>
          </w:p>
        </w:tc>
        <w:tc>
          <w:tcPr>
            <w:tcW w:w="49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 </w:t>
            </w:r>
          </w:p>
        </w:tc>
        <w:tc>
          <w:tcPr>
            <w:tcW w:w="73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7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Residential mortgages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48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48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51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125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(15)</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110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115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Other retail lending</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 </w:t>
            </w: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 </w:t>
            </w: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18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6 </w:t>
            </w:r>
          </w:p>
        </w:tc>
      </w:tr>
      <w:tr w:rsidR="00745DE5" w:rsidRPr="00745DE5" w:rsidTr="00745DE5">
        <w:trPr>
          <w:trHeight w:val="122"/>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75" w:type="dxa"/>
        <w:tblInd w:w="-36" w:type="dxa"/>
        <w:tblCellMar>
          <w:left w:w="0" w:type="dxa"/>
          <w:right w:w="0" w:type="dxa"/>
        </w:tblCellMar>
        <w:tblLook w:val="04A0" w:firstRow="1" w:lastRow="0" w:firstColumn="1" w:lastColumn="0" w:noHBand="0" w:noVBand="1"/>
      </w:tblPr>
      <w:tblGrid>
        <w:gridCol w:w="1757"/>
        <w:gridCol w:w="723"/>
        <w:gridCol w:w="826"/>
        <w:gridCol w:w="981"/>
        <w:gridCol w:w="120"/>
        <w:gridCol w:w="620"/>
        <w:gridCol w:w="843"/>
        <w:gridCol w:w="843"/>
        <w:gridCol w:w="1015"/>
        <w:gridCol w:w="981"/>
        <w:gridCol w:w="723"/>
        <w:gridCol w:w="120"/>
        <w:gridCol w:w="723"/>
      </w:tblGrid>
      <w:tr w:rsidR="00745DE5" w:rsidRPr="00745DE5" w:rsidTr="00745DE5">
        <w:trPr>
          <w:trHeight w:val="240"/>
        </w:trPr>
        <w:tc>
          <w:tcPr>
            <w:tcW w:w="15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Total</w:t>
            </w:r>
          </w:p>
        </w:tc>
      </w:tr>
      <w:tr w:rsidR="00745DE5" w:rsidRPr="00745DE5" w:rsidTr="00745DE5">
        <w:trPr>
          <w:trHeight w:val="240"/>
        </w:trPr>
        <w:tc>
          <w:tcPr>
            <w:tcW w:w="3735" w:type="dxa"/>
            <w:gridSpan w:val="4"/>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Contingent Liabilities and Commitments</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as at</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275" w:type="dxa"/>
        <w:tblInd w:w="-36" w:type="dxa"/>
        <w:tblCellMar>
          <w:left w:w="0" w:type="dxa"/>
          <w:right w:w="0" w:type="dxa"/>
        </w:tblCellMar>
        <w:tblLook w:val="04A0" w:firstRow="1" w:lastRow="0" w:firstColumn="1" w:lastColumn="0" w:noHBand="0" w:noVBand="1"/>
      </w:tblPr>
      <w:tblGrid>
        <w:gridCol w:w="1931"/>
        <w:gridCol w:w="574"/>
        <w:gridCol w:w="835"/>
        <w:gridCol w:w="731"/>
        <w:gridCol w:w="122"/>
        <w:gridCol w:w="626"/>
        <w:gridCol w:w="852"/>
        <w:gridCol w:w="852"/>
        <w:gridCol w:w="1026"/>
        <w:gridCol w:w="992"/>
        <w:gridCol w:w="806"/>
        <w:gridCol w:w="122"/>
        <w:gridCol w:w="806"/>
      </w:tblGrid>
      <w:tr w:rsidR="00745DE5" w:rsidRPr="00745DE5" w:rsidTr="00745DE5">
        <w:trPr>
          <w:trHeight w:val="240"/>
        </w:trPr>
        <w:tc>
          <w:tcPr>
            <w:tcW w:w="166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49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2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30.06.12</w:t>
            </w:r>
          </w:p>
        </w:tc>
      </w:tr>
      <w:tr w:rsidR="00745DE5" w:rsidRPr="00745DE5" w:rsidTr="00745DE5">
        <w:trPr>
          <w:trHeight w:val="108"/>
        </w:trPr>
        <w:tc>
          <w:tcPr>
            <w:tcW w:w="166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49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72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10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Residential mortgages</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Corporate</w:t>
            </w:r>
          </w:p>
        </w:tc>
        <w:tc>
          <w:tcPr>
            <w:tcW w:w="49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87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101 </w:t>
            </w:r>
          </w:p>
        </w:tc>
      </w:tr>
      <w:tr w:rsidR="00745DE5" w:rsidRPr="00745DE5" w:rsidTr="00745DE5">
        <w:trPr>
          <w:trHeight w:val="240"/>
        </w:trPr>
        <w:tc>
          <w:tcPr>
            <w:tcW w:w="166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lastRenderedPageBreak/>
              <w:t>Other retail lending</w:t>
            </w:r>
          </w:p>
        </w:tc>
        <w:tc>
          <w:tcPr>
            <w:tcW w:w="360" w:type="dxa"/>
            <w:tcMar>
              <w:top w:w="0" w:type="dxa"/>
              <w:left w:w="108" w:type="dxa"/>
              <w:bottom w:w="0" w:type="dxa"/>
              <w:right w:w="108"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32 </w:t>
            </w:r>
          </w:p>
        </w:tc>
        <w:tc>
          <w:tcPr>
            <w:tcW w:w="10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20 </w:t>
            </w:r>
          </w:p>
        </w:tc>
      </w:tr>
    </w:tbl>
    <w:p w:rsidR="00745DE5" w:rsidRPr="00745DE5" w:rsidRDefault="00745DE5" w:rsidP="00745DE5">
      <w:pPr>
        <w:spacing w:before="20" w:after="20" w:line="240" w:lineRule="auto"/>
        <w:ind w:left="1854" w:hanging="360"/>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20" w:line="240" w:lineRule="auto"/>
        <w:ind w:left="1854" w:hanging="360"/>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20" w:line="240" w:lineRule="auto"/>
        <w:ind w:left="1854" w:hanging="360"/>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20" w:line="240" w:lineRule="auto"/>
        <w:ind w:left="1854" w:hanging="360"/>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20" w:line="240" w:lineRule="auto"/>
        <w:ind w:left="1854" w:hanging="360"/>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745DE5" w:rsidP="00745DE5">
      <w:pPr>
        <w:spacing w:before="20" w:after="20" w:line="240" w:lineRule="auto"/>
        <w:ind w:left="1854" w:hanging="360"/>
        <w:jc w:val="both"/>
        <w:rPr>
          <w:rFonts w:ascii="Arial" w:eastAsia="Times New Roman" w:hAnsi="Arial" w:cs="Arial"/>
          <w:i/>
          <w:iCs/>
          <w:sz w:val="14"/>
          <w:szCs w:val="14"/>
          <w:lang w:eastAsia="en-GB"/>
        </w:rPr>
      </w:pPr>
      <w:r w:rsidRPr="00745DE5">
        <w:rPr>
          <w:rFonts w:ascii="Arial" w:eastAsia="Times New Roman" w:hAnsi="Arial" w:cs="Arial"/>
          <w:i/>
          <w:iCs/>
          <w:sz w:val="2"/>
          <w:szCs w:val="2"/>
          <w:lang w:eastAsia="en-GB"/>
        </w:rPr>
        <w:t> </w:t>
      </w:r>
    </w:p>
    <w:p w:rsidR="00745DE5" w:rsidRPr="00745DE5" w:rsidRDefault="00B3064B" w:rsidP="00B3064B">
      <w:pPr>
        <w:spacing w:before="20" w:line="240" w:lineRule="auto"/>
        <w:ind w:left="284" w:hanging="284"/>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1     ‘</w:t>
      </w:r>
      <w:r w:rsidR="00745DE5" w:rsidRPr="00745DE5">
        <w:rPr>
          <w:rFonts w:ascii="Arial" w:eastAsia="Times New Roman" w:hAnsi="Arial" w:cs="Arial"/>
          <w:i/>
          <w:iCs/>
          <w:sz w:val="14"/>
          <w:szCs w:val="14"/>
          <w:lang w:eastAsia="en-GB"/>
        </w:rPr>
        <w:t>Cost' refers to the fair value of the asset at recognition, less any impairment booked. 'AFS Reserve' is the cumulative fair value gain or loss on the assets that is held in equity. 'Total' is the fair value of the assets at the balance sheet date.</w:t>
      </w:r>
    </w:p>
    <w:p w:rsidR="00745DE5" w:rsidRDefault="00745DE5" w:rsidP="00745DE5">
      <w:pPr>
        <w:spacing w:before="100" w:beforeAutospacing="1" w:after="100" w:afterAutospacing="1" w:line="240" w:lineRule="auto"/>
        <w:rPr>
          <w:rFonts w:ascii="Arial" w:eastAsia="Times New Roman" w:hAnsi="Arial" w:cs="Arial"/>
          <w:sz w:val="2"/>
          <w:szCs w:val="2"/>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sz w:val="24"/>
          <w:szCs w:val="24"/>
          <w:lang w:eastAsia="en-GB"/>
        </w:rPr>
      </w:pPr>
    </w:p>
    <w:p w:rsidR="00745DE5" w:rsidRPr="00745DE5" w:rsidRDefault="00745DE5" w:rsidP="00745DE5">
      <w:pPr>
        <w:spacing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V - Credit Market Exposures</w:t>
      </w:r>
    </w:p>
    <w:p w:rsidR="00745DE5" w:rsidRPr="00745DE5" w:rsidRDefault="00745DE5" w:rsidP="00745DE5">
      <w:pPr>
        <w:spacing w:after="120" w:line="240" w:lineRule="auto"/>
        <w:jc w:val="both"/>
        <w:rPr>
          <w:rFonts w:ascii="Arial" w:eastAsia="Times New Roman" w:hAnsi="Arial" w:cs="Arial"/>
          <w:b/>
          <w:bCs/>
          <w:color w:val="000000"/>
          <w:sz w:val="24"/>
          <w:szCs w:val="24"/>
          <w:lang w:eastAsia="en-GB"/>
        </w:rPr>
      </w:pPr>
      <w:proofErr w:type="spellStart"/>
      <w:r w:rsidRPr="00745DE5">
        <w:rPr>
          <w:rFonts w:ascii="Arial" w:eastAsia="Times New Roman" w:hAnsi="Arial" w:cs="Arial"/>
          <w:b/>
          <w:bCs/>
          <w:sz w:val="24"/>
          <w:szCs w:val="24"/>
          <w:lang w:eastAsia="en-GB"/>
        </w:rPr>
        <w:t>BarclaysCredit</w:t>
      </w:r>
      <w:proofErr w:type="spellEnd"/>
      <w:r w:rsidRPr="00745DE5">
        <w:rPr>
          <w:rFonts w:ascii="Arial" w:eastAsia="Times New Roman" w:hAnsi="Arial" w:cs="Arial"/>
          <w:b/>
          <w:bCs/>
          <w:sz w:val="24"/>
          <w:szCs w:val="24"/>
          <w:lang w:eastAsia="en-GB"/>
        </w:rPr>
        <w:t xml:space="preserve"> Market Exposures</w:t>
      </w:r>
      <w:r w:rsidRPr="00745DE5">
        <w:rPr>
          <w:rFonts w:ascii="Arial" w:eastAsia="Times New Roman" w:hAnsi="Arial" w:cs="Arial"/>
          <w:b/>
          <w:bCs/>
          <w:sz w:val="19"/>
          <w:szCs w:val="19"/>
          <w:vertAlign w:val="superscript"/>
          <w:lang w:eastAsia="en-GB"/>
        </w:rPr>
        <w:t>1</w:t>
      </w:r>
    </w:p>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10065" w:type="dxa"/>
        <w:tblInd w:w="-36" w:type="dxa"/>
        <w:tblCellMar>
          <w:left w:w="0" w:type="dxa"/>
          <w:right w:w="0" w:type="dxa"/>
        </w:tblCellMar>
        <w:tblLook w:val="04A0" w:firstRow="1" w:lastRow="0" w:firstColumn="1" w:lastColumn="0" w:noHBand="0" w:noVBand="1"/>
      </w:tblPr>
      <w:tblGrid>
        <w:gridCol w:w="2910"/>
        <w:gridCol w:w="702"/>
        <w:gridCol w:w="702"/>
        <w:gridCol w:w="703"/>
        <w:gridCol w:w="703"/>
        <w:gridCol w:w="703"/>
        <w:gridCol w:w="703"/>
        <w:gridCol w:w="112"/>
        <w:gridCol w:w="2827"/>
      </w:tblGrid>
      <w:tr w:rsidR="00745DE5" w:rsidRPr="00745DE5" w:rsidTr="00745DE5">
        <w:trPr>
          <w:trHeight w:val="240"/>
        </w:trPr>
        <w:tc>
          <w:tcPr>
            <w:tcW w:w="261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sz w:val="2"/>
                <w:szCs w:val="2"/>
                <w:lang w:eastAsia="en-GB"/>
              </w:rPr>
            </w:pPr>
            <w:r w:rsidRPr="00745DE5">
              <w:rPr>
                <w:rFonts w:ascii="Arial" w:eastAsia="Times New Roman" w:hAnsi="Arial" w:cs="Arial"/>
                <w:sz w:val="2"/>
                <w:szCs w:val="2"/>
                <w:lang w:eastAsia="en-GB"/>
              </w:rPr>
              <w:t>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vertAlign w:val="superscript"/>
                <w:lang w:eastAsia="en-GB"/>
              </w:rPr>
              <w:t>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vertAlign w:val="superscript"/>
                <w:lang w:eastAsia="en-GB"/>
              </w:rPr>
              <w:t>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vertAlign w:val="superscript"/>
                <w:lang w:eastAsia="en-GB"/>
              </w:rPr>
              <w:t>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vertAlign w:val="superscript"/>
                <w:lang w:eastAsia="en-GB"/>
              </w:rPr>
              <w:t>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vertAlign w:val="superscript"/>
                <w:lang w:eastAsia="en-GB"/>
              </w:rPr>
              <w:t>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vertAlign w:val="superscript"/>
                <w:lang w:eastAsia="en-GB"/>
              </w:rPr>
              <w:t> </w:t>
            </w:r>
          </w:p>
        </w:tc>
        <w:tc>
          <w:tcPr>
            <w:tcW w:w="4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vertAlign w:val="superscript"/>
                <w:lang w:eastAsia="en-GB"/>
              </w:rPr>
              <w:t> </w:t>
            </w:r>
          </w:p>
        </w:tc>
        <w:tc>
          <w:tcPr>
            <w:tcW w:w="2535" w:type="dxa"/>
            <w:tcMar>
              <w:top w:w="0" w:type="dxa"/>
              <w:left w:w="36" w:type="dxa"/>
              <w:bottom w:w="0" w:type="dxa"/>
              <w:right w:w="36" w:type="dxa"/>
            </w:tcMar>
            <w:vAlign w:val="bottom"/>
            <w:hideMark/>
          </w:tcPr>
          <w:p w:rsidR="00745DE5" w:rsidRPr="00745DE5" w:rsidRDefault="00745DE5" w:rsidP="00745DE5">
            <w:pPr>
              <w:spacing w:after="0" w:line="240" w:lineRule="auto"/>
              <w:jc w:val="center"/>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 30.09.12</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300"/>
        <w:gridCol w:w="695"/>
        <w:gridCol w:w="695"/>
        <w:gridCol w:w="695"/>
        <w:gridCol w:w="695"/>
        <w:gridCol w:w="695"/>
        <w:gridCol w:w="695"/>
        <w:gridCol w:w="78"/>
        <w:gridCol w:w="876"/>
        <w:gridCol w:w="935"/>
        <w:gridCol w:w="775"/>
      </w:tblGrid>
      <w:tr w:rsidR="00745DE5" w:rsidRPr="00745DE5" w:rsidTr="00745DE5">
        <w:trPr>
          <w:trHeight w:val="802"/>
        </w:trPr>
        <w:tc>
          <w:tcPr>
            <w:tcW w:w="261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30.09.12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30.06.12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31.12.11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30.09.12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30.06.12 </w:t>
            </w:r>
          </w:p>
        </w:tc>
        <w:tc>
          <w:tcPr>
            <w:tcW w:w="630"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As at 31.12.11 </w:t>
            </w:r>
          </w:p>
        </w:tc>
        <w:tc>
          <w:tcPr>
            <w:tcW w:w="4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Fair Value (Losses)/ Gains and Net Funding</w:t>
            </w:r>
          </w:p>
        </w:tc>
        <w:tc>
          <w:tcPr>
            <w:tcW w:w="870"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Impairment (Charge)/ Release</w:t>
            </w:r>
          </w:p>
        </w:tc>
        <w:tc>
          <w:tcPr>
            <w:tcW w:w="615" w:type="dxa"/>
            <w:tcBorders>
              <w:top w:val="single" w:sz="8" w:space="0" w:color="969696"/>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Total (Losses)/ Gains</w:t>
            </w:r>
            <w:r w:rsidRPr="00745DE5">
              <w:rPr>
                <w:rFonts w:ascii="Arial" w:eastAsia="Times New Roman" w:hAnsi="Arial" w:cs="Arial"/>
                <w:sz w:val="16"/>
                <w:szCs w:val="16"/>
                <w:vertAlign w:val="superscript"/>
                <w:lang w:eastAsia="en-GB"/>
              </w:rPr>
              <w:t xml:space="preserve"> </w:t>
            </w:r>
          </w:p>
        </w:tc>
      </w:tr>
      <w:tr w:rsidR="00745DE5" w:rsidRPr="00745DE5" w:rsidTr="00745DE5">
        <w:trPr>
          <w:trHeight w:val="240"/>
        </w:trPr>
        <w:tc>
          <w:tcPr>
            <w:tcW w:w="261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US Residential Mortgages</w:t>
            </w:r>
            <w:r w:rsidRPr="00745DE5">
              <w:rPr>
                <w:rFonts w:ascii="Arial" w:eastAsia="Times New Roman" w:hAnsi="Arial" w:cs="Arial"/>
                <w:sz w:val="16"/>
                <w:szCs w:val="16"/>
                <w:vertAlign w:val="superscript"/>
                <w:lang w:eastAsia="en-GB"/>
              </w:rPr>
              <w:t xml:space="preserve">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£m</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 </w:t>
            </w:r>
          </w:p>
        </w:tc>
      </w:tr>
      <w:tr w:rsidR="00745DE5" w:rsidRPr="00745DE5" w:rsidTr="00745DE5">
        <w:trPr>
          <w:trHeight w:val="240"/>
        </w:trPr>
        <w:tc>
          <w:tcPr>
            <w:tcW w:w="261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ABS CDO Super Senior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2,479 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2,535 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2,844 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1,536 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1,615 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1,842 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(24)</w:t>
            </w:r>
          </w:p>
        </w:tc>
        <w:tc>
          <w:tcPr>
            <w:tcW w:w="87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(129)</w:t>
            </w:r>
          </w:p>
        </w:tc>
        <w:tc>
          <w:tcPr>
            <w:tcW w:w="6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(153) </w:t>
            </w:r>
          </w:p>
        </w:tc>
      </w:tr>
      <w:tr w:rsidR="00745DE5" w:rsidRPr="00745DE5" w:rsidTr="00745DE5">
        <w:trPr>
          <w:trHeight w:val="240"/>
        </w:trPr>
        <w:tc>
          <w:tcPr>
            <w:tcW w:w="261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US sub-prime and Alt-A</w:t>
            </w:r>
            <w:r w:rsidRPr="00745DE5">
              <w:rPr>
                <w:rFonts w:ascii="Arial" w:eastAsia="Times New Roman" w:hAnsi="Arial" w:cs="Arial"/>
                <w:sz w:val="13"/>
                <w:szCs w:val="13"/>
                <w:vertAlign w:val="superscript"/>
                <w:lang w:eastAsia="en-GB"/>
              </w:rPr>
              <w:t>2 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1,296 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1,621 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2,134 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803 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1,033 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1,381 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68 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w:t>
            </w:r>
          </w:p>
        </w:tc>
        <w:tc>
          <w:tcPr>
            <w:tcW w:w="6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56  </w:t>
            </w:r>
          </w:p>
        </w:tc>
      </w:tr>
      <w:tr w:rsidR="00745DE5" w:rsidRPr="00745DE5" w:rsidTr="00745DE5">
        <w:trPr>
          <w:trHeight w:val="240"/>
        </w:trPr>
        <w:tc>
          <w:tcPr>
            <w:tcW w:w="261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261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Commercial Mortgages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480"/>
        </w:trPr>
        <w:tc>
          <w:tcPr>
            <w:tcW w:w="261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Commercial real estate loans and properties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4,553 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6,655 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8,228 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2,821 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4,240 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5,329 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78 </w:t>
            </w:r>
          </w:p>
        </w:tc>
        <w:tc>
          <w:tcPr>
            <w:tcW w:w="87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78  </w:t>
            </w:r>
          </w:p>
        </w:tc>
      </w:tr>
      <w:tr w:rsidR="00745DE5" w:rsidRPr="00745DE5" w:rsidTr="00745DE5">
        <w:trPr>
          <w:trHeight w:val="480"/>
        </w:trPr>
        <w:tc>
          <w:tcPr>
            <w:tcW w:w="261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Commercial Mortgage Backed Securities</w:t>
            </w:r>
            <w:r w:rsidRPr="00745DE5">
              <w:rPr>
                <w:rFonts w:ascii="Arial" w:eastAsia="Times New Roman" w:hAnsi="Arial" w:cs="Arial"/>
                <w:sz w:val="13"/>
                <w:szCs w:val="13"/>
                <w:vertAlign w:val="superscript"/>
                <w:lang w:eastAsia="en-GB"/>
              </w:rPr>
              <w:t>2 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489 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1,208 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1,578 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303 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770 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1,022 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135 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135  </w:t>
            </w:r>
          </w:p>
        </w:tc>
      </w:tr>
      <w:tr w:rsidR="00745DE5" w:rsidRPr="00745DE5" w:rsidTr="00745DE5">
        <w:trPr>
          <w:trHeight w:val="240"/>
        </w:trPr>
        <w:tc>
          <w:tcPr>
            <w:tcW w:w="261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roofErr w:type="spellStart"/>
            <w:r w:rsidRPr="00745DE5">
              <w:rPr>
                <w:rFonts w:ascii="Arial" w:eastAsia="Times New Roman" w:hAnsi="Arial" w:cs="Arial"/>
                <w:sz w:val="16"/>
                <w:szCs w:val="16"/>
                <w:lang w:eastAsia="en-GB"/>
              </w:rPr>
              <w:t>Monoline</w:t>
            </w:r>
            <w:proofErr w:type="spellEnd"/>
            <w:r w:rsidRPr="00745DE5">
              <w:rPr>
                <w:rFonts w:ascii="Arial" w:eastAsia="Times New Roman" w:hAnsi="Arial" w:cs="Arial"/>
                <w:sz w:val="16"/>
                <w:szCs w:val="16"/>
                <w:lang w:eastAsia="en-GB"/>
              </w:rPr>
              <w:t xml:space="preserve"> protection on CMBS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10 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14 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6 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9 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w:t>
            </w:r>
          </w:p>
        </w:tc>
      </w:tr>
      <w:tr w:rsidR="00745DE5" w:rsidRPr="00745DE5" w:rsidTr="00745DE5">
        <w:trPr>
          <w:trHeight w:val="240"/>
        </w:trPr>
        <w:tc>
          <w:tcPr>
            <w:tcW w:w="261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261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Other Credit Market </w:t>
            </w:r>
            <w:r w:rsidRPr="00745DE5">
              <w:rPr>
                <w:rFonts w:ascii="Arial" w:eastAsia="Times New Roman" w:hAnsi="Arial" w:cs="Arial"/>
                <w:b/>
                <w:bCs/>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sz w:val="16"/>
                <w:szCs w:val="16"/>
                <w:vertAlign w:val="superscript"/>
                <w:lang w:eastAsia="en-GB"/>
              </w:rPr>
              <w:t> </w:t>
            </w:r>
          </w:p>
        </w:tc>
      </w:tr>
      <w:tr w:rsidR="00745DE5" w:rsidRPr="00745DE5" w:rsidTr="00745DE5">
        <w:trPr>
          <w:trHeight w:val="240"/>
        </w:trPr>
        <w:tc>
          <w:tcPr>
            <w:tcW w:w="261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Leveraged Finance</w:t>
            </w:r>
            <w:r w:rsidRPr="00745DE5">
              <w:rPr>
                <w:rFonts w:ascii="Arial" w:eastAsia="Times New Roman" w:hAnsi="Arial" w:cs="Arial"/>
                <w:sz w:val="13"/>
                <w:szCs w:val="13"/>
                <w:vertAlign w:val="superscript"/>
                <w:lang w:eastAsia="en-GB"/>
              </w:rPr>
              <w:t>3 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6,035 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6,090 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6,278 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3,739 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3,880 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4,066 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(42)</w:t>
            </w:r>
          </w:p>
        </w:tc>
        <w:tc>
          <w:tcPr>
            <w:tcW w:w="87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7 </w:t>
            </w:r>
          </w:p>
        </w:tc>
        <w:tc>
          <w:tcPr>
            <w:tcW w:w="6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(35) </w:t>
            </w:r>
          </w:p>
        </w:tc>
      </w:tr>
      <w:tr w:rsidR="00745DE5" w:rsidRPr="00745DE5" w:rsidTr="00745DE5">
        <w:trPr>
          <w:trHeight w:val="240"/>
        </w:trPr>
        <w:tc>
          <w:tcPr>
            <w:tcW w:w="261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SIVs, SIV -</w:t>
            </w:r>
            <w:proofErr w:type="spellStart"/>
            <w:r w:rsidRPr="00745DE5">
              <w:rPr>
                <w:rFonts w:ascii="Arial" w:eastAsia="Times New Roman" w:hAnsi="Arial" w:cs="Arial"/>
                <w:sz w:val="16"/>
                <w:szCs w:val="16"/>
                <w:lang w:eastAsia="en-GB"/>
              </w:rPr>
              <w:t>Lites</w:t>
            </w:r>
            <w:proofErr w:type="spellEnd"/>
            <w:r w:rsidRPr="00745DE5">
              <w:rPr>
                <w:rFonts w:ascii="Arial" w:eastAsia="Times New Roman" w:hAnsi="Arial" w:cs="Arial"/>
                <w:sz w:val="16"/>
                <w:szCs w:val="16"/>
                <w:lang w:eastAsia="en-GB"/>
              </w:rPr>
              <w:t xml:space="preserve"> and CDPCs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9 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6 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 </w:t>
            </w:r>
          </w:p>
        </w:tc>
      </w:tr>
      <w:tr w:rsidR="00745DE5" w:rsidRPr="00745DE5" w:rsidTr="00745DE5">
        <w:trPr>
          <w:trHeight w:val="480"/>
        </w:trPr>
        <w:tc>
          <w:tcPr>
            <w:tcW w:w="261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roofErr w:type="spellStart"/>
            <w:r w:rsidRPr="00745DE5">
              <w:rPr>
                <w:rFonts w:ascii="Arial" w:eastAsia="Times New Roman" w:hAnsi="Arial" w:cs="Arial"/>
                <w:sz w:val="16"/>
                <w:szCs w:val="16"/>
                <w:lang w:eastAsia="en-GB"/>
              </w:rPr>
              <w:t>Monoline</w:t>
            </w:r>
            <w:proofErr w:type="spellEnd"/>
            <w:r w:rsidRPr="00745DE5">
              <w:rPr>
                <w:rFonts w:ascii="Arial" w:eastAsia="Times New Roman" w:hAnsi="Arial" w:cs="Arial"/>
                <w:sz w:val="16"/>
                <w:szCs w:val="16"/>
                <w:lang w:eastAsia="en-GB"/>
              </w:rPr>
              <w:t xml:space="preserve"> protection on CLO and other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1,078 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1,351 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1,729 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668 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861 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1,120 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(30)</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(30) </w:t>
            </w:r>
          </w:p>
        </w:tc>
      </w:tr>
      <w:tr w:rsidR="00745DE5" w:rsidRPr="00745DE5" w:rsidTr="00745DE5">
        <w:trPr>
          <w:trHeight w:val="240"/>
        </w:trPr>
        <w:tc>
          <w:tcPr>
            <w:tcW w:w="261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CLO and Other assets</w:t>
            </w:r>
            <w:r w:rsidRPr="00745DE5">
              <w:rPr>
                <w:rFonts w:ascii="Arial" w:eastAsia="Times New Roman" w:hAnsi="Arial" w:cs="Arial"/>
                <w:sz w:val="13"/>
                <w:szCs w:val="13"/>
                <w:vertAlign w:val="superscript"/>
                <w:lang w:eastAsia="en-GB"/>
              </w:rPr>
              <w:t>2 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210 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450 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596 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130 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287  </w:t>
            </w:r>
          </w:p>
        </w:tc>
        <w:tc>
          <w:tcPr>
            <w:tcW w:w="63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386 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52 </w:t>
            </w:r>
          </w:p>
        </w:tc>
        <w:tc>
          <w:tcPr>
            <w:tcW w:w="870"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p>
        </w:tc>
        <w:tc>
          <w:tcPr>
            <w:tcW w:w="61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52  </w:t>
            </w:r>
          </w:p>
        </w:tc>
      </w:tr>
      <w:tr w:rsidR="00745DE5" w:rsidRPr="00745DE5" w:rsidTr="00745DE5">
        <w:trPr>
          <w:trHeight w:val="240"/>
        </w:trPr>
        <w:tc>
          <w:tcPr>
            <w:tcW w:w="261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sz w:val="16"/>
                <w:szCs w:val="16"/>
                <w:vertAlign w:val="superscript"/>
                <w:lang w:eastAsia="en-GB"/>
              </w:rPr>
              <w:t> </w:t>
            </w:r>
          </w:p>
        </w:tc>
      </w:tr>
      <w:tr w:rsidR="00745DE5" w:rsidRPr="00745DE5" w:rsidTr="00745DE5">
        <w:trPr>
          <w:trHeight w:val="240"/>
        </w:trPr>
        <w:tc>
          <w:tcPr>
            <w:tcW w:w="261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Total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16,145 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19,920 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23,410 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10,003 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12,692  </w:t>
            </w:r>
          </w:p>
        </w:tc>
        <w:tc>
          <w:tcPr>
            <w:tcW w:w="63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15,161  </w:t>
            </w:r>
          </w:p>
        </w:tc>
        <w:tc>
          <w:tcPr>
            <w:tcW w:w="4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236 </w:t>
            </w:r>
          </w:p>
        </w:tc>
        <w:tc>
          <w:tcPr>
            <w:tcW w:w="87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(134)</w:t>
            </w:r>
          </w:p>
        </w:tc>
        <w:tc>
          <w:tcPr>
            <w:tcW w:w="61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102 </w:t>
            </w:r>
            <w:r w:rsidRPr="00745DE5">
              <w:rPr>
                <w:rFonts w:ascii="Arial" w:eastAsia="Times New Roman" w:hAnsi="Arial" w:cs="Arial"/>
                <w:sz w:val="16"/>
                <w:szCs w:val="16"/>
                <w:vertAlign w:val="superscript"/>
                <w:lang w:eastAsia="en-GB"/>
              </w:rPr>
              <w:t xml:space="preserve"> </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B3064B">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Barclays credit market exposures arose before the market dislocation in mid-2007 and primarily relate to commercial real estate and leveraged finance</w:t>
      </w:r>
    </w:p>
    <w:p w:rsidR="00745DE5" w:rsidRPr="00745DE5" w:rsidRDefault="00745DE5" w:rsidP="00B3064B">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During 2012, credit market exposures decreased by £5,158m to £10,003m, reflecting net sales and </w:t>
      </w:r>
      <w:proofErr w:type="spellStart"/>
      <w:r w:rsidRPr="00745DE5">
        <w:rPr>
          <w:rFonts w:ascii="Arial" w:eastAsia="Times New Roman" w:hAnsi="Arial" w:cs="Arial"/>
          <w:sz w:val="18"/>
          <w:szCs w:val="18"/>
          <w:lang w:eastAsia="en-GB"/>
        </w:rPr>
        <w:t>paydowns</w:t>
      </w:r>
      <w:proofErr w:type="spellEnd"/>
      <w:r w:rsidRPr="00745DE5">
        <w:rPr>
          <w:rFonts w:ascii="Arial" w:eastAsia="Times New Roman" w:hAnsi="Arial" w:cs="Arial"/>
          <w:sz w:val="18"/>
          <w:szCs w:val="18"/>
          <w:lang w:eastAsia="en-GB"/>
        </w:rPr>
        <w:t xml:space="preserve"> and other movements of £4,796m, foreign exchange movements of £464m, offset by net fair value gains and impairment charges of £102m. Net sales, </w:t>
      </w:r>
      <w:proofErr w:type="spellStart"/>
      <w:r w:rsidRPr="00745DE5">
        <w:rPr>
          <w:rFonts w:ascii="Arial" w:eastAsia="Times New Roman" w:hAnsi="Arial" w:cs="Arial"/>
          <w:sz w:val="18"/>
          <w:szCs w:val="18"/>
          <w:lang w:eastAsia="en-GB"/>
        </w:rPr>
        <w:t>paydowns</w:t>
      </w:r>
      <w:proofErr w:type="spellEnd"/>
      <w:r w:rsidRPr="00745DE5">
        <w:rPr>
          <w:rFonts w:ascii="Arial" w:eastAsia="Times New Roman" w:hAnsi="Arial" w:cs="Arial"/>
          <w:sz w:val="18"/>
          <w:szCs w:val="18"/>
          <w:lang w:eastAsia="en-GB"/>
        </w:rPr>
        <w:t xml:space="preserve"> and other movements of £4,796m included:</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£2,361m of commercial real estate loans and properties including sale of </w:t>
      </w:r>
      <w:proofErr w:type="spellStart"/>
      <w:r w:rsidRPr="00745DE5">
        <w:rPr>
          <w:rFonts w:ascii="Arial" w:eastAsia="Times New Roman" w:hAnsi="Arial" w:cs="Arial"/>
          <w:sz w:val="18"/>
          <w:szCs w:val="18"/>
          <w:lang w:eastAsia="en-GB"/>
        </w:rPr>
        <w:t>BauBeCon</w:t>
      </w:r>
      <w:proofErr w:type="spellEnd"/>
      <w:r w:rsidRPr="00745DE5">
        <w:rPr>
          <w:rFonts w:ascii="Arial" w:eastAsia="Times New Roman" w:hAnsi="Arial" w:cs="Arial"/>
          <w:sz w:val="18"/>
          <w:szCs w:val="18"/>
          <w:lang w:eastAsia="en-GB"/>
        </w:rPr>
        <w:t xml:space="preserve"> for £898m in August, 100% stake in </w:t>
      </w:r>
      <w:proofErr w:type="spellStart"/>
      <w:r w:rsidRPr="00745DE5">
        <w:rPr>
          <w:rFonts w:ascii="Arial" w:eastAsia="Times New Roman" w:hAnsi="Arial" w:cs="Arial"/>
          <w:sz w:val="18"/>
          <w:szCs w:val="18"/>
          <w:lang w:eastAsia="en-GB"/>
        </w:rPr>
        <w:t>Archstone</w:t>
      </w:r>
      <w:proofErr w:type="spellEnd"/>
      <w:r w:rsidRPr="00745DE5">
        <w:rPr>
          <w:rFonts w:ascii="Arial" w:eastAsia="Times New Roman" w:hAnsi="Arial" w:cs="Arial"/>
          <w:sz w:val="18"/>
          <w:szCs w:val="18"/>
          <w:lang w:eastAsia="en-GB"/>
        </w:rPr>
        <w:t xml:space="preserve"> for £857m ($1,338m) and sale of </w:t>
      </w:r>
      <w:proofErr w:type="spellStart"/>
      <w:r w:rsidRPr="00745DE5">
        <w:rPr>
          <w:rFonts w:ascii="Arial" w:eastAsia="Times New Roman" w:hAnsi="Arial" w:cs="Arial"/>
          <w:sz w:val="18"/>
          <w:szCs w:val="18"/>
          <w:lang w:eastAsia="en-GB"/>
        </w:rPr>
        <w:t>Calwest</w:t>
      </w:r>
      <w:proofErr w:type="spellEnd"/>
      <w:r w:rsidRPr="00745DE5">
        <w:rPr>
          <w:rFonts w:ascii="Arial" w:eastAsia="Times New Roman" w:hAnsi="Arial" w:cs="Arial"/>
          <w:sz w:val="18"/>
          <w:szCs w:val="18"/>
          <w:lang w:eastAsia="en-GB"/>
        </w:rPr>
        <w:t xml:space="preserve"> for £341m ($550m) in September</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£817m commercial mortgage-backed securities</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£582m US sub-prime and Alt-A</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xml:space="preserve">-    £366m </w:t>
      </w:r>
      <w:proofErr w:type="spellStart"/>
      <w:r w:rsidRPr="00745DE5">
        <w:rPr>
          <w:rFonts w:ascii="Arial" w:eastAsia="Times New Roman" w:hAnsi="Arial" w:cs="Arial"/>
          <w:sz w:val="18"/>
          <w:szCs w:val="18"/>
          <w:lang w:eastAsia="en-GB"/>
        </w:rPr>
        <w:t>monoline</w:t>
      </w:r>
      <w:proofErr w:type="spellEnd"/>
      <w:r w:rsidRPr="00745DE5">
        <w:rPr>
          <w:rFonts w:ascii="Arial" w:eastAsia="Times New Roman" w:hAnsi="Arial" w:cs="Arial"/>
          <w:sz w:val="18"/>
          <w:szCs w:val="18"/>
          <w:lang w:eastAsia="en-GB"/>
        </w:rPr>
        <w:t xml:space="preserve"> protection on CLO and other</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£296m CLO and Other assets</w:t>
      </w:r>
    </w:p>
    <w:p w:rsidR="00745DE5" w:rsidRPr="00745DE5" w:rsidRDefault="00745DE5" w:rsidP="00B3064B">
      <w:pPr>
        <w:spacing w:before="180" w:after="180" w:line="240" w:lineRule="auto"/>
        <w:ind w:left="568" w:hanging="284"/>
        <w:jc w:val="both"/>
        <w:rPr>
          <w:rFonts w:ascii="Arial" w:eastAsia="Times New Roman" w:hAnsi="Arial" w:cs="Arial"/>
          <w:sz w:val="18"/>
          <w:szCs w:val="18"/>
          <w:lang w:eastAsia="en-GB"/>
        </w:rPr>
      </w:pPr>
      <w:r w:rsidRPr="00745DE5">
        <w:rPr>
          <w:rFonts w:ascii="Arial" w:eastAsia="Times New Roman" w:hAnsi="Arial" w:cs="Arial"/>
          <w:sz w:val="18"/>
          <w:szCs w:val="18"/>
          <w:lang w:eastAsia="en-GB"/>
        </w:rPr>
        <w:t>-    £287m leveraged finance primarily relating to two counterparties</w:t>
      </w:r>
    </w:p>
    <w:p w:rsidR="00745DE5" w:rsidRPr="00745DE5" w:rsidRDefault="00745DE5" w:rsidP="00B3064B">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 xml:space="preserve">During Q3, credit market exposures decreased by £2,689m, reflecting net sales and </w:t>
      </w:r>
      <w:proofErr w:type="spellStart"/>
      <w:r w:rsidRPr="00745DE5">
        <w:rPr>
          <w:rFonts w:ascii="Arial" w:eastAsia="Times New Roman" w:hAnsi="Arial" w:cs="Arial"/>
          <w:sz w:val="18"/>
          <w:szCs w:val="18"/>
          <w:lang w:eastAsia="en-GB"/>
        </w:rPr>
        <w:t>paydowns</w:t>
      </w:r>
      <w:proofErr w:type="spellEnd"/>
      <w:r w:rsidRPr="00745DE5">
        <w:rPr>
          <w:rFonts w:ascii="Arial" w:eastAsia="Times New Roman" w:hAnsi="Arial" w:cs="Arial"/>
          <w:sz w:val="18"/>
          <w:szCs w:val="18"/>
          <w:lang w:eastAsia="en-GB"/>
        </w:rPr>
        <w:t xml:space="preserve"> and other movements of £2,575m, foreign exchange movements of £208m, offset by net fair value gains and impairment charges of £94m</w:t>
      </w: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lastRenderedPageBreak/>
        <w:t> </w:t>
      </w:r>
    </w:p>
    <w:p w:rsidR="00745DE5" w:rsidRPr="00745DE5" w:rsidRDefault="00745DE5" w:rsidP="00B3064B">
      <w:pPr>
        <w:spacing w:after="0" w:line="240" w:lineRule="auto"/>
        <w:ind w:left="284" w:hanging="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after="0" w:line="240" w:lineRule="auto"/>
        <w:ind w:left="284" w:hanging="284"/>
        <w:jc w:val="both"/>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B3064B">
      <w:pPr>
        <w:spacing w:before="20" w:after="20" w:line="240" w:lineRule="auto"/>
        <w:ind w:left="284" w:hanging="284"/>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1     As the majority of exposure is held in US Dollars, the exposures above are shown in both US Dollars and Sterling.</w:t>
      </w:r>
    </w:p>
    <w:p w:rsidR="00745DE5" w:rsidRPr="00745DE5" w:rsidRDefault="00745DE5" w:rsidP="00B3064B">
      <w:pPr>
        <w:spacing w:before="20" w:after="20" w:line="240" w:lineRule="auto"/>
        <w:ind w:left="284" w:hanging="284"/>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 xml:space="preserve">2     Collateral assets of £817m (31 December 2011: £2,272m) previously underlying the </w:t>
      </w:r>
      <w:proofErr w:type="spellStart"/>
      <w:r w:rsidRPr="00745DE5">
        <w:rPr>
          <w:rFonts w:ascii="Arial" w:eastAsia="Times New Roman" w:hAnsi="Arial" w:cs="Arial"/>
          <w:i/>
          <w:iCs/>
          <w:sz w:val="14"/>
          <w:szCs w:val="14"/>
          <w:lang w:eastAsia="en-GB"/>
        </w:rPr>
        <w:t>Protium</w:t>
      </w:r>
      <w:proofErr w:type="spellEnd"/>
      <w:r w:rsidRPr="00745DE5">
        <w:rPr>
          <w:rFonts w:ascii="Arial" w:eastAsia="Times New Roman" w:hAnsi="Arial" w:cs="Arial"/>
          <w:i/>
          <w:iCs/>
          <w:sz w:val="14"/>
          <w:szCs w:val="14"/>
          <w:lang w:eastAsia="en-GB"/>
        </w:rPr>
        <w:t xml:space="preserve"> loan are now included within the relevant asset classes as the assets are managed alongside similar credit market exposures. These assets comprised: US sub-prime and Alt-A £440m (31 December 2011: £965m), commercial mortgage-backed securities £247m (31 December 2011: £921m), CLO and Other assets £130m (31 December 2011: £386m).</w:t>
      </w:r>
    </w:p>
    <w:p w:rsidR="00745DE5" w:rsidRPr="00745DE5" w:rsidRDefault="00745DE5" w:rsidP="00B3064B">
      <w:pPr>
        <w:spacing w:before="20" w:line="240" w:lineRule="auto"/>
        <w:ind w:left="284" w:hanging="284"/>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3      Includes undrawn commitments of £183m (31 December 2011: £180m).</w:t>
      </w:r>
    </w:p>
    <w:p w:rsidR="00745DE5" w:rsidRPr="00745DE5" w:rsidRDefault="00745DE5" w:rsidP="00745DE5">
      <w:pPr>
        <w:spacing w:before="100" w:beforeAutospacing="1" w:after="100" w:afterAutospacing="1" w:line="240" w:lineRule="auto"/>
        <w:rPr>
          <w:rFonts w:ascii="Times New Roman" w:eastAsia="Times New Roman" w:hAnsi="Times New Roman"/>
          <w:sz w:val="24"/>
          <w:szCs w:val="24"/>
          <w:lang w:eastAsia="en-GB"/>
        </w:rPr>
      </w:pPr>
    </w:p>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after="180"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VI - Other Legal and Regulatory Matters</w:t>
      </w:r>
    </w:p>
    <w:p w:rsidR="00745DE5" w:rsidRPr="00745DE5" w:rsidRDefault="00745DE5" w:rsidP="00745DE5">
      <w:pPr>
        <w:spacing w:after="180" w:line="240" w:lineRule="auto"/>
        <w:jc w:val="both"/>
        <w:rPr>
          <w:rFonts w:ascii="Arial" w:eastAsia="Times New Roman" w:hAnsi="Arial" w:cs="Arial"/>
          <w:b/>
          <w:bCs/>
          <w:sz w:val="18"/>
          <w:szCs w:val="18"/>
          <w:lang w:eastAsia="en-GB"/>
        </w:rPr>
      </w:pPr>
      <w:r w:rsidRPr="00745DE5">
        <w:rPr>
          <w:rFonts w:ascii="Arial" w:eastAsia="Times New Roman" w:hAnsi="Arial" w:cs="Arial"/>
          <w:b/>
          <w:bCs/>
          <w:sz w:val="24"/>
          <w:szCs w:val="24"/>
          <w:lang w:eastAsia="en-GB"/>
        </w:rPr>
        <w:t>Other Legal and Regulatory Matters</w:t>
      </w:r>
    </w:p>
    <w:p w:rsidR="00745DE5" w:rsidRPr="00745DE5" w:rsidRDefault="00745DE5" w:rsidP="006A4714">
      <w:pPr>
        <w:spacing w:before="180" w:after="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Subsequent to reporting the investigations of the Financial Services Authority and Serious Fraud Office in July and August 2012 respectively, Barclays has been informed by the US Department of Justice (DOJ) and US Securities and Exchange Commission (SEC) that they are undertaking an investigation into whether the Group's relationships with third parties who assist Barclays to win or retain business are compliant with the United States Foreign Corrupt Practices Act. Barclays is investigating and fully co-operating with the DOJ and SEC </w:t>
      </w:r>
    </w:p>
    <w:p w:rsidR="00745DE5" w:rsidRPr="00745DE5" w:rsidRDefault="00745DE5" w:rsidP="006A4714">
      <w:pPr>
        <w:spacing w:before="180" w:line="240" w:lineRule="auto"/>
        <w:ind w:left="284" w:hanging="284"/>
        <w:jc w:val="both"/>
        <w:rPr>
          <w:rFonts w:ascii="Arial" w:eastAsia="Times New Roman" w:hAnsi="Arial" w:cs="Arial"/>
          <w:sz w:val="18"/>
          <w:szCs w:val="18"/>
          <w:lang w:eastAsia="en-GB"/>
        </w:rPr>
      </w:pPr>
      <w:r w:rsidRPr="00745DE5">
        <w:rPr>
          <w:rFonts w:ascii="Wingdings 2" w:eastAsia="Times New Roman" w:hAnsi="Wingdings 2" w:cs="Arial"/>
          <w:sz w:val="18"/>
          <w:szCs w:val="18"/>
          <w:lang w:eastAsia="en-GB"/>
        </w:rPr>
        <w:t></w:t>
      </w:r>
      <w:r w:rsidRPr="00745DE5">
        <w:rPr>
          <w:rFonts w:ascii="Wingdings 2" w:eastAsia="Times New Roman" w:hAnsi="Wingdings 2" w:cs="Arial"/>
          <w:sz w:val="18"/>
          <w:szCs w:val="18"/>
          <w:lang w:eastAsia="en-GB"/>
        </w:rPr>
        <w:t></w:t>
      </w:r>
      <w:r w:rsidRPr="00745DE5">
        <w:rPr>
          <w:rFonts w:ascii="Arial" w:eastAsia="Times New Roman" w:hAnsi="Arial" w:cs="Arial"/>
          <w:sz w:val="18"/>
          <w:szCs w:val="18"/>
          <w:lang w:eastAsia="en-GB"/>
        </w:rPr>
        <w:t>The United States Federal Energy Regulatory Commission (FERC) Office of Enforcement (FERC Staff) has been investigating Barclays power trading in the western US with respect to the period from late 2006 through 2008. On 25 October 2012, the FERC notified Barclays that it has authorised the issuance of a public Order to Show Cause and Notice of Proposed Penalties against Barclays in relation to this matter. The Order and Notice could be issued as early as today. Barclays intends to vigorously defend this matter</w:t>
      </w:r>
    </w:p>
    <w:p w:rsidR="00745DE5" w:rsidRDefault="00745DE5" w:rsidP="00745DE5">
      <w:pPr>
        <w:spacing w:before="100" w:beforeAutospacing="1" w:after="100" w:afterAutospacing="1" w:line="240" w:lineRule="auto"/>
        <w:rPr>
          <w:rFonts w:ascii="Arial" w:eastAsia="Times New Roman" w:hAnsi="Arial" w:cs="Arial"/>
          <w:b/>
          <w:bCs/>
          <w:sz w:val="24"/>
          <w:szCs w:val="24"/>
          <w:lang w:eastAsia="en-GB"/>
        </w:rPr>
      </w:pPr>
    </w:p>
    <w:p w:rsidR="00745DE5" w:rsidRPr="00745DE5" w:rsidRDefault="00745DE5" w:rsidP="00745DE5">
      <w:pPr>
        <w:spacing w:before="100" w:beforeAutospacing="1" w:after="100" w:afterAutospacing="1" w:line="240" w:lineRule="auto"/>
        <w:rPr>
          <w:rFonts w:ascii="Times New Roman" w:eastAsia="Times New Roman" w:hAnsi="Times New Roman"/>
          <w:b/>
          <w:bCs/>
          <w:sz w:val="24"/>
          <w:szCs w:val="24"/>
          <w:lang w:eastAsia="en-GB"/>
        </w:rPr>
      </w:pPr>
    </w:p>
    <w:p w:rsidR="00745DE5" w:rsidRPr="00745DE5" w:rsidRDefault="00745DE5" w:rsidP="00745DE5">
      <w:pPr>
        <w:spacing w:line="240" w:lineRule="auto"/>
        <w:jc w:val="both"/>
        <w:rPr>
          <w:rFonts w:ascii="Arial" w:eastAsia="Times New Roman" w:hAnsi="Arial" w:cs="Arial"/>
          <w:b/>
          <w:bCs/>
          <w:color w:val="000000"/>
          <w:sz w:val="24"/>
          <w:szCs w:val="24"/>
          <w:lang w:eastAsia="en-GB"/>
        </w:rPr>
      </w:pPr>
      <w:r w:rsidRPr="00745DE5">
        <w:rPr>
          <w:rFonts w:ascii="Arial" w:eastAsia="Times New Roman" w:hAnsi="Arial" w:cs="Arial"/>
          <w:b/>
          <w:bCs/>
          <w:color w:val="000000"/>
          <w:sz w:val="24"/>
          <w:szCs w:val="24"/>
          <w:lang w:eastAsia="en-GB"/>
        </w:rPr>
        <w:t>Appendix VII - Other Information</w:t>
      </w:r>
    </w:p>
    <w:tbl>
      <w:tblPr>
        <w:tblW w:w="0" w:type="auto"/>
        <w:tblInd w:w="-36" w:type="dxa"/>
        <w:tblCellMar>
          <w:left w:w="0" w:type="dxa"/>
          <w:right w:w="0" w:type="dxa"/>
        </w:tblCellMar>
        <w:tblLook w:val="04A0" w:firstRow="1" w:lastRow="0" w:firstColumn="1" w:lastColumn="0" w:noHBand="0" w:noVBand="1"/>
      </w:tblPr>
      <w:tblGrid>
        <w:gridCol w:w="4949"/>
        <w:gridCol w:w="1692"/>
        <w:gridCol w:w="1685"/>
        <w:gridCol w:w="808"/>
      </w:tblGrid>
      <w:tr w:rsidR="00745DE5" w:rsidRPr="00745DE5" w:rsidTr="00745DE5">
        <w:trPr>
          <w:trHeight w:val="315"/>
        </w:trPr>
        <w:tc>
          <w:tcPr>
            <w:tcW w:w="50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24"/>
                <w:szCs w:val="24"/>
                <w:lang w:eastAsia="en-GB"/>
              </w:rPr>
              <w:t>Other Information</w:t>
            </w:r>
            <w:r w:rsidRPr="00745DE5">
              <w:rPr>
                <w:rFonts w:ascii="Arial" w:eastAsia="Times New Roman" w:hAnsi="Arial" w:cs="Arial"/>
                <w:sz w:val="16"/>
                <w:szCs w:val="16"/>
                <w:vertAlign w:val="superscript"/>
                <w:lang w:eastAsia="en-GB"/>
              </w:rPr>
              <w:t xml:space="preserve">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2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72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Results Timetable</w:t>
            </w:r>
            <w:r w:rsidRPr="00745DE5">
              <w:rPr>
                <w:rFonts w:ascii="Arial" w:eastAsia="Times New Roman" w:hAnsi="Arial" w:cs="Arial"/>
                <w:sz w:val="16"/>
                <w:szCs w:val="16"/>
                <w:vertAlign w:val="superscript"/>
                <w:lang w:eastAsia="en-GB"/>
              </w:rPr>
              <w:t>1 </w:t>
            </w:r>
          </w:p>
        </w:tc>
        <w:tc>
          <w:tcPr>
            <w:tcW w:w="172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Date</w:t>
            </w:r>
          </w:p>
        </w:tc>
        <w:tc>
          <w:tcPr>
            <w:tcW w:w="172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903"/>
        <w:gridCol w:w="1693"/>
        <w:gridCol w:w="2538"/>
      </w:tblGrid>
      <w:tr w:rsidR="00745DE5" w:rsidRPr="00745DE5" w:rsidTr="00745DE5">
        <w:trPr>
          <w:trHeight w:val="240"/>
        </w:trPr>
        <w:tc>
          <w:tcPr>
            <w:tcW w:w="5040"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Ex-dividend date </w:t>
            </w:r>
          </w:p>
        </w:tc>
        <w:tc>
          <w:tcPr>
            <w:tcW w:w="172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7 November 2012</w:t>
            </w:r>
          </w:p>
        </w:tc>
        <w:tc>
          <w:tcPr>
            <w:tcW w:w="2625" w:type="dxa"/>
            <w:tcBorders>
              <w:top w:val="single" w:sz="8" w:space="0" w:color="969696"/>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Dividend Record date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9 November 2012</w:t>
            </w:r>
          </w:p>
        </w:tc>
        <w:tc>
          <w:tcPr>
            <w:tcW w:w="26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Dividend Payment date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7 December 2012</w:t>
            </w:r>
          </w:p>
        </w:tc>
        <w:tc>
          <w:tcPr>
            <w:tcW w:w="26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2012 Full Year Results Announcement and 2013 Investor Seminar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12 February 2013</w:t>
            </w:r>
          </w:p>
        </w:tc>
        <w:tc>
          <w:tcPr>
            <w:tcW w:w="26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871"/>
        <w:gridCol w:w="1686"/>
        <w:gridCol w:w="1754"/>
        <w:gridCol w:w="823"/>
      </w:tblGrid>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Q1 2013 Interim Management Statement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24 April 2013</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b/>
                <w:bCs/>
                <w:sz w:val="13"/>
                <w:szCs w:val="13"/>
                <w:vertAlign w:val="superscript"/>
                <w:lang w:eastAsia="en-GB"/>
              </w:rPr>
              <w:t>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17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Nine Months Ended</w:t>
            </w:r>
          </w:p>
        </w:tc>
        <w:tc>
          <w:tcPr>
            <w:tcW w:w="17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Nine Months Ended </w:t>
            </w:r>
          </w:p>
        </w:tc>
        <w:tc>
          <w:tcPr>
            <w:tcW w:w="825" w:type="dxa"/>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Change</w:t>
            </w:r>
            <w:r w:rsidRPr="00745DE5">
              <w:rPr>
                <w:rFonts w:ascii="Arial" w:eastAsia="Times New Roman" w:hAnsi="Arial" w:cs="Arial"/>
                <w:sz w:val="16"/>
                <w:szCs w:val="16"/>
                <w:vertAlign w:val="superscript"/>
                <w:lang w:eastAsia="en-GB"/>
              </w:rPr>
              <w:t xml:space="preserve"> </w:t>
            </w:r>
          </w:p>
        </w:tc>
      </w:tr>
      <w:tr w:rsidR="00745DE5" w:rsidRPr="00745DE5" w:rsidTr="00745DE5">
        <w:trPr>
          <w:trHeight w:val="240"/>
        </w:trPr>
        <w:tc>
          <w:tcPr>
            <w:tcW w:w="50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Exchange Rates</w:t>
            </w:r>
            <w:r w:rsidRPr="00745DE5">
              <w:rPr>
                <w:rFonts w:ascii="Arial" w:eastAsia="Times New Roman" w:hAnsi="Arial" w:cs="Arial"/>
                <w:b/>
                <w:bCs/>
                <w:sz w:val="13"/>
                <w:szCs w:val="13"/>
                <w:vertAlign w:val="superscript"/>
                <w:lang w:eastAsia="en-GB"/>
              </w:rPr>
              <w:t>2 </w:t>
            </w:r>
          </w:p>
        </w:tc>
        <w:tc>
          <w:tcPr>
            <w:tcW w:w="17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30.09.11 </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30.09.11</w:t>
            </w:r>
            <w:r w:rsidRPr="00745DE5">
              <w:rPr>
                <w:rFonts w:ascii="Arial" w:eastAsia="Times New Roman" w:hAnsi="Arial" w:cs="Arial"/>
                <w:sz w:val="16"/>
                <w:szCs w:val="16"/>
                <w:vertAlign w:val="superscript"/>
                <w:lang w:eastAsia="en-GB"/>
              </w:rPr>
              <w:t>3 </w:t>
            </w:r>
          </w:p>
        </w:tc>
      </w:tr>
      <w:tr w:rsidR="00745DE5" w:rsidRPr="00745DE5" w:rsidTr="00745DE5">
        <w:trPr>
          <w:trHeight w:val="240"/>
        </w:trPr>
        <w:tc>
          <w:tcPr>
            <w:tcW w:w="50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Period end - US$/£ </w:t>
            </w:r>
          </w:p>
        </w:tc>
        <w:tc>
          <w:tcPr>
            <w:tcW w:w="17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1.61 </w:t>
            </w:r>
          </w:p>
        </w:tc>
        <w:tc>
          <w:tcPr>
            <w:tcW w:w="17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1.56 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Average - US$/£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1.58 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1.62 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3%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Period end - €/£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1.25 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1.16 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(7%)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Average - €/£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1.23 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1.15 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(7%)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Period end - ZAR/£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13.33 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12.58 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(6%)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Average - ZAR/£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12.69 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11.23 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(12%)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Share Price Data </w:t>
            </w:r>
          </w:p>
        </w:tc>
        <w:tc>
          <w:tcPr>
            <w:tcW w:w="17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30.09.12</w:t>
            </w:r>
          </w:p>
        </w:tc>
        <w:tc>
          <w:tcPr>
            <w:tcW w:w="17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30.09.11 </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sz w:val="16"/>
                <w:szCs w:val="16"/>
                <w:vertAlign w:val="superscript"/>
                <w:lang w:eastAsia="en-GB"/>
              </w:rPr>
              <w:t> </w:t>
            </w:r>
          </w:p>
        </w:tc>
      </w:tr>
      <w:tr w:rsidR="00745DE5" w:rsidRPr="00745DE5" w:rsidTr="00745DE5">
        <w:trPr>
          <w:trHeight w:val="240"/>
        </w:trPr>
        <w:tc>
          <w:tcPr>
            <w:tcW w:w="5040"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Barclays PLC (p) </w:t>
            </w:r>
          </w:p>
        </w:tc>
        <w:tc>
          <w:tcPr>
            <w:tcW w:w="17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214.85 </w:t>
            </w:r>
          </w:p>
        </w:tc>
        <w:tc>
          <w:tcPr>
            <w:tcW w:w="17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161.35  </w:t>
            </w:r>
          </w:p>
        </w:tc>
        <w:tc>
          <w:tcPr>
            <w:tcW w:w="825" w:type="dxa"/>
            <w:tcBorders>
              <w:top w:val="nil"/>
              <w:left w:val="nil"/>
              <w:bottom w:val="nil"/>
              <w:right w:val="nil"/>
            </w:tcBorders>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Absa Group Limited (ZAR)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138.50 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134.34 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jc w:val="right"/>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For Further Information Please Contact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b/>
                <w:bCs/>
                <w:sz w:val="2"/>
                <w:szCs w:val="2"/>
                <w:lang w:eastAsia="en-GB"/>
              </w:rPr>
            </w:pP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5040"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xml:space="preserve">Investor Relations </w:t>
            </w:r>
          </w:p>
        </w:tc>
        <w:tc>
          <w:tcPr>
            <w:tcW w:w="17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Media Relations</w:t>
            </w:r>
          </w:p>
        </w:tc>
        <w:tc>
          <w:tcPr>
            <w:tcW w:w="17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b/>
                <w:bCs/>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b/>
                <w:bCs/>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b/>
                <w:bCs/>
                <w:sz w:val="16"/>
                <w:szCs w:val="16"/>
                <w:lang w:eastAsia="en-GB"/>
              </w:rPr>
              <w:t> </w:t>
            </w:r>
            <w:r w:rsidRPr="00745DE5">
              <w:rPr>
                <w:rFonts w:ascii="Arial" w:eastAsia="Times New Roman" w:hAnsi="Arial" w:cs="Arial"/>
                <w:sz w:val="16"/>
                <w:szCs w:val="16"/>
                <w:vertAlign w:val="superscript"/>
                <w:lang w:eastAsia="en-GB"/>
              </w:rPr>
              <w:t> </w:t>
            </w:r>
          </w:p>
        </w:tc>
      </w:tr>
      <w:tr w:rsidR="00745DE5" w:rsidRPr="00745DE5" w:rsidTr="00745DE5">
        <w:trPr>
          <w:trHeight w:val="240"/>
        </w:trPr>
        <w:tc>
          <w:tcPr>
            <w:tcW w:w="5040"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lastRenderedPageBreak/>
              <w:t xml:space="preserve">Charlie </w:t>
            </w:r>
            <w:proofErr w:type="spellStart"/>
            <w:r w:rsidRPr="00745DE5">
              <w:rPr>
                <w:rFonts w:ascii="Arial" w:eastAsia="Times New Roman" w:hAnsi="Arial" w:cs="Arial"/>
                <w:sz w:val="16"/>
                <w:szCs w:val="16"/>
                <w:lang w:eastAsia="en-GB"/>
              </w:rPr>
              <w:t>Rozes</w:t>
            </w:r>
            <w:proofErr w:type="spellEnd"/>
            <w:r w:rsidRPr="00745DE5">
              <w:rPr>
                <w:rFonts w:ascii="Arial" w:eastAsia="Times New Roman" w:hAnsi="Arial" w:cs="Arial"/>
                <w:sz w:val="16"/>
                <w:szCs w:val="16"/>
                <w:lang w:eastAsia="en-GB"/>
              </w:rPr>
              <w:t xml:space="preserve"> +44 (0) 20 7116 5752 </w:t>
            </w:r>
          </w:p>
        </w:tc>
        <w:tc>
          <w:tcPr>
            <w:tcW w:w="3525" w:type="dxa"/>
            <w:gridSpan w:val="2"/>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Giles </w:t>
            </w:r>
            <w:proofErr w:type="spellStart"/>
            <w:r w:rsidRPr="00745DE5">
              <w:rPr>
                <w:rFonts w:ascii="Arial" w:eastAsia="Times New Roman" w:hAnsi="Arial" w:cs="Arial"/>
                <w:sz w:val="16"/>
                <w:szCs w:val="16"/>
                <w:lang w:eastAsia="en-GB"/>
              </w:rPr>
              <w:t>Croot</w:t>
            </w:r>
            <w:proofErr w:type="spellEnd"/>
            <w:r w:rsidRPr="00745DE5">
              <w:rPr>
                <w:rFonts w:ascii="Arial" w:eastAsia="Times New Roman" w:hAnsi="Arial" w:cs="Arial"/>
                <w:sz w:val="16"/>
                <w:szCs w:val="16"/>
                <w:lang w:eastAsia="en-GB"/>
              </w:rPr>
              <w:t xml:space="preserve"> +44 (0) 20 7116 6132 </w:t>
            </w:r>
          </w:p>
        </w:tc>
        <w:tc>
          <w:tcPr>
            <w:tcW w:w="825" w:type="dxa"/>
            <w:tcBorders>
              <w:top w:val="nil"/>
              <w:left w:val="nil"/>
              <w:bottom w:val="nil"/>
              <w:right w:val="nil"/>
            </w:tcBorders>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bl>
    <w:p w:rsidR="00745DE5" w:rsidRPr="00745DE5" w:rsidRDefault="00745DE5" w:rsidP="00745DE5">
      <w:pPr>
        <w:spacing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861"/>
        <w:gridCol w:w="1665"/>
        <w:gridCol w:w="1812"/>
        <w:gridCol w:w="796"/>
      </w:tblGrid>
      <w:tr w:rsidR="00745DE5" w:rsidRPr="00745DE5" w:rsidTr="00745DE5">
        <w:trPr>
          <w:trHeight w:val="240"/>
        </w:trPr>
        <w:tc>
          <w:tcPr>
            <w:tcW w:w="5040"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p>
        </w:tc>
        <w:tc>
          <w:tcPr>
            <w:tcW w:w="17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r w:rsidR="00745DE5" w:rsidRPr="00745DE5" w:rsidTr="00745DE5">
        <w:trPr>
          <w:trHeight w:val="240"/>
        </w:trPr>
        <w:tc>
          <w:tcPr>
            <w:tcW w:w="8640" w:type="dxa"/>
            <w:gridSpan w:val="3"/>
            <w:tcMar>
              <w:top w:w="0" w:type="dxa"/>
              <w:left w:w="36" w:type="dxa"/>
              <w:bottom w:w="0" w:type="dxa"/>
              <w:right w:w="36" w:type="dxa"/>
            </w:tcMar>
            <w:vAlign w:val="bottom"/>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xml:space="preserve">More information on Barclays can be found on our website: www.barclays.com </w:t>
            </w:r>
          </w:p>
        </w:tc>
        <w:tc>
          <w:tcPr>
            <w:tcW w:w="825" w:type="dxa"/>
            <w:tcMar>
              <w:top w:w="0" w:type="dxa"/>
              <w:left w:w="36" w:type="dxa"/>
              <w:bottom w:w="0" w:type="dxa"/>
              <w:right w:w="36" w:type="dxa"/>
            </w:tcMar>
            <w:vAlign w:val="center"/>
            <w:hideMark/>
          </w:tcPr>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16"/>
                <w:szCs w:val="16"/>
                <w:lang w:eastAsia="en-GB"/>
              </w:rPr>
              <w:t> </w:t>
            </w:r>
            <w:r w:rsidRPr="00745DE5">
              <w:rPr>
                <w:rFonts w:ascii="Arial" w:eastAsia="Times New Roman" w:hAnsi="Arial" w:cs="Arial"/>
                <w:sz w:val="13"/>
                <w:szCs w:val="13"/>
                <w:vertAlign w:val="superscript"/>
                <w:lang w:eastAsia="en-GB"/>
              </w:rPr>
              <w:t> </w:t>
            </w:r>
          </w:p>
        </w:tc>
      </w:tr>
    </w:tbl>
    <w:p w:rsidR="00745DE5" w:rsidRPr="00745DE5" w:rsidRDefault="00745DE5" w:rsidP="00745DE5">
      <w:pPr>
        <w:spacing w:after="0" w:line="240" w:lineRule="auto"/>
        <w:rPr>
          <w:rFonts w:ascii="Arial" w:eastAsia="Times New Roman" w:hAnsi="Arial" w:cs="Arial"/>
          <w:sz w:val="2"/>
          <w:szCs w:val="2"/>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745DE5" w:rsidP="00745DE5">
      <w:pPr>
        <w:spacing w:after="0" w:line="240" w:lineRule="auto"/>
        <w:rPr>
          <w:rFonts w:ascii="Arial" w:eastAsia="Times New Roman" w:hAnsi="Arial" w:cs="Arial"/>
          <w:sz w:val="18"/>
          <w:szCs w:val="18"/>
          <w:lang w:eastAsia="en-GB"/>
        </w:rPr>
      </w:pPr>
      <w:r w:rsidRPr="00745DE5">
        <w:rPr>
          <w:rFonts w:ascii="Arial" w:eastAsia="Times New Roman" w:hAnsi="Arial" w:cs="Arial"/>
          <w:sz w:val="2"/>
          <w:szCs w:val="2"/>
          <w:lang w:eastAsia="en-GB"/>
        </w:rPr>
        <w:t> </w:t>
      </w:r>
    </w:p>
    <w:p w:rsidR="00745DE5" w:rsidRPr="00745DE5" w:rsidRDefault="006A4714" w:rsidP="006A4714">
      <w:pPr>
        <w:tabs>
          <w:tab w:val="left" w:pos="284"/>
        </w:tabs>
        <w:spacing w:before="20" w:after="20" w:line="240" w:lineRule="auto"/>
        <w:ind w:left="284" w:hanging="284"/>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1    </w:t>
      </w:r>
      <w:r w:rsidR="00745DE5" w:rsidRPr="00745DE5">
        <w:rPr>
          <w:rFonts w:ascii="Arial" w:eastAsia="Times New Roman" w:hAnsi="Arial" w:cs="Arial"/>
          <w:i/>
          <w:iCs/>
          <w:sz w:val="14"/>
          <w:szCs w:val="14"/>
          <w:lang w:eastAsia="en-GB"/>
        </w:rPr>
        <w:t>Note that these announcement dates are provisional and subject to change.</w:t>
      </w:r>
    </w:p>
    <w:p w:rsidR="00745DE5" w:rsidRPr="00745DE5" w:rsidRDefault="00745DE5" w:rsidP="006A4714">
      <w:pPr>
        <w:tabs>
          <w:tab w:val="left" w:pos="284"/>
        </w:tabs>
        <w:spacing w:before="20" w:after="20" w:line="240" w:lineRule="auto"/>
        <w:ind w:left="284" w:hanging="284"/>
        <w:jc w:val="both"/>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 xml:space="preserve">2     The average rates shown above are derived from daily spot rates during the year used to convert foreign currency transactions into Sterling </w:t>
      </w:r>
      <w:r w:rsidR="006A4714">
        <w:rPr>
          <w:rFonts w:ascii="Arial" w:eastAsia="Times New Roman" w:hAnsi="Arial" w:cs="Arial"/>
          <w:i/>
          <w:iCs/>
          <w:sz w:val="14"/>
          <w:szCs w:val="14"/>
          <w:lang w:eastAsia="en-GB"/>
        </w:rPr>
        <w:t xml:space="preserve"> </w:t>
      </w:r>
      <w:r w:rsidRPr="00745DE5">
        <w:rPr>
          <w:rFonts w:ascii="Arial" w:eastAsia="Times New Roman" w:hAnsi="Arial" w:cs="Arial"/>
          <w:i/>
          <w:iCs/>
          <w:sz w:val="14"/>
          <w:szCs w:val="14"/>
          <w:lang w:eastAsia="en-GB"/>
        </w:rPr>
        <w:t xml:space="preserve">for accounting    purposes.  </w:t>
      </w:r>
    </w:p>
    <w:p w:rsidR="00745DE5" w:rsidRPr="00745DE5" w:rsidRDefault="00745DE5" w:rsidP="006A4714">
      <w:pPr>
        <w:tabs>
          <w:tab w:val="left" w:pos="284"/>
        </w:tabs>
        <w:spacing w:before="20" w:line="240" w:lineRule="auto"/>
        <w:ind w:left="284" w:hanging="284"/>
        <w:jc w:val="both"/>
        <w:rPr>
          <w:rFonts w:ascii="Arial" w:eastAsia="Times New Roman" w:hAnsi="Arial" w:cs="Arial"/>
          <w:i/>
          <w:iCs/>
          <w:sz w:val="14"/>
          <w:szCs w:val="14"/>
          <w:lang w:eastAsia="en-GB"/>
        </w:rPr>
      </w:pPr>
      <w:r w:rsidRPr="00745DE5">
        <w:rPr>
          <w:rFonts w:ascii="Arial" w:eastAsia="Times New Roman" w:hAnsi="Arial" w:cs="Arial"/>
          <w:i/>
          <w:iCs/>
          <w:sz w:val="14"/>
          <w:szCs w:val="14"/>
          <w:lang w:eastAsia="en-GB"/>
        </w:rPr>
        <w:t>3     The change represents the percentage change in the sterling value of the relevant foreign currency on the basis of the exchange rates disclosed.  The change in exchange rates affects the amounts of foreign currency balances and transactions reported in the interim management statement.</w:t>
      </w:r>
    </w:p>
    <w:sectPr w:rsidR="00745DE5" w:rsidRPr="00745D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9172A"/>
    <w:multiLevelType w:val="hybridMultilevel"/>
    <w:tmpl w:val="31FA8ADA"/>
    <w:lvl w:ilvl="0" w:tplc="92E2902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DE5"/>
    <w:rsid w:val="00280534"/>
    <w:rsid w:val="002E19B7"/>
    <w:rsid w:val="006A4714"/>
    <w:rsid w:val="00745DE5"/>
    <w:rsid w:val="00B3064B"/>
    <w:rsid w:val="00F72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w">
    <w:name w:val="bew"/>
    <w:rsid w:val="00745DE5"/>
    <w:rPr>
      <w:rFonts w:ascii="Arial" w:hAnsi="Arial" w:cs="Arial" w:hint="default"/>
      <w:sz w:val="2"/>
      <w:szCs w:val="2"/>
    </w:rPr>
  </w:style>
  <w:style w:type="character" w:customStyle="1" w:styleId="bev">
    <w:name w:val="bev"/>
    <w:rsid w:val="00745DE5"/>
    <w:rPr>
      <w:color w:val="auto"/>
    </w:rPr>
  </w:style>
  <w:style w:type="character" w:customStyle="1" w:styleId="bem">
    <w:name w:val="bem"/>
    <w:rsid w:val="00745DE5"/>
    <w:rPr>
      <w:rFonts w:ascii="Wingdings 2" w:hAnsi="Wingdings 2" w:hint="default"/>
    </w:rPr>
  </w:style>
  <w:style w:type="character" w:customStyle="1" w:styleId="bel">
    <w:name w:val="bel"/>
    <w:rsid w:val="00745DE5"/>
    <w:rPr>
      <w:sz w:val="18"/>
      <w:szCs w:val="18"/>
    </w:rPr>
  </w:style>
  <w:style w:type="character" w:customStyle="1" w:styleId="beg">
    <w:name w:val="beg"/>
    <w:rsid w:val="00745DE5"/>
    <w:rPr>
      <w:sz w:val="16"/>
      <w:szCs w:val="16"/>
    </w:rPr>
  </w:style>
  <w:style w:type="character" w:customStyle="1" w:styleId="bee">
    <w:name w:val="bee"/>
    <w:rsid w:val="00745DE5"/>
    <w:rPr>
      <w:strike w:val="0"/>
      <w:dstrike w:val="0"/>
      <w:color w:val="auto"/>
      <w:sz w:val="16"/>
      <w:szCs w:val="16"/>
      <w:u w:val="none"/>
      <w:effect w:val="none"/>
    </w:rPr>
  </w:style>
  <w:style w:type="character" w:customStyle="1" w:styleId="bed">
    <w:name w:val="bed"/>
    <w:rsid w:val="00745DE5"/>
    <w:rPr>
      <w:sz w:val="16"/>
      <w:szCs w:val="16"/>
    </w:rPr>
  </w:style>
  <w:style w:type="character" w:customStyle="1" w:styleId="beb">
    <w:name w:val="beb"/>
    <w:rsid w:val="00745DE5"/>
    <w:rPr>
      <w:b w:val="0"/>
      <w:bCs w:val="0"/>
      <w:color w:val="auto"/>
      <w:sz w:val="18"/>
      <w:szCs w:val="18"/>
    </w:rPr>
  </w:style>
  <w:style w:type="character" w:customStyle="1" w:styleId="bdu">
    <w:name w:val="bdu"/>
    <w:rsid w:val="00745DE5"/>
    <w:rPr>
      <w:rFonts w:ascii="Arial" w:hAnsi="Arial" w:cs="Arial" w:hint="default"/>
      <w:color w:val="000000"/>
      <w:sz w:val="24"/>
      <w:szCs w:val="24"/>
    </w:rPr>
  </w:style>
  <w:style w:type="character" w:customStyle="1" w:styleId="bdt">
    <w:name w:val="bdt"/>
    <w:rsid w:val="00745DE5"/>
    <w:rPr>
      <w:sz w:val="20"/>
      <w:szCs w:val="20"/>
    </w:rPr>
  </w:style>
  <w:style w:type="character" w:customStyle="1" w:styleId="bcj">
    <w:name w:val="bcj"/>
    <w:rsid w:val="00745DE5"/>
    <w:rPr>
      <w:sz w:val="14"/>
      <w:szCs w:val="14"/>
    </w:rPr>
  </w:style>
  <w:style w:type="character" w:customStyle="1" w:styleId="bci">
    <w:name w:val="bci"/>
    <w:rsid w:val="00745DE5"/>
    <w:rPr>
      <w:sz w:val="2"/>
      <w:szCs w:val="2"/>
    </w:rPr>
  </w:style>
  <w:style w:type="character" w:customStyle="1" w:styleId="bch">
    <w:name w:val="bch"/>
    <w:rsid w:val="00745DE5"/>
    <w:rPr>
      <w:rFonts w:ascii="Arial" w:hAnsi="Arial" w:cs="Arial" w:hint="default"/>
      <w:sz w:val="14"/>
      <w:szCs w:val="14"/>
    </w:rPr>
  </w:style>
  <w:style w:type="character" w:customStyle="1" w:styleId="baq">
    <w:name w:val="baq"/>
    <w:rsid w:val="00745DE5"/>
    <w:rPr>
      <w:sz w:val="24"/>
      <w:szCs w:val="24"/>
    </w:rPr>
  </w:style>
  <w:style w:type="character" w:customStyle="1" w:styleId="bao">
    <w:name w:val="bao"/>
    <w:rsid w:val="00745DE5"/>
    <w:rPr>
      <w:rFonts w:ascii="Arial" w:hAnsi="Arial" w:cs="Arial" w:hint="default"/>
    </w:rPr>
  </w:style>
  <w:style w:type="character" w:customStyle="1" w:styleId="azp">
    <w:name w:val="azp"/>
    <w:rsid w:val="00745DE5"/>
    <w:rPr>
      <w:rFonts w:ascii="Arial" w:hAnsi="Arial" w:cs="Arial" w:hint="default"/>
      <w:sz w:val="18"/>
      <w:szCs w:val="18"/>
    </w:rPr>
  </w:style>
  <w:style w:type="character" w:customStyle="1" w:styleId="azm">
    <w:name w:val="azm"/>
    <w:rsid w:val="00745DE5"/>
    <w:rPr>
      <w:rFonts w:ascii="Arial" w:hAnsi="Arial" w:cs="Arial" w:hint="default"/>
      <w:sz w:val="20"/>
      <w:szCs w:val="20"/>
    </w:rPr>
  </w:style>
  <w:style w:type="character" w:customStyle="1" w:styleId="ayk">
    <w:name w:val="ayk"/>
    <w:rsid w:val="00745DE5"/>
    <w:rPr>
      <w:rFonts w:ascii="Symbol" w:hAnsi="Symbol" w:hint="default"/>
    </w:rPr>
  </w:style>
  <w:style w:type="character" w:customStyle="1" w:styleId="ayi">
    <w:name w:val="ayi"/>
    <w:rsid w:val="00745DE5"/>
    <w:rPr>
      <w:rFonts w:ascii="Arial" w:hAnsi="Arial" w:cs="Arial" w:hint="default"/>
      <w:sz w:val="20"/>
      <w:szCs w:val="20"/>
    </w:rPr>
  </w:style>
  <w:style w:type="character" w:customStyle="1" w:styleId="axk">
    <w:name w:val="axk"/>
    <w:rsid w:val="00745DE5"/>
    <w:rPr>
      <w:color w:val="000000"/>
      <w:sz w:val="24"/>
      <w:szCs w:val="24"/>
    </w:rPr>
  </w:style>
  <w:style w:type="character" w:customStyle="1" w:styleId="auy">
    <w:name w:val="auy"/>
    <w:rsid w:val="00745DE5"/>
    <w:rPr>
      <w:rFonts w:ascii="Calibri" w:hAnsi="Calibri" w:cs="Calibri" w:hint="default"/>
      <w:sz w:val="22"/>
      <w:szCs w:val="22"/>
    </w:rPr>
  </w:style>
  <w:style w:type="character" w:customStyle="1" w:styleId="asv">
    <w:name w:val="asv"/>
    <w:rsid w:val="00745DE5"/>
    <w:rPr>
      <w:sz w:val="14"/>
      <w:szCs w:val="14"/>
    </w:rPr>
  </w:style>
  <w:style w:type="character" w:customStyle="1" w:styleId="aqn">
    <w:name w:val="aqn"/>
    <w:rsid w:val="00745DE5"/>
    <w:rPr>
      <w:sz w:val="2"/>
      <w:szCs w:val="2"/>
    </w:rPr>
  </w:style>
  <w:style w:type="character" w:customStyle="1" w:styleId="aqk">
    <w:name w:val="aqk"/>
    <w:rsid w:val="00745DE5"/>
    <w:rPr>
      <w:color w:val="auto"/>
      <w:sz w:val="16"/>
      <w:szCs w:val="16"/>
    </w:rPr>
  </w:style>
  <w:style w:type="character" w:customStyle="1" w:styleId="api">
    <w:name w:val="api"/>
    <w:rsid w:val="00745DE5"/>
    <w:rPr>
      <w:rFonts w:ascii="Arial" w:hAnsi="Arial" w:cs="Arial" w:hint="default"/>
      <w:sz w:val="16"/>
      <w:szCs w:val="16"/>
    </w:rPr>
  </w:style>
  <w:style w:type="character" w:customStyle="1" w:styleId="jr">
    <w:name w:val="jr"/>
    <w:rsid w:val="00745DE5"/>
    <w:rPr>
      <w:rFonts w:ascii="Arial" w:hAnsi="Arial" w:cs="Arial" w:hint="default"/>
      <w:sz w:val="24"/>
      <w:szCs w:val="24"/>
    </w:rPr>
  </w:style>
  <w:style w:type="character" w:styleId="Hyperlink">
    <w:name w:val="Hyperlink"/>
    <w:uiPriority w:val="99"/>
    <w:semiHidden/>
    <w:unhideWhenUsed/>
    <w:rsid w:val="00745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948649">
      <w:bodyDiv w:val="1"/>
      <w:marLeft w:val="0"/>
      <w:marRight w:val="0"/>
      <w:marTop w:val="0"/>
      <w:marBottom w:val="0"/>
      <w:divBdr>
        <w:top w:val="none" w:sz="0" w:space="0" w:color="auto"/>
        <w:left w:val="none" w:sz="0" w:space="0" w:color="auto"/>
        <w:bottom w:val="none" w:sz="0" w:space="0" w:color="auto"/>
        <w:right w:val="none" w:sz="0" w:space="0" w:color="auto"/>
      </w:divBdr>
      <w:divsChild>
        <w:div w:id="175266490">
          <w:marLeft w:val="1134"/>
          <w:marRight w:val="1134"/>
          <w:marTop w:val="851"/>
          <w:marBottom w:val="567"/>
          <w:divBdr>
            <w:top w:val="none" w:sz="0" w:space="0" w:color="auto"/>
            <w:left w:val="none" w:sz="0" w:space="0" w:color="auto"/>
            <w:bottom w:val="none" w:sz="0" w:space="0" w:color="auto"/>
            <w:right w:val="none" w:sz="0" w:space="0" w:color="auto"/>
          </w:divBdr>
        </w:div>
        <w:div w:id="303900733">
          <w:marLeft w:val="1134"/>
          <w:marRight w:val="1134"/>
          <w:marTop w:val="851"/>
          <w:marBottom w:val="567"/>
          <w:divBdr>
            <w:top w:val="none" w:sz="0" w:space="0" w:color="auto"/>
            <w:left w:val="none" w:sz="0" w:space="0" w:color="auto"/>
            <w:bottom w:val="none" w:sz="0" w:space="0" w:color="auto"/>
            <w:right w:val="none" w:sz="0" w:space="0" w:color="auto"/>
          </w:divBdr>
        </w:div>
        <w:div w:id="468204213">
          <w:marLeft w:val="1134"/>
          <w:marRight w:val="1134"/>
          <w:marTop w:val="851"/>
          <w:marBottom w:val="567"/>
          <w:divBdr>
            <w:top w:val="none" w:sz="0" w:space="0" w:color="auto"/>
            <w:left w:val="none" w:sz="0" w:space="0" w:color="auto"/>
            <w:bottom w:val="none" w:sz="0" w:space="0" w:color="auto"/>
            <w:right w:val="none" w:sz="0" w:space="0" w:color="auto"/>
          </w:divBdr>
        </w:div>
        <w:div w:id="516385923">
          <w:marLeft w:val="1134"/>
          <w:marRight w:val="1134"/>
          <w:marTop w:val="851"/>
          <w:marBottom w:val="567"/>
          <w:divBdr>
            <w:top w:val="none" w:sz="0" w:space="0" w:color="auto"/>
            <w:left w:val="none" w:sz="0" w:space="0" w:color="auto"/>
            <w:bottom w:val="none" w:sz="0" w:space="0" w:color="auto"/>
            <w:right w:val="none" w:sz="0" w:space="0" w:color="auto"/>
          </w:divBdr>
        </w:div>
        <w:div w:id="748307005">
          <w:marLeft w:val="1134"/>
          <w:marRight w:val="1134"/>
          <w:marTop w:val="851"/>
          <w:marBottom w:val="567"/>
          <w:divBdr>
            <w:top w:val="none" w:sz="0" w:space="0" w:color="auto"/>
            <w:left w:val="none" w:sz="0" w:space="0" w:color="auto"/>
            <w:bottom w:val="none" w:sz="0" w:space="0" w:color="auto"/>
            <w:right w:val="none" w:sz="0" w:space="0" w:color="auto"/>
          </w:divBdr>
        </w:div>
        <w:div w:id="949049261">
          <w:marLeft w:val="1134"/>
          <w:marRight w:val="1134"/>
          <w:marTop w:val="851"/>
          <w:marBottom w:val="567"/>
          <w:divBdr>
            <w:top w:val="none" w:sz="0" w:space="0" w:color="auto"/>
            <w:left w:val="none" w:sz="0" w:space="0" w:color="auto"/>
            <w:bottom w:val="none" w:sz="0" w:space="0" w:color="auto"/>
            <w:right w:val="none" w:sz="0" w:space="0" w:color="auto"/>
          </w:divBdr>
        </w:div>
        <w:div w:id="956057596">
          <w:marLeft w:val="1134"/>
          <w:marRight w:val="1134"/>
          <w:marTop w:val="851"/>
          <w:marBottom w:val="567"/>
          <w:divBdr>
            <w:top w:val="none" w:sz="0" w:space="0" w:color="auto"/>
            <w:left w:val="none" w:sz="0" w:space="0" w:color="auto"/>
            <w:bottom w:val="none" w:sz="0" w:space="0" w:color="auto"/>
            <w:right w:val="none" w:sz="0" w:space="0" w:color="auto"/>
          </w:divBdr>
        </w:div>
        <w:div w:id="1106539882">
          <w:marLeft w:val="1134"/>
          <w:marRight w:val="1134"/>
          <w:marTop w:val="851"/>
          <w:marBottom w:val="567"/>
          <w:divBdr>
            <w:top w:val="none" w:sz="0" w:space="0" w:color="auto"/>
            <w:left w:val="none" w:sz="0" w:space="0" w:color="auto"/>
            <w:bottom w:val="none" w:sz="0" w:space="0" w:color="auto"/>
            <w:right w:val="none" w:sz="0" w:space="0" w:color="auto"/>
          </w:divBdr>
        </w:div>
        <w:div w:id="1160269639">
          <w:marLeft w:val="1134"/>
          <w:marRight w:val="1134"/>
          <w:marTop w:val="851"/>
          <w:marBottom w:val="567"/>
          <w:divBdr>
            <w:top w:val="none" w:sz="0" w:space="0" w:color="auto"/>
            <w:left w:val="none" w:sz="0" w:space="0" w:color="auto"/>
            <w:bottom w:val="none" w:sz="0" w:space="0" w:color="auto"/>
            <w:right w:val="none" w:sz="0" w:space="0" w:color="auto"/>
          </w:divBdr>
        </w:div>
        <w:div w:id="1298223032">
          <w:marLeft w:val="1134"/>
          <w:marRight w:val="1134"/>
          <w:marTop w:val="851"/>
          <w:marBottom w:val="567"/>
          <w:divBdr>
            <w:top w:val="none" w:sz="0" w:space="0" w:color="auto"/>
            <w:left w:val="none" w:sz="0" w:space="0" w:color="auto"/>
            <w:bottom w:val="none" w:sz="0" w:space="0" w:color="auto"/>
            <w:right w:val="none" w:sz="0" w:space="0" w:color="auto"/>
          </w:divBdr>
          <w:divsChild>
            <w:div w:id="440497991">
              <w:marLeft w:val="0"/>
              <w:marRight w:val="0"/>
              <w:marTop w:val="0"/>
              <w:marBottom w:val="0"/>
              <w:divBdr>
                <w:top w:val="single" w:sz="8" w:space="1" w:color="969696"/>
                <w:left w:val="single" w:sz="8" w:space="1" w:color="969696"/>
                <w:bottom w:val="single" w:sz="8" w:space="13" w:color="969696"/>
                <w:right w:val="single" w:sz="8" w:space="1" w:color="969696"/>
              </w:divBdr>
            </w:div>
          </w:divsChild>
        </w:div>
        <w:div w:id="1309896310">
          <w:marLeft w:val="1134"/>
          <w:marRight w:val="1134"/>
          <w:marTop w:val="851"/>
          <w:marBottom w:val="567"/>
          <w:divBdr>
            <w:top w:val="none" w:sz="0" w:space="0" w:color="auto"/>
            <w:left w:val="none" w:sz="0" w:space="0" w:color="auto"/>
            <w:bottom w:val="none" w:sz="0" w:space="0" w:color="auto"/>
            <w:right w:val="none" w:sz="0" w:space="0" w:color="auto"/>
          </w:divBdr>
        </w:div>
        <w:div w:id="1345085187">
          <w:marLeft w:val="1134"/>
          <w:marRight w:val="1134"/>
          <w:marTop w:val="851"/>
          <w:marBottom w:val="567"/>
          <w:divBdr>
            <w:top w:val="none" w:sz="0" w:space="0" w:color="auto"/>
            <w:left w:val="none" w:sz="0" w:space="0" w:color="auto"/>
            <w:bottom w:val="none" w:sz="0" w:space="0" w:color="auto"/>
            <w:right w:val="none" w:sz="0" w:space="0" w:color="auto"/>
          </w:divBdr>
        </w:div>
        <w:div w:id="1945766307">
          <w:marLeft w:val="1134"/>
          <w:marRight w:val="1134"/>
          <w:marTop w:val="851"/>
          <w:marBottom w:val="567"/>
          <w:divBdr>
            <w:top w:val="none" w:sz="0" w:space="0" w:color="auto"/>
            <w:left w:val="none" w:sz="0" w:space="0" w:color="auto"/>
            <w:bottom w:val="none" w:sz="0" w:space="0" w:color="auto"/>
            <w:right w:val="none" w:sz="0" w:space="0" w:color="auto"/>
          </w:divBdr>
        </w:div>
        <w:div w:id="1947150460">
          <w:marLeft w:val="1134"/>
          <w:marRight w:val="1134"/>
          <w:marTop w:val="851"/>
          <w:marBottom w:val="567"/>
          <w:divBdr>
            <w:top w:val="none" w:sz="0" w:space="0" w:color="auto"/>
            <w:left w:val="none" w:sz="0" w:space="0" w:color="auto"/>
            <w:bottom w:val="none" w:sz="0" w:space="0" w:color="auto"/>
            <w:right w:val="none" w:sz="0" w:space="0" w:color="auto"/>
          </w:divBdr>
        </w:div>
        <w:div w:id="2079479061">
          <w:marLeft w:val="1134"/>
          <w:marRight w:val="1134"/>
          <w:marTop w:val="851"/>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roup.barclays.com/about-barclays/investor-rel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14834</Words>
  <Characters>84558</Characters>
  <Application>Microsoft Office Word</Application>
  <DocSecurity>4</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99194</CharactersWithSpaces>
  <SharedDoc>false</SharedDoc>
  <HLinks>
    <vt:vector size="6" baseType="variant">
      <vt:variant>
        <vt:i4>720904</vt:i4>
      </vt:variant>
      <vt:variant>
        <vt:i4>0</vt:i4>
      </vt:variant>
      <vt:variant>
        <vt:i4>0</vt:i4>
      </vt:variant>
      <vt:variant>
        <vt:i4>5</vt:i4>
      </vt:variant>
      <vt:variant>
        <vt:lpwstr>http://group.barclays.com/about-barclays/investor-relations</vt:lpwstr>
      </vt:variant>
      <vt:variant>
        <vt:lpwstr>institutional-investors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Gopi Ganth</dc:creator>
  <cp:lastModifiedBy>Marcus Richard Heyn</cp:lastModifiedBy>
  <cp:revision>2</cp:revision>
  <dcterms:created xsi:type="dcterms:W3CDTF">2012-10-31T14:12:00Z</dcterms:created>
  <dcterms:modified xsi:type="dcterms:W3CDTF">2012-10-31T14:12:00Z</dcterms:modified>
</cp:coreProperties>
</file>