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39" w:rsidRDefault="00B62539" w:rsidP="00B62539">
      <w:pPr>
        <w:pStyle w:val="HeadingLevel1-BarcRA"/>
      </w:pPr>
      <w:bookmarkStart w:id="0" w:name="_GoBack"/>
      <w:bookmarkEnd w:id="0"/>
    </w:p>
    <w:p w:rsidR="00B62539" w:rsidRDefault="00B62539" w:rsidP="00B62539">
      <w:pPr>
        <w:pStyle w:val="BodyText-BarcRA0"/>
      </w:pPr>
    </w:p>
    <w:p w:rsidR="00B62539" w:rsidRDefault="00B62539" w:rsidP="00B62539">
      <w:pPr>
        <w:pStyle w:val="BodyText-BarcRA0"/>
      </w:pPr>
    </w:p>
    <w:p w:rsidR="00B62539" w:rsidRDefault="00B62539" w:rsidP="00B62539">
      <w:pPr>
        <w:pStyle w:val="BodyText-BarcRA0"/>
      </w:pPr>
    </w:p>
    <w:p w:rsidR="00B62539" w:rsidRDefault="00B62539" w:rsidP="00B62539">
      <w:pPr>
        <w:pStyle w:val="BodyText-BarcRA0"/>
      </w:pPr>
    </w:p>
    <w:p w:rsidR="00B62539" w:rsidRDefault="00B62539" w:rsidP="00B62539">
      <w:pPr>
        <w:pStyle w:val="BodyText-BarcRA0"/>
      </w:pPr>
    </w:p>
    <w:p w:rsidR="00B62539" w:rsidRDefault="00B62539" w:rsidP="00B62539">
      <w:pPr>
        <w:pStyle w:val="BodyText-BarcRA0"/>
      </w:pPr>
    </w:p>
    <w:p w:rsidR="00B62539" w:rsidRDefault="00B62539" w:rsidP="00B62539">
      <w:pPr>
        <w:pStyle w:val="BodyText-BarcRA0"/>
      </w:pPr>
    </w:p>
    <w:p w:rsidR="00B62539" w:rsidRDefault="00B62539" w:rsidP="00B62539">
      <w:pPr>
        <w:pStyle w:val="BodyText-BarcRA0"/>
      </w:pPr>
    </w:p>
    <w:p w:rsidR="00B62539" w:rsidRDefault="00B62539" w:rsidP="00B62539">
      <w:pPr>
        <w:pStyle w:val="DocumentTitle-BarcRA"/>
      </w:pPr>
    </w:p>
    <w:p w:rsidR="00B62539" w:rsidRDefault="00B62539" w:rsidP="00B62539">
      <w:pPr>
        <w:pStyle w:val="DocumentTitle-BarcRA"/>
      </w:pPr>
    </w:p>
    <w:p w:rsidR="00B62539" w:rsidRDefault="00B62539" w:rsidP="00B62539">
      <w:pPr>
        <w:pStyle w:val="DocumentTitle-BarcRA"/>
      </w:pPr>
    </w:p>
    <w:p w:rsidR="00B62539" w:rsidRPr="00F56E6B" w:rsidRDefault="00B62539" w:rsidP="00B62539">
      <w:pPr>
        <w:pStyle w:val="DocumentTitle-BarcRA"/>
      </w:pPr>
      <w:r w:rsidRPr="00F56E6B">
        <w:t>Barclays</w:t>
      </w:r>
      <w:r>
        <w:t xml:space="preserve"> Bank</w:t>
      </w:r>
      <w:r w:rsidRPr="00F56E6B">
        <w:t xml:space="preserve"> PLC</w:t>
      </w:r>
    </w:p>
    <w:p w:rsidR="00B62539" w:rsidRPr="00F56E6B" w:rsidRDefault="00B62539" w:rsidP="00B62539">
      <w:pPr>
        <w:pStyle w:val="DocumentTitle-BarcRA"/>
      </w:pPr>
      <w:r>
        <w:t>Interim</w:t>
      </w:r>
      <w:r w:rsidRPr="00F56E6B">
        <w:t xml:space="preserve"> Results Announcement</w:t>
      </w:r>
    </w:p>
    <w:p w:rsidR="00B62539" w:rsidRPr="00F56E6B" w:rsidRDefault="00B62539" w:rsidP="00B62539">
      <w:pPr>
        <w:pStyle w:val="DocumentTitle-BarcRA"/>
      </w:pPr>
    </w:p>
    <w:p w:rsidR="00B62539" w:rsidRDefault="00B62539" w:rsidP="00B62539">
      <w:pPr>
        <w:pStyle w:val="DocumentTitleDetails-BarcRA"/>
      </w:pPr>
      <w:r>
        <w:t>30 June 2012</w:t>
      </w:r>
    </w:p>
    <w:p w:rsidR="00B62539" w:rsidRDefault="00B62539" w:rsidP="00B62539">
      <w:pPr>
        <w:pStyle w:val="DocumentTitleDetails-BarcRA"/>
      </w:pPr>
    </w:p>
    <w:p w:rsidR="00B62539" w:rsidRDefault="00B62539" w:rsidP="00B62539">
      <w:pPr>
        <w:sectPr w:rsidR="00B62539">
          <w:type w:val="continuous"/>
          <w:pgSz w:w="11905" w:h="16837"/>
          <w:pgMar w:top="851" w:right="1134" w:bottom="567" w:left="1134" w:header="851" w:footer="567" w:gutter="0"/>
          <w:cols w:space="708"/>
        </w:sectPr>
      </w:pPr>
    </w:p>
    <w:p w:rsidR="00B62539" w:rsidRDefault="00B62539" w:rsidP="00B62539"/>
    <w:p w:rsidR="00B62539" w:rsidRDefault="00B62539" w:rsidP="00B62539">
      <w:pPr>
        <w:pStyle w:val="HeadingLevel1-BarcRA"/>
      </w:pPr>
      <w:r>
        <w:br w:type="page"/>
      </w:r>
    </w:p>
    <w:p w:rsidR="00B62539" w:rsidRPr="006C11C9" w:rsidRDefault="00B62539" w:rsidP="00B62539">
      <w:pPr>
        <w:pStyle w:val="HeadingLevel1-BarcRA"/>
        <w:rPr>
          <w:color w:val="auto"/>
          <w:lang w:val="en-GB"/>
        </w:rPr>
      </w:pPr>
      <w:r w:rsidRPr="006C11C9">
        <w:rPr>
          <w:color w:val="auto"/>
        </w:rPr>
        <w:t>Table of Contents</w:t>
      </w:r>
    </w:p>
    <w:p w:rsidR="00B62539" w:rsidRPr="006C11C9" w:rsidRDefault="00B62539" w:rsidP="00B62539">
      <w:pPr>
        <w:pStyle w:val="HeaderSpacerwithLine-BarcRA"/>
      </w:pPr>
    </w:p>
    <w:tbl>
      <w:tblPr>
        <w:tblW w:w="0" w:type="auto"/>
        <w:tblLook w:val="04A0" w:firstRow="1" w:lastRow="0" w:firstColumn="1" w:lastColumn="0" w:noHBand="0" w:noVBand="1"/>
      </w:tblPr>
      <w:tblGrid>
        <w:gridCol w:w="7661"/>
        <w:gridCol w:w="2192"/>
      </w:tblGrid>
      <w:tr w:rsidR="00B62539" w:rsidRPr="006C11C9" w:rsidTr="008C3313">
        <w:tc>
          <w:tcPr>
            <w:tcW w:w="7661" w:type="dxa"/>
          </w:tcPr>
          <w:p w:rsidR="00B62539" w:rsidRPr="006C11C9" w:rsidRDefault="00B62539" w:rsidP="008C3313">
            <w:pPr>
              <w:pStyle w:val="HeadingLevel1-BarcRA"/>
              <w:rPr>
                <w:color w:val="auto"/>
              </w:rPr>
            </w:pPr>
            <w:r>
              <w:rPr>
                <w:color w:val="auto"/>
                <w:lang w:val="en-GB"/>
              </w:rPr>
              <w:t xml:space="preserve">Interim </w:t>
            </w:r>
            <w:r w:rsidRPr="006C11C9">
              <w:rPr>
                <w:color w:val="auto"/>
              </w:rPr>
              <w:t>Results Announcement</w:t>
            </w:r>
          </w:p>
        </w:tc>
        <w:tc>
          <w:tcPr>
            <w:tcW w:w="2192" w:type="dxa"/>
            <w:vAlign w:val="center"/>
          </w:tcPr>
          <w:p w:rsidR="00B62539" w:rsidRPr="006C11C9" w:rsidRDefault="00B62539" w:rsidP="008C3313">
            <w:pPr>
              <w:pStyle w:val="HeadingLevel1-BarcRA"/>
              <w:jc w:val="right"/>
              <w:rPr>
                <w:color w:val="auto"/>
              </w:rPr>
            </w:pPr>
            <w:r w:rsidRPr="006C11C9">
              <w:rPr>
                <w:color w:val="auto"/>
              </w:rPr>
              <w:t>Page</w:t>
            </w:r>
          </w:p>
        </w:tc>
      </w:tr>
      <w:tr w:rsidR="00B62539" w:rsidRPr="00890B7F" w:rsidTr="008C3313">
        <w:tc>
          <w:tcPr>
            <w:tcW w:w="7661" w:type="dxa"/>
          </w:tcPr>
          <w:p w:rsidR="00B62539" w:rsidRPr="00890B7F" w:rsidRDefault="00B62539" w:rsidP="008C3313">
            <w:pPr>
              <w:pStyle w:val="Level1Bullet-BarcRA"/>
              <w:numPr>
                <w:ilvl w:val="0"/>
                <w:numId w:val="0"/>
              </w:numPr>
              <w:spacing w:before="96" w:after="96"/>
              <w:jc w:val="left"/>
              <w:rPr>
                <w:szCs w:val="18"/>
                <w:lang w:val="en-GB"/>
              </w:rPr>
            </w:pPr>
            <w:r>
              <w:rPr>
                <w:szCs w:val="18"/>
                <w:lang w:val="en-GB"/>
              </w:rPr>
              <w:t>Basis of Preparation</w:t>
            </w:r>
          </w:p>
        </w:tc>
        <w:tc>
          <w:tcPr>
            <w:tcW w:w="2192" w:type="dxa"/>
          </w:tcPr>
          <w:p w:rsidR="00B62539" w:rsidRPr="00890B7F" w:rsidRDefault="00B62539" w:rsidP="008C3313">
            <w:pPr>
              <w:pStyle w:val="Level1Bullet-BarcRA"/>
              <w:numPr>
                <w:ilvl w:val="0"/>
                <w:numId w:val="0"/>
              </w:numPr>
              <w:spacing w:before="96" w:after="96"/>
              <w:jc w:val="right"/>
              <w:rPr>
                <w:szCs w:val="18"/>
                <w:lang w:val="en-GB"/>
              </w:rPr>
            </w:pPr>
            <w:r>
              <w:rPr>
                <w:szCs w:val="18"/>
                <w:lang w:val="en-GB"/>
              </w:rPr>
              <w:t>1</w:t>
            </w:r>
          </w:p>
        </w:tc>
      </w:tr>
      <w:tr w:rsidR="00B62539" w:rsidRPr="00890B7F" w:rsidTr="008C3313">
        <w:tc>
          <w:tcPr>
            <w:tcW w:w="7661" w:type="dxa"/>
          </w:tcPr>
          <w:p w:rsidR="00B62539" w:rsidRPr="002D5F36" w:rsidRDefault="003B479C" w:rsidP="008C3313">
            <w:pPr>
              <w:pStyle w:val="Level1Bullet-BarcRA"/>
              <w:numPr>
                <w:ilvl w:val="0"/>
                <w:numId w:val="0"/>
              </w:numPr>
              <w:spacing w:before="96" w:after="96"/>
              <w:jc w:val="left"/>
              <w:rPr>
                <w:szCs w:val="18"/>
                <w:lang w:val="en-GB"/>
              </w:rPr>
            </w:pPr>
            <w:r>
              <w:rPr>
                <w:szCs w:val="18"/>
                <w:lang w:val="en-GB"/>
              </w:rPr>
              <w:t>Statement of Directors’ Responsibilities</w:t>
            </w:r>
          </w:p>
        </w:tc>
        <w:tc>
          <w:tcPr>
            <w:tcW w:w="2192" w:type="dxa"/>
          </w:tcPr>
          <w:p w:rsidR="00B62539" w:rsidRPr="00890B7F" w:rsidRDefault="00B62539" w:rsidP="008C3313">
            <w:pPr>
              <w:pStyle w:val="Level1Bullet-BarcRA"/>
              <w:numPr>
                <w:ilvl w:val="0"/>
                <w:numId w:val="0"/>
              </w:numPr>
              <w:spacing w:before="96" w:after="96"/>
              <w:jc w:val="right"/>
              <w:rPr>
                <w:szCs w:val="18"/>
                <w:lang w:val="en-GB"/>
              </w:rPr>
            </w:pPr>
            <w:r>
              <w:rPr>
                <w:szCs w:val="18"/>
                <w:lang w:val="en-GB"/>
              </w:rPr>
              <w:t>2</w:t>
            </w:r>
          </w:p>
        </w:tc>
      </w:tr>
      <w:tr w:rsidR="003B479C" w:rsidRPr="00890B7F" w:rsidTr="008C3313">
        <w:tc>
          <w:tcPr>
            <w:tcW w:w="7661" w:type="dxa"/>
          </w:tcPr>
          <w:p w:rsidR="003B479C" w:rsidRPr="002D5F36" w:rsidRDefault="003B479C" w:rsidP="008C3313">
            <w:pPr>
              <w:pStyle w:val="Level1Bullet-BarcRA"/>
              <w:numPr>
                <w:ilvl w:val="0"/>
                <w:numId w:val="0"/>
              </w:numPr>
              <w:spacing w:before="96" w:after="96"/>
              <w:jc w:val="left"/>
              <w:rPr>
                <w:szCs w:val="18"/>
                <w:lang w:val="en-GB"/>
              </w:rPr>
            </w:pPr>
            <w:r>
              <w:rPr>
                <w:szCs w:val="18"/>
                <w:lang w:val="en-GB"/>
              </w:rPr>
              <w:t>Independent Auditors’ Review Report</w:t>
            </w:r>
          </w:p>
        </w:tc>
        <w:tc>
          <w:tcPr>
            <w:tcW w:w="2192" w:type="dxa"/>
          </w:tcPr>
          <w:p w:rsidR="003B479C" w:rsidRPr="00890B7F" w:rsidRDefault="003B479C" w:rsidP="008C3313">
            <w:pPr>
              <w:pStyle w:val="Level1Bullet-BarcRA"/>
              <w:numPr>
                <w:ilvl w:val="0"/>
                <w:numId w:val="0"/>
              </w:numPr>
              <w:spacing w:before="96" w:after="96"/>
              <w:jc w:val="right"/>
              <w:rPr>
                <w:szCs w:val="18"/>
                <w:lang w:val="en-GB"/>
              </w:rPr>
            </w:pPr>
            <w:r>
              <w:rPr>
                <w:szCs w:val="18"/>
                <w:lang w:val="en-GB"/>
              </w:rPr>
              <w:t>3</w:t>
            </w:r>
          </w:p>
        </w:tc>
      </w:tr>
      <w:tr w:rsidR="003B479C" w:rsidRPr="009B10FE" w:rsidTr="008C3313">
        <w:tc>
          <w:tcPr>
            <w:tcW w:w="7661" w:type="dxa"/>
          </w:tcPr>
          <w:p w:rsidR="003B479C" w:rsidRPr="002D5F36" w:rsidRDefault="003B479C" w:rsidP="008C3313">
            <w:pPr>
              <w:pStyle w:val="Level1Bullet-BarcRA"/>
              <w:numPr>
                <w:ilvl w:val="0"/>
                <w:numId w:val="0"/>
              </w:numPr>
              <w:spacing w:before="96" w:after="96"/>
              <w:jc w:val="left"/>
              <w:rPr>
                <w:szCs w:val="18"/>
                <w:lang w:val="en-GB"/>
              </w:rPr>
            </w:pPr>
            <w:r>
              <w:rPr>
                <w:szCs w:val="18"/>
                <w:lang w:val="en-GB"/>
              </w:rPr>
              <w:t>Condensed Consolidated Income Statement</w:t>
            </w:r>
          </w:p>
        </w:tc>
        <w:tc>
          <w:tcPr>
            <w:tcW w:w="2192" w:type="dxa"/>
          </w:tcPr>
          <w:p w:rsidR="003B479C" w:rsidRPr="00890B7F" w:rsidRDefault="003B479C" w:rsidP="008C3313">
            <w:pPr>
              <w:pStyle w:val="Level1Bullet-BarcRA"/>
              <w:numPr>
                <w:ilvl w:val="0"/>
                <w:numId w:val="0"/>
              </w:numPr>
              <w:spacing w:before="96" w:after="96"/>
              <w:jc w:val="right"/>
              <w:rPr>
                <w:szCs w:val="18"/>
                <w:lang w:val="en-GB"/>
              </w:rPr>
            </w:pPr>
            <w:r>
              <w:rPr>
                <w:szCs w:val="18"/>
                <w:lang w:val="en-GB"/>
              </w:rPr>
              <w:t>4</w:t>
            </w:r>
          </w:p>
        </w:tc>
      </w:tr>
      <w:tr w:rsidR="003B479C" w:rsidTr="008C3313">
        <w:tc>
          <w:tcPr>
            <w:tcW w:w="7661" w:type="dxa"/>
          </w:tcPr>
          <w:p w:rsidR="003B479C" w:rsidRPr="002D5F36" w:rsidRDefault="003B479C" w:rsidP="008C3313">
            <w:pPr>
              <w:pStyle w:val="Level1Bullet-BarcRA"/>
              <w:numPr>
                <w:ilvl w:val="0"/>
                <w:numId w:val="0"/>
              </w:numPr>
              <w:spacing w:before="96" w:after="96"/>
              <w:jc w:val="left"/>
              <w:rPr>
                <w:szCs w:val="18"/>
                <w:lang w:val="en-GB"/>
              </w:rPr>
            </w:pPr>
            <w:r>
              <w:rPr>
                <w:szCs w:val="18"/>
                <w:lang w:val="en-GB"/>
              </w:rPr>
              <w:t>Condensed Consolidated Statement of Profit or Loss and Other Comprehensive Income</w:t>
            </w:r>
          </w:p>
        </w:tc>
        <w:tc>
          <w:tcPr>
            <w:tcW w:w="2192" w:type="dxa"/>
          </w:tcPr>
          <w:p w:rsidR="003B479C" w:rsidRPr="009B10FE" w:rsidRDefault="003B479C" w:rsidP="008C3313">
            <w:pPr>
              <w:pStyle w:val="Level1Bullet-BarcRA"/>
              <w:numPr>
                <w:ilvl w:val="0"/>
                <w:numId w:val="0"/>
              </w:numPr>
              <w:spacing w:before="96" w:after="96"/>
              <w:jc w:val="right"/>
              <w:rPr>
                <w:szCs w:val="18"/>
                <w:lang w:val="en-GB"/>
              </w:rPr>
            </w:pPr>
            <w:r>
              <w:rPr>
                <w:szCs w:val="18"/>
                <w:lang w:val="en-GB"/>
              </w:rPr>
              <w:t>5</w:t>
            </w:r>
          </w:p>
        </w:tc>
      </w:tr>
      <w:tr w:rsidR="003B479C" w:rsidTr="008C3313">
        <w:tc>
          <w:tcPr>
            <w:tcW w:w="7661" w:type="dxa"/>
          </w:tcPr>
          <w:p w:rsidR="003B479C" w:rsidRPr="002D5F36" w:rsidRDefault="003B479C" w:rsidP="008C3313">
            <w:pPr>
              <w:pStyle w:val="Level1Bullet-BarcRA"/>
              <w:numPr>
                <w:ilvl w:val="0"/>
                <w:numId w:val="0"/>
              </w:numPr>
              <w:spacing w:before="96" w:after="96"/>
              <w:jc w:val="left"/>
              <w:rPr>
                <w:szCs w:val="18"/>
                <w:lang w:val="en-GB"/>
              </w:rPr>
            </w:pPr>
            <w:r>
              <w:rPr>
                <w:szCs w:val="18"/>
                <w:lang w:val="en-GB"/>
              </w:rPr>
              <w:t>Condensed Consolidated Balance Sheet</w:t>
            </w:r>
          </w:p>
        </w:tc>
        <w:tc>
          <w:tcPr>
            <w:tcW w:w="2192" w:type="dxa"/>
          </w:tcPr>
          <w:p w:rsidR="003B479C" w:rsidRDefault="003B479C" w:rsidP="008C3313">
            <w:pPr>
              <w:pStyle w:val="Level1Bullet-BarcRA"/>
              <w:numPr>
                <w:ilvl w:val="0"/>
                <w:numId w:val="0"/>
              </w:numPr>
              <w:spacing w:before="96" w:after="96"/>
              <w:jc w:val="right"/>
              <w:rPr>
                <w:szCs w:val="18"/>
                <w:lang w:val="en-GB"/>
              </w:rPr>
            </w:pPr>
            <w:r>
              <w:rPr>
                <w:szCs w:val="18"/>
                <w:lang w:val="en-GB"/>
              </w:rPr>
              <w:t>6</w:t>
            </w:r>
          </w:p>
        </w:tc>
      </w:tr>
      <w:tr w:rsidR="003B479C" w:rsidRPr="009B10FE" w:rsidTr="008C3313">
        <w:tc>
          <w:tcPr>
            <w:tcW w:w="7661" w:type="dxa"/>
          </w:tcPr>
          <w:p w:rsidR="003B479C" w:rsidRPr="00DB3D49" w:rsidRDefault="003B479C" w:rsidP="008C3313">
            <w:pPr>
              <w:pStyle w:val="Level1Bullet-BarcRA"/>
              <w:numPr>
                <w:ilvl w:val="0"/>
                <w:numId w:val="0"/>
              </w:numPr>
              <w:spacing w:before="96" w:after="96"/>
              <w:jc w:val="left"/>
              <w:rPr>
                <w:szCs w:val="18"/>
                <w:lang w:val="en-GB"/>
              </w:rPr>
            </w:pPr>
            <w:r>
              <w:rPr>
                <w:szCs w:val="18"/>
                <w:lang w:val="en-GB"/>
              </w:rPr>
              <w:t>Condensed Consolidated Statement of Changes in Equity</w:t>
            </w:r>
          </w:p>
        </w:tc>
        <w:tc>
          <w:tcPr>
            <w:tcW w:w="2192" w:type="dxa"/>
          </w:tcPr>
          <w:p w:rsidR="003B479C" w:rsidRDefault="003B479C" w:rsidP="008C3313">
            <w:pPr>
              <w:pStyle w:val="Level1Bullet-BarcRA"/>
              <w:numPr>
                <w:ilvl w:val="0"/>
                <w:numId w:val="0"/>
              </w:numPr>
              <w:spacing w:before="96" w:after="96"/>
              <w:jc w:val="right"/>
              <w:rPr>
                <w:szCs w:val="18"/>
                <w:lang w:val="en-GB"/>
              </w:rPr>
            </w:pPr>
            <w:r>
              <w:rPr>
                <w:szCs w:val="18"/>
                <w:lang w:val="en-GB"/>
              </w:rPr>
              <w:t>7</w:t>
            </w:r>
          </w:p>
        </w:tc>
      </w:tr>
      <w:tr w:rsidR="003B479C" w:rsidTr="008C3313">
        <w:tc>
          <w:tcPr>
            <w:tcW w:w="7661" w:type="dxa"/>
          </w:tcPr>
          <w:p w:rsidR="003B479C" w:rsidRPr="00DB3D49" w:rsidRDefault="003B479C" w:rsidP="008C3313">
            <w:pPr>
              <w:pStyle w:val="Level1Bullet-BarcRA"/>
              <w:numPr>
                <w:ilvl w:val="0"/>
                <w:numId w:val="0"/>
              </w:numPr>
              <w:spacing w:before="96" w:after="96"/>
              <w:jc w:val="left"/>
              <w:rPr>
                <w:szCs w:val="18"/>
                <w:lang w:val="en-GB"/>
              </w:rPr>
            </w:pPr>
            <w:r>
              <w:rPr>
                <w:szCs w:val="18"/>
                <w:lang w:val="en-GB"/>
              </w:rPr>
              <w:t>Condensed Consolidated Cash Flow Statement</w:t>
            </w:r>
          </w:p>
        </w:tc>
        <w:tc>
          <w:tcPr>
            <w:tcW w:w="2192" w:type="dxa"/>
          </w:tcPr>
          <w:p w:rsidR="003B479C" w:rsidRPr="009B10FE" w:rsidRDefault="003B479C" w:rsidP="008C3313">
            <w:pPr>
              <w:pStyle w:val="Level1Bullet-BarcRA"/>
              <w:numPr>
                <w:ilvl w:val="0"/>
                <w:numId w:val="0"/>
              </w:numPr>
              <w:spacing w:before="96" w:after="96"/>
              <w:jc w:val="right"/>
              <w:rPr>
                <w:szCs w:val="18"/>
                <w:lang w:val="en-GB"/>
              </w:rPr>
            </w:pPr>
            <w:r>
              <w:rPr>
                <w:szCs w:val="18"/>
                <w:lang w:val="en-GB"/>
              </w:rPr>
              <w:t>8</w:t>
            </w:r>
          </w:p>
        </w:tc>
      </w:tr>
      <w:tr w:rsidR="003B479C" w:rsidRPr="00890B7F" w:rsidTr="008C3313">
        <w:tc>
          <w:tcPr>
            <w:tcW w:w="7661" w:type="dxa"/>
          </w:tcPr>
          <w:p w:rsidR="003B479C" w:rsidRPr="006C0321" w:rsidRDefault="003B479C" w:rsidP="008C3313">
            <w:pPr>
              <w:pStyle w:val="Level1Bullet-BarcRA"/>
              <w:numPr>
                <w:ilvl w:val="0"/>
                <w:numId w:val="0"/>
              </w:numPr>
              <w:spacing w:before="96" w:after="96"/>
              <w:jc w:val="left"/>
              <w:rPr>
                <w:szCs w:val="18"/>
              </w:rPr>
            </w:pPr>
            <w:r>
              <w:rPr>
                <w:szCs w:val="18"/>
              </w:rPr>
              <w:t xml:space="preserve">Financial Statement </w:t>
            </w:r>
            <w:r w:rsidRPr="006C11C9">
              <w:rPr>
                <w:szCs w:val="18"/>
              </w:rPr>
              <w:t>Notes</w:t>
            </w:r>
          </w:p>
        </w:tc>
        <w:tc>
          <w:tcPr>
            <w:tcW w:w="2192" w:type="dxa"/>
          </w:tcPr>
          <w:p w:rsidR="003B479C" w:rsidRDefault="003B479C" w:rsidP="008C3313">
            <w:pPr>
              <w:pStyle w:val="Level1Bullet-BarcRA"/>
              <w:numPr>
                <w:ilvl w:val="0"/>
                <w:numId w:val="0"/>
              </w:numPr>
              <w:spacing w:before="96" w:after="96"/>
              <w:jc w:val="right"/>
              <w:rPr>
                <w:szCs w:val="18"/>
                <w:lang w:val="en-GB"/>
              </w:rPr>
            </w:pPr>
            <w:r>
              <w:rPr>
                <w:szCs w:val="18"/>
                <w:lang w:val="en-GB"/>
              </w:rPr>
              <w:t>9</w:t>
            </w:r>
          </w:p>
        </w:tc>
      </w:tr>
      <w:tr w:rsidR="003B479C" w:rsidTr="008C3313">
        <w:tc>
          <w:tcPr>
            <w:tcW w:w="7661" w:type="dxa"/>
            <w:vAlign w:val="center"/>
          </w:tcPr>
          <w:p w:rsidR="003B479C" w:rsidRPr="005B47CC" w:rsidRDefault="003B479C" w:rsidP="008C3313">
            <w:pPr>
              <w:pStyle w:val="TableFormat-BarcRA"/>
              <w:spacing w:before="96" w:after="96"/>
              <w:rPr>
                <w:b/>
                <w:sz w:val="24"/>
                <w:szCs w:val="24"/>
              </w:rPr>
            </w:pPr>
            <w:r w:rsidRPr="005B47CC">
              <w:rPr>
                <w:b/>
                <w:sz w:val="24"/>
                <w:szCs w:val="24"/>
              </w:rPr>
              <w:t>Appendix</w:t>
            </w:r>
          </w:p>
        </w:tc>
        <w:tc>
          <w:tcPr>
            <w:tcW w:w="2192" w:type="dxa"/>
          </w:tcPr>
          <w:p w:rsidR="003B479C" w:rsidRPr="00890B7F" w:rsidRDefault="003B479C" w:rsidP="008C3313">
            <w:pPr>
              <w:pStyle w:val="Level1Bullet-BarcRA"/>
              <w:numPr>
                <w:ilvl w:val="0"/>
                <w:numId w:val="0"/>
              </w:numPr>
              <w:spacing w:before="96" w:after="96"/>
              <w:jc w:val="right"/>
              <w:rPr>
                <w:szCs w:val="18"/>
                <w:lang w:val="en-GB"/>
              </w:rPr>
            </w:pPr>
          </w:p>
        </w:tc>
      </w:tr>
      <w:tr w:rsidR="003B479C" w:rsidTr="008C3313">
        <w:tc>
          <w:tcPr>
            <w:tcW w:w="7661" w:type="dxa"/>
            <w:vAlign w:val="center"/>
          </w:tcPr>
          <w:p w:rsidR="003B479C" w:rsidRPr="006C11C9" w:rsidRDefault="003B479C" w:rsidP="008C3313">
            <w:pPr>
              <w:pStyle w:val="TableFormat-BarcRA"/>
              <w:spacing w:before="96" w:after="96"/>
              <w:rPr>
                <w:sz w:val="18"/>
                <w:szCs w:val="18"/>
              </w:rPr>
            </w:pPr>
            <w:r>
              <w:rPr>
                <w:sz w:val="18"/>
                <w:szCs w:val="18"/>
              </w:rPr>
              <w:t>Barclays PLC Results Announcement</w:t>
            </w:r>
          </w:p>
        </w:tc>
        <w:tc>
          <w:tcPr>
            <w:tcW w:w="2192" w:type="dxa"/>
          </w:tcPr>
          <w:p w:rsidR="003B479C" w:rsidRDefault="005340E8" w:rsidP="00013051">
            <w:pPr>
              <w:pStyle w:val="Level1Bullet-BarcRA"/>
              <w:numPr>
                <w:ilvl w:val="0"/>
                <w:numId w:val="0"/>
              </w:numPr>
              <w:spacing w:before="96" w:after="96"/>
              <w:jc w:val="right"/>
              <w:rPr>
                <w:szCs w:val="18"/>
                <w:lang w:val="en-GB"/>
              </w:rPr>
            </w:pPr>
            <w:r>
              <w:rPr>
                <w:szCs w:val="18"/>
                <w:lang w:val="en-GB"/>
              </w:rPr>
              <w:t>1</w:t>
            </w:r>
            <w:r w:rsidR="00013051">
              <w:rPr>
                <w:szCs w:val="18"/>
                <w:lang w:val="en-GB"/>
              </w:rPr>
              <w:t>0</w:t>
            </w:r>
          </w:p>
        </w:tc>
      </w:tr>
      <w:tr w:rsidR="003B479C" w:rsidTr="008C3313">
        <w:tc>
          <w:tcPr>
            <w:tcW w:w="7661" w:type="dxa"/>
            <w:vAlign w:val="center"/>
          </w:tcPr>
          <w:p w:rsidR="003B479C" w:rsidRPr="006C11C9" w:rsidRDefault="003B479C" w:rsidP="008C3313">
            <w:pPr>
              <w:pStyle w:val="TableFormat-BarcRA"/>
              <w:spacing w:before="96" w:after="96"/>
              <w:rPr>
                <w:sz w:val="18"/>
                <w:szCs w:val="18"/>
              </w:rPr>
            </w:pPr>
          </w:p>
        </w:tc>
        <w:tc>
          <w:tcPr>
            <w:tcW w:w="2192" w:type="dxa"/>
          </w:tcPr>
          <w:p w:rsidR="003B479C" w:rsidRDefault="003B479C" w:rsidP="008C3313">
            <w:pPr>
              <w:pStyle w:val="Level1Bullet-BarcRA"/>
              <w:numPr>
                <w:ilvl w:val="0"/>
                <w:numId w:val="0"/>
              </w:numPr>
              <w:spacing w:before="96" w:after="96"/>
              <w:jc w:val="right"/>
              <w:rPr>
                <w:szCs w:val="18"/>
                <w:lang w:val="en-GB"/>
              </w:rPr>
            </w:pPr>
          </w:p>
        </w:tc>
      </w:tr>
    </w:tbl>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Default="00B62539" w:rsidP="00B62539">
      <w:pPr>
        <w:pStyle w:val="Special1-BarcRA"/>
      </w:pPr>
    </w:p>
    <w:p w:rsidR="00B62539" w:rsidRPr="006C11C9" w:rsidRDefault="00B62539" w:rsidP="00B62539">
      <w:pPr>
        <w:pStyle w:val="Special1-BarcRA"/>
        <w:jc w:val="left"/>
        <w:rPr>
          <w:iCs/>
        </w:rPr>
      </w:pPr>
      <w:r w:rsidRPr="006C11C9">
        <w:t xml:space="preserve">BARCLAYS </w:t>
      </w:r>
      <w:r>
        <w:t xml:space="preserve"> BANK </w:t>
      </w:r>
      <w:r w:rsidRPr="006C11C9">
        <w:t>PLC, 1 CHURCHILL PLACE, LONDON, E14 5HP, UNITED KINGDOM. TELEPHONE: +44 (0)</w:t>
      </w:r>
      <w:r>
        <w:t xml:space="preserve"> 20 7116 1000. COMPANY NO. 1026167</w:t>
      </w:r>
    </w:p>
    <w:p w:rsidR="00B62539" w:rsidRPr="006C11C9" w:rsidRDefault="00B62539" w:rsidP="00B62539">
      <w:pPr>
        <w:rPr>
          <w:iCs/>
        </w:rPr>
      </w:pPr>
    </w:p>
    <w:p w:rsidR="005340E8" w:rsidRDefault="005340E8" w:rsidP="00B62539">
      <w:pPr>
        <w:pStyle w:val="Level1Bullet-BarcRA0"/>
        <w:numPr>
          <w:ilvl w:val="0"/>
          <w:numId w:val="0"/>
        </w:numPr>
        <w:tabs>
          <w:tab w:val="left" w:pos="720"/>
        </w:tabs>
        <w:rPr>
          <w:sz w:val="16"/>
          <w:lang w:val="en-GB"/>
        </w:rPr>
      </w:pPr>
    </w:p>
    <w:p w:rsidR="00B62539" w:rsidRDefault="00B62539" w:rsidP="00B62539">
      <w:pPr>
        <w:pStyle w:val="Level1Bullet-BarcRA0"/>
        <w:numPr>
          <w:ilvl w:val="0"/>
          <w:numId w:val="0"/>
        </w:numPr>
        <w:tabs>
          <w:tab w:val="left" w:pos="720"/>
        </w:tabs>
        <w:rPr>
          <w:sz w:val="16"/>
          <w:szCs w:val="16"/>
          <w:lang w:val="en-GB"/>
        </w:rPr>
      </w:pPr>
      <w:r w:rsidRPr="00A17DD9">
        <w:rPr>
          <w:sz w:val="16"/>
          <w:lang w:val="en-GB"/>
        </w:rPr>
        <w:t>The term ‘Barclays PLC Group’ or the ‘Group’ means Barclays PLC together with its subsidiaries and the term ‘Barclays Bank PLC Group’ means Barclays Bank PLC t</w:t>
      </w:r>
      <w:r>
        <w:rPr>
          <w:sz w:val="16"/>
          <w:lang w:val="en-GB"/>
        </w:rPr>
        <w:t xml:space="preserve">ogether with its subsidiaries. </w:t>
      </w:r>
      <w:r w:rsidR="005340E8">
        <w:rPr>
          <w:sz w:val="16"/>
          <w:lang w:val="en-GB"/>
        </w:rPr>
        <w:t xml:space="preserve">‘Barclays’ is used to refer to either of the preceding groups when the subject matter is identical.  The term ‘Parent Company’ or ‘Parent’ refers to Barclays PLC and the term ‘Bank’ or ‘Company’ refers to Barclays Bank PLC. </w:t>
      </w:r>
      <w:r>
        <w:rPr>
          <w:sz w:val="16"/>
          <w:szCs w:val="16"/>
        </w:rPr>
        <w:t xml:space="preserve">Unless otherwise stated, the income statement analyses compare the </w:t>
      </w:r>
      <w:r>
        <w:rPr>
          <w:sz w:val="16"/>
          <w:szCs w:val="16"/>
          <w:lang w:val="en-GB"/>
        </w:rPr>
        <w:t>six</w:t>
      </w:r>
      <w:r>
        <w:rPr>
          <w:sz w:val="16"/>
          <w:szCs w:val="16"/>
        </w:rPr>
        <w:t xml:space="preserve"> months to 3</w:t>
      </w:r>
      <w:r>
        <w:rPr>
          <w:sz w:val="16"/>
          <w:szCs w:val="16"/>
          <w:lang w:val="en-GB"/>
        </w:rPr>
        <w:t>0</w:t>
      </w:r>
      <w:r>
        <w:rPr>
          <w:sz w:val="16"/>
          <w:szCs w:val="16"/>
        </w:rPr>
        <w:t xml:space="preserve"> </w:t>
      </w:r>
      <w:r>
        <w:rPr>
          <w:sz w:val="16"/>
          <w:szCs w:val="16"/>
          <w:lang w:val="en-GB"/>
        </w:rPr>
        <w:t>June</w:t>
      </w:r>
      <w:r>
        <w:rPr>
          <w:sz w:val="16"/>
          <w:szCs w:val="16"/>
        </w:rPr>
        <w:t xml:space="preserve"> 201</w:t>
      </w:r>
      <w:r>
        <w:rPr>
          <w:sz w:val="16"/>
          <w:szCs w:val="16"/>
          <w:lang w:val="en-GB"/>
        </w:rPr>
        <w:t>2</w:t>
      </w:r>
      <w:r>
        <w:rPr>
          <w:sz w:val="16"/>
          <w:szCs w:val="16"/>
        </w:rPr>
        <w:t xml:space="preserve"> to the corresponding </w:t>
      </w:r>
      <w:r>
        <w:rPr>
          <w:sz w:val="16"/>
          <w:szCs w:val="16"/>
          <w:lang w:val="en-GB"/>
        </w:rPr>
        <w:t xml:space="preserve">six </w:t>
      </w:r>
      <w:r>
        <w:rPr>
          <w:sz w:val="16"/>
          <w:szCs w:val="16"/>
        </w:rPr>
        <w:t>months of 201</w:t>
      </w:r>
      <w:r>
        <w:rPr>
          <w:sz w:val="16"/>
          <w:szCs w:val="16"/>
          <w:lang w:val="en-GB"/>
        </w:rPr>
        <w:t>1</w:t>
      </w:r>
      <w:r>
        <w:rPr>
          <w:sz w:val="16"/>
          <w:szCs w:val="16"/>
        </w:rPr>
        <w:t xml:space="preserve"> and balance sheet comparisons relate to the corresponding position at 31 December 201</w:t>
      </w:r>
      <w:r>
        <w:rPr>
          <w:sz w:val="16"/>
          <w:szCs w:val="16"/>
          <w:lang w:val="en-GB"/>
        </w:rPr>
        <w:t>1.</w:t>
      </w:r>
      <w:r w:rsidR="005340E8">
        <w:rPr>
          <w:sz w:val="16"/>
          <w:szCs w:val="16"/>
          <w:lang w:val="en-GB"/>
        </w:rPr>
        <w:t xml:space="preserve"> </w:t>
      </w:r>
      <w:r w:rsidR="005340E8" w:rsidRPr="005340E8">
        <w:rPr>
          <w:sz w:val="16"/>
          <w:szCs w:val="16"/>
          <w:lang w:val="en-GB"/>
        </w:rPr>
        <w:t>The abbreviations ‘£m’ and ‘£</w:t>
      </w:r>
      <w:proofErr w:type="spellStart"/>
      <w:r w:rsidR="005340E8" w:rsidRPr="005340E8">
        <w:rPr>
          <w:sz w:val="16"/>
          <w:szCs w:val="16"/>
          <w:lang w:val="en-GB"/>
        </w:rPr>
        <w:t>bn</w:t>
      </w:r>
      <w:proofErr w:type="spellEnd"/>
      <w:r w:rsidR="005340E8" w:rsidRPr="005340E8">
        <w:rPr>
          <w:sz w:val="16"/>
          <w:szCs w:val="16"/>
          <w:lang w:val="en-GB"/>
        </w:rPr>
        <w:t>’ represent millions and thousands of millions of pounds Sterling respectively; the abbreviations ‘$m’ and ‘$</w:t>
      </w:r>
      <w:proofErr w:type="spellStart"/>
      <w:r w:rsidR="005340E8" w:rsidRPr="005340E8">
        <w:rPr>
          <w:sz w:val="16"/>
          <w:szCs w:val="16"/>
          <w:lang w:val="en-GB"/>
        </w:rPr>
        <w:t>bn</w:t>
      </w:r>
      <w:proofErr w:type="spellEnd"/>
      <w:r w:rsidR="005340E8" w:rsidRPr="005340E8">
        <w:rPr>
          <w:sz w:val="16"/>
          <w:szCs w:val="16"/>
          <w:lang w:val="en-GB"/>
        </w:rPr>
        <w:t>’ represent millions and thousands of millions of US dollars respectively.</w:t>
      </w:r>
      <w:r w:rsidR="005340E8">
        <w:rPr>
          <w:sz w:val="16"/>
          <w:szCs w:val="16"/>
          <w:lang w:val="en-GB"/>
        </w:rPr>
        <w:t xml:space="preserve">  Information relates to the Group unless otherwise stated.</w:t>
      </w:r>
    </w:p>
    <w:p w:rsidR="00B62539" w:rsidRDefault="00B62539" w:rsidP="00B62539">
      <w:pPr>
        <w:pStyle w:val="BodyText-BarcRA30"/>
        <w:rPr>
          <w:sz w:val="16"/>
        </w:rPr>
      </w:pPr>
      <w:r>
        <w:rPr>
          <w:sz w:val="16"/>
        </w:rPr>
        <w:t>Relevant terms that are used in this document but are not defined under applicable regulatory guidance or International Financial Reporting Standards (IFRS) are explained in the Results glossary that can be accessed at http://group.barclays.com/about-barclays/investor-relations#institutional-investors.</w:t>
      </w:r>
    </w:p>
    <w:p w:rsidR="00B62539" w:rsidRDefault="00B62539" w:rsidP="00B62539">
      <w:pPr>
        <w:pStyle w:val="BodyText-BarcRA30"/>
        <w:rPr>
          <w:sz w:val="16"/>
        </w:rPr>
      </w:pPr>
      <w:r>
        <w:rPr>
          <w:sz w:val="16"/>
        </w:rPr>
        <w:t>In accordance with Barclays policy to provide meaningful disclosures that help investors and other stakeholders understand the financial position, performance and changes in the financial position of the Group for the year, and having regard to the BBA Disclosure Code, the information provided in this report goes beyond minimum requirements. Barclays continues to develop its financial reporting considering best practice and welcomes feedback from investors, regulators and other stakeholders on the disclosures that they would find most useful.</w:t>
      </w:r>
    </w:p>
    <w:p w:rsidR="00B62539" w:rsidRDefault="00B62539" w:rsidP="00B62539">
      <w:pPr>
        <w:pStyle w:val="Level1Bullet-BarcRA0"/>
        <w:numPr>
          <w:ilvl w:val="0"/>
          <w:numId w:val="0"/>
        </w:numPr>
        <w:tabs>
          <w:tab w:val="left" w:pos="720"/>
        </w:tabs>
        <w:rPr>
          <w:sz w:val="16"/>
          <w:szCs w:val="16"/>
          <w:lang w:val="en-GB"/>
        </w:rPr>
      </w:pPr>
      <w:r>
        <w:rPr>
          <w:sz w:val="16"/>
          <w:szCs w:val="16"/>
        </w:rPr>
        <w:t xml:space="preserve">The information in this announcement, which was approved by the Board of </w:t>
      </w:r>
      <w:r w:rsidRPr="00933A17">
        <w:rPr>
          <w:sz w:val="16"/>
          <w:szCs w:val="16"/>
        </w:rPr>
        <w:t xml:space="preserve">Directors on </w:t>
      </w:r>
      <w:r>
        <w:rPr>
          <w:sz w:val="16"/>
          <w:szCs w:val="16"/>
          <w:lang w:val="en-GB"/>
        </w:rPr>
        <w:t>26 Jul</w:t>
      </w:r>
      <w:r w:rsidRPr="00933A17">
        <w:rPr>
          <w:sz w:val="16"/>
          <w:szCs w:val="16"/>
        </w:rPr>
        <w:t>y</w:t>
      </w:r>
      <w:r>
        <w:rPr>
          <w:sz w:val="16"/>
          <w:szCs w:val="16"/>
        </w:rPr>
        <w:t xml:space="preserve"> 2012, does not comprise statutory accounts within the meaning of Section 434 of the Companies Act 2006. Statutory accounts for the year ended 31 December 201</w:t>
      </w:r>
      <w:r>
        <w:rPr>
          <w:sz w:val="16"/>
          <w:szCs w:val="16"/>
          <w:lang w:val="en-GB"/>
        </w:rPr>
        <w:t>1</w:t>
      </w:r>
      <w:r>
        <w:rPr>
          <w:sz w:val="16"/>
          <w:szCs w:val="16"/>
        </w:rPr>
        <w:t>,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r>
        <w:rPr>
          <w:sz w:val="16"/>
          <w:szCs w:val="16"/>
          <w:lang w:val="en-GB"/>
        </w:rPr>
        <w:t xml:space="preserve">. </w:t>
      </w:r>
    </w:p>
    <w:p w:rsidR="00B62539" w:rsidRPr="00722F92" w:rsidRDefault="00B62539" w:rsidP="00B62539">
      <w:pPr>
        <w:pStyle w:val="BodyText-BarcRA3"/>
        <w:rPr>
          <w:sz w:val="16"/>
          <w:szCs w:val="16"/>
          <w:lang w:val="la-Latn"/>
        </w:rPr>
      </w:pPr>
      <w:r w:rsidRPr="00722F92">
        <w:rPr>
          <w:sz w:val="16"/>
          <w:szCs w:val="16"/>
          <w:lang w:val="la-Latn"/>
        </w:rPr>
        <w:t>These results will be furnished as a Form 6-K to the SEC as soon as practicable following their publication. Once filed with the SEC, copies of the Form 6-K will also be available from the Barclays Investor Relations website www.barclays.com/investorrelations and from the SEC’s website (www.sec.gov).</w:t>
      </w:r>
    </w:p>
    <w:p w:rsidR="00B62539" w:rsidRDefault="00B62539" w:rsidP="00B62539">
      <w:pPr>
        <w:pStyle w:val="HeadingLevel1-BarcRA"/>
      </w:pPr>
      <w:r>
        <w:br w:type="page"/>
      </w:r>
    </w:p>
    <w:p w:rsidR="00B62539" w:rsidRDefault="00B62539" w:rsidP="00B62539">
      <w:pPr>
        <w:pStyle w:val="BodyText-BarcRA3"/>
        <w:jc w:val="center"/>
      </w:pPr>
      <w:r>
        <w:t>Intentionally left blank</w:t>
      </w:r>
    </w:p>
    <w:p w:rsidR="00B62539" w:rsidRDefault="00B62539" w:rsidP="00B62539">
      <w:pPr>
        <w:sectPr w:rsidR="00B62539">
          <w:footerReference w:type="default" r:id="rId8"/>
          <w:type w:val="continuous"/>
          <w:pgSz w:w="11905" w:h="16837"/>
          <w:pgMar w:top="851" w:right="1134" w:bottom="567" w:left="1134" w:header="851" w:footer="567" w:gutter="0"/>
          <w:cols w:space="708"/>
        </w:sectPr>
      </w:pPr>
    </w:p>
    <w:p w:rsidR="00B62539" w:rsidRDefault="00B62539" w:rsidP="00B62539">
      <w:pPr>
        <w:pStyle w:val="HeadingLevel1-BarcRA"/>
      </w:pPr>
      <w:r>
        <w:lastRenderedPageBreak/>
        <w:t>Basis of Preparation</w:t>
      </w:r>
    </w:p>
    <w:p w:rsidR="006F7A09" w:rsidRDefault="006F7A09" w:rsidP="006F7A09">
      <w:pPr>
        <w:pStyle w:val="BodyText-BarcRA310"/>
        <w:spacing w:before="140" w:after="140"/>
        <w:rPr>
          <w:color w:val="000000"/>
          <w:szCs w:val="18"/>
        </w:rPr>
      </w:pPr>
      <w:r>
        <w:rPr>
          <w:color w:val="000000"/>
          <w:szCs w:val="18"/>
        </w:rPr>
        <w:t>This document together with the addendum that represents the Barclays PLC consolidated interim financial statements represent the Barclays Bank PLC consolidated interim financial statements.</w:t>
      </w:r>
    </w:p>
    <w:p w:rsidR="006F7A09" w:rsidRDefault="006F7A09" w:rsidP="006F7A09">
      <w:pPr>
        <w:pStyle w:val="BodyText-BarcRA310"/>
        <w:spacing w:before="140" w:after="140"/>
        <w:rPr>
          <w:color w:val="000000"/>
          <w:szCs w:val="18"/>
        </w:rPr>
      </w:pPr>
      <w:r>
        <w:rPr>
          <w:color w:val="000000"/>
          <w:szCs w:val="18"/>
        </w:rPr>
        <w:t>Barclays Bank PLC is a wholly owned subsidiary of Barclays PLC, which is the Group’s ultimate parent company. The consolidated financial statements of Barclays Bank PLC and Barclays PLC are materially the same, with the key differences being that, in accordance with IFRS:</w:t>
      </w:r>
    </w:p>
    <w:p w:rsidR="006F7A09" w:rsidRDefault="006F7A09" w:rsidP="006F7A09">
      <w:pPr>
        <w:pStyle w:val="BodyText-BarcRA310"/>
        <w:numPr>
          <w:ilvl w:val="0"/>
          <w:numId w:val="143"/>
        </w:numPr>
        <w:tabs>
          <w:tab w:val="clear" w:pos="284"/>
        </w:tabs>
        <w:spacing w:before="140" w:after="140"/>
        <w:ind w:left="360" w:hanging="360"/>
        <w:rPr>
          <w:color w:val="000000"/>
          <w:szCs w:val="18"/>
        </w:rPr>
      </w:pPr>
      <w:r>
        <w:rPr>
          <w:color w:val="000000"/>
          <w:szCs w:val="18"/>
        </w:rPr>
        <w:t>Preference shares issued by Barclays Bank PLC are included within share capital and share premium in Barclays Bank PLC but represent non-controlling interests in Barclays PLC;</w:t>
      </w:r>
    </w:p>
    <w:p w:rsidR="006F7A09" w:rsidRDefault="006F7A09" w:rsidP="006F7A09">
      <w:pPr>
        <w:pStyle w:val="BodyText-BarcRA310"/>
        <w:numPr>
          <w:ilvl w:val="0"/>
          <w:numId w:val="143"/>
        </w:numPr>
        <w:tabs>
          <w:tab w:val="clear" w:pos="284"/>
        </w:tabs>
        <w:spacing w:before="140" w:after="140"/>
        <w:ind w:left="360" w:hanging="360"/>
        <w:rPr>
          <w:color w:val="000000"/>
          <w:szCs w:val="18"/>
        </w:rPr>
      </w:pPr>
      <w:r>
        <w:rPr>
          <w:color w:val="000000"/>
          <w:szCs w:val="18"/>
        </w:rPr>
        <w:t>Certain issuances of capital notes by Barclays Bank PLC are included within other shareholders’ equity in Barclays Bank PLC, but represent non-controlling interests in Barclays PLC; and</w:t>
      </w:r>
    </w:p>
    <w:p w:rsidR="006F7A09" w:rsidRDefault="006F7A09" w:rsidP="006F7A09">
      <w:pPr>
        <w:pStyle w:val="BodyText-BarcRA310"/>
        <w:numPr>
          <w:ilvl w:val="0"/>
          <w:numId w:val="143"/>
        </w:numPr>
        <w:tabs>
          <w:tab w:val="clear" w:pos="284"/>
        </w:tabs>
        <w:spacing w:before="140" w:after="140"/>
        <w:ind w:left="360" w:hanging="360"/>
        <w:rPr>
          <w:color w:val="000000"/>
          <w:szCs w:val="18"/>
        </w:rPr>
      </w:pPr>
      <w:r>
        <w:rPr>
          <w:color w:val="000000"/>
          <w:szCs w:val="18"/>
        </w:rPr>
        <w:t>Barclays PLC shares held for the purposes of employee share schemes and for trading are recognised as available for sale investments and trading portfolio assets respectively within Barclays Bank PLC. Barclays PLC deducts treasury shares from shareholders equity.</w:t>
      </w:r>
    </w:p>
    <w:p w:rsidR="006F7A09" w:rsidRDefault="006F7A09" w:rsidP="006F7A09">
      <w:pPr>
        <w:pStyle w:val="BodyText-BarcRA310"/>
        <w:spacing w:before="140" w:after="140"/>
        <w:rPr>
          <w:szCs w:val="18"/>
        </w:rPr>
      </w:pPr>
      <w:r>
        <w:rPr>
          <w:szCs w:val="18"/>
        </w:rPr>
        <w:t>More extensive disclosures are contained in the Barclays PLC Results Announcement for the period ended 30 June 2012, attached, including risk exposures and business performance, which are materially the same as those for Barclays Bank PLC.</w:t>
      </w:r>
    </w:p>
    <w:p w:rsidR="006F7A09" w:rsidRDefault="006F7A09" w:rsidP="006F7A09">
      <w:pPr>
        <w:pStyle w:val="BodyText-BarcRA310"/>
        <w:spacing w:before="140" w:after="140"/>
        <w:rPr>
          <w:szCs w:val="18"/>
        </w:rPr>
      </w:pPr>
      <w:r>
        <w:rPr>
          <w:szCs w:val="18"/>
        </w:rPr>
        <w:t>These consolidated interim financial statements do not comprise the Barclays Bank PLC Group’s statutory accounts.  The Barclays Bank PLC Group’s statutory accounts for the year ended 31 December 2011, on which the auditors issued an unmodified audit opinion, have been filed with the Registrar of Companies.</w:t>
      </w:r>
    </w:p>
    <w:p w:rsidR="006F7A09" w:rsidRPr="005E40EF" w:rsidRDefault="006F7A09" w:rsidP="006F7A09">
      <w:pPr>
        <w:pStyle w:val="BodyText-BarcRA6"/>
        <w:spacing w:before="140" w:after="140"/>
        <w:rPr>
          <w:b/>
          <w:color w:val="000000"/>
        </w:rPr>
      </w:pPr>
      <w:r w:rsidRPr="005E40EF">
        <w:rPr>
          <w:b/>
          <w:color w:val="000000"/>
        </w:rPr>
        <w:t>Accounting Policies</w:t>
      </w:r>
    </w:p>
    <w:p w:rsidR="006F7A09" w:rsidRDefault="006F7A09" w:rsidP="006F7A09">
      <w:pPr>
        <w:pStyle w:val="BodyText-BarcRA74"/>
        <w:spacing w:before="140" w:after="140"/>
      </w:pPr>
      <w:r>
        <w:t>The Results Announcement has been prepared in accordance with IAS 34 Interim Financial Reporting, using the same accounting policies and methods of computation as those used in the 2011 Annual Report.</w:t>
      </w:r>
    </w:p>
    <w:p w:rsidR="006F7A09" w:rsidRDefault="006F7A09" w:rsidP="006F7A09">
      <w:pPr>
        <w:pStyle w:val="BodyText-BarcRA74"/>
        <w:spacing w:before="140" w:after="140"/>
      </w:pPr>
      <w:r>
        <w:t xml:space="preserve">There have been no accounting developments since those disclosed in the 2011 Annual Report that are expected to have a material impact on the </w:t>
      </w:r>
      <w:r>
        <w:rPr>
          <w:szCs w:val="18"/>
        </w:rPr>
        <w:t>Barclays Bank PLC Group’s</w:t>
      </w:r>
      <w:r>
        <w:t xml:space="preserve"> 2012 results. There have been and are expected to be a number of significant changes to the </w:t>
      </w:r>
      <w:r>
        <w:rPr>
          <w:szCs w:val="18"/>
        </w:rPr>
        <w:t xml:space="preserve">Barclays Bank PLC Group’s </w:t>
      </w:r>
      <w:r>
        <w:t>financial reporting after 2012 as a result of amended or new accounting standards that have been or will be issued by the IASB. The most significant of these are as follows:</w:t>
      </w:r>
    </w:p>
    <w:p w:rsidR="006F7A09" w:rsidRDefault="006F7A09" w:rsidP="006F7A09">
      <w:pPr>
        <w:pStyle w:val="BodyText-BarcRA74"/>
        <w:spacing w:before="140" w:after="140"/>
        <w:rPr>
          <w:i/>
        </w:rPr>
      </w:pPr>
      <w:r>
        <w:rPr>
          <w:i/>
        </w:rPr>
        <w:t>Effective from 1 January 2013:</w:t>
      </w:r>
    </w:p>
    <w:p w:rsidR="006F7A09" w:rsidRDefault="006F7A09" w:rsidP="006F7A09">
      <w:pPr>
        <w:pStyle w:val="Level1Bullet-BarcRA38"/>
        <w:numPr>
          <w:ilvl w:val="0"/>
          <w:numId w:val="4"/>
        </w:numPr>
        <w:spacing w:before="140" w:after="140"/>
      </w:pPr>
      <w:r>
        <w:t>From 1 January 2013,</w:t>
      </w:r>
      <w:r>
        <w:rPr>
          <w:lang w:val="en-GB"/>
        </w:rPr>
        <w:t xml:space="preserve"> </w:t>
      </w:r>
      <w:r>
        <w:rPr>
          <w:szCs w:val="18"/>
        </w:rPr>
        <w:t>Barclays Bank PLC Group</w:t>
      </w:r>
      <w:r>
        <w:t xml:space="preserve"> will adopt IAS 19 Employee Benefits revised. The main impact of the revision is the removal of  the ability to defer actuarial gains and losses as part of its pension assets and liabilities. </w:t>
      </w:r>
      <w:r>
        <w:rPr>
          <w:szCs w:val="18"/>
        </w:rPr>
        <w:t>Barclays Bank PLC Group</w:t>
      </w:r>
      <w:r>
        <w:t xml:space="preserve"> will also include changes in net pension liabilities or assets that do not arise from regular cost, interest (on the net pension liabilities or assets) or contributions, within </w:t>
      </w:r>
      <w:r>
        <w:rPr>
          <w:lang w:val="en-GB"/>
        </w:rPr>
        <w:t>o</w:t>
      </w:r>
      <w:r>
        <w:t xml:space="preserve">ther </w:t>
      </w:r>
      <w:r>
        <w:rPr>
          <w:lang w:val="en-GB"/>
        </w:rPr>
        <w:t>c</w:t>
      </w:r>
      <w:r>
        <w:t>omprehensive</w:t>
      </w:r>
      <w:r>
        <w:rPr>
          <w:lang w:val="en-GB"/>
        </w:rPr>
        <w:t xml:space="preserve"> </w:t>
      </w:r>
      <w:proofErr w:type="spellStart"/>
      <w:r>
        <w:rPr>
          <w:lang w:val="en-GB"/>
        </w:rPr>
        <w:t>i</w:t>
      </w:r>
      <w:proofErr w:type="spellEnd"/>
      <w:r>
        <w:t>ncome.</w:t>
      </w:r>
      <w:r>
        <w:rPr>
          <w:lang w:val="en-GB"/>
        </w:rPr>
        <w:t xml:space="preserve"> Details of the financial and capital impact of these changes are detailed in note 15 of the Barclays PLC Interim Results Announcement</w:t>
      </w:r>
    </w:p>
    <w:p w:rsidR="006F7A09" w:rsidRDefault="006F7A09" w:rsidP="006F7A09">
      <w:pPr>
        <w:pStyle w:val="Level1Bullet-BarcRA38"/>
        <w:numPr>
          <w:ilvl w:val="0"/>
          <w:numId w:val="4"/>
        </w:numPr>
        <w:spacing w:before="140" w:after="140"/>
      </w:pPr>
      <w:r>
        <w:t xml:space="preserve">IFRS 10 Consolidated Financial Statements will require </w:t>
      </w:r>
      <w:r>
        <w:rPr>
          <w:szCs w:val="18"/>
        </w:rPr>
        <w:t>Barclays Bank PLC Group</w:t>
      </w:r>
      <w:r>
        <w:t xml:space="preserve"> to apply different criteria to determine the entities that are included in </w:t>
      </w:r>
      <w:r>
        <w:rPr>
          <w:szCs w:val="18"/>
        </w:rPr>
        <w:t>Barclays Bank PLC Group’s</w:t>
      </w:r>
      <w:r>
        <w:t xml:space="preserve"> consolidated financial statements. It is no</w:t>
      </w:r>
      <w:r>
        <w:rPr>
          <w:lang w:val="en-GB"/>
        </w:rPr>
        <w:t xml:space="preserve">t yet </w:t>
      </w:r>
      <w:r>
        <w:t>possible to estimate the financial effects of adopting the standard</w:t>
      </w:r>
    </w:p>
    <w:p w:rsidR="006F7A09" w:rsidRPr="00652363" w:rsidRDefault="006F7A09" w:rsidP="006F7A09">
      <w:pPr>
        <w:pStyle w:val="Normal72"/>
        <w:spacing w:before="140" w:after="140"/>
        <w:rPr>
          <w:rFonts w:ascii="Expert Sans Regular" w:hAnsi="Expert Sans Regular"/>
          <w:i/>
          <w:sz w:val="18"/>
          <w:szCs w:val="20"/>
        </w:rPr>
      </w:pPr>
      <w:r w:rsidRPr="00652363">
        <w:rPr>
          <w:rFonts w:ascii="Expert Sans Regular" w:hAnsi="Expert Sans Regular"/>
          <w:i/>
          <w:sz w:val="18"/>
          <w:szCs w:val="20"/>
        </w:rPr>
        <w:t>Effective from 1 January 2015:</w:t>
      </w:r>
    </w:p>
    <w:p w:rsidR="006F7A09" w:rsidRDefault="006F7A09" w:rsidP="006F7A09">
      <w:pPr>
        <w:pStyle w:val="Level1Bullet-BarcRA410"/>
        <w:numPr>
          <w:ilvl w:val="0"/>
          <w:numId w:val="5"/>
        </w:numPr>
        <w:spacing w:before="140" w:after="140"/>
      </w:pPr>
      <w:r>
        <w:t xml:space="preserve">IFRS 9 Financial Instruments will change the classification and therefore the measurement of its financial assets, the calculation of impairment and hedge accounting. In addition to these changes, </w:t>
      </w:r>
      <w:r>
        <w:rPr>
          <w:lang w:val="en-GB"/>
        </w:rPr>
        <w:t xml:space="preserve">the portion of </w:t>
      </w:r>
      <w:r>
        <w:t>gains</w:t>
      </w:r>
      <w:r>
        <w:rPr>
          <w:lang w:val="en-GB"/>
        </w:rPr>
        <w:t xml:space="preserve"> and losses</w:t>
      </w:r>
      <w:r>
        <w:t xml:space="preserve"> arising from changes in </w:t>
      </w:r>
      <w:r>
        <w:rPr>
          <w:szCs w:val="18"/>
        </w:rPr>
        <w:t>Barclays Bank PLC Group’s</w:t>
      </w:r>
      <w:r>
        <w:rPr>
          <w:lang w:val="en-GB"/>
        </w:rPr>
        <w:t xml:space="preserve"> credit rating included in changes in the </w:t>
      </w:r>
      <w:r>
        <w:t xml:space="preserve">value of </w:t>
      </w:r>
      <w:r>
        <w:rPr>
          <w:szCs w:val="18"/>
        </w:rPr>
        <w:lastRenderedPageBreak/>
        <w:t xml:space="preserve">Barclays Bank PLC Group’s </w:t>
      </w:r>
      <w:r>
        <w:t xml:space="preserve">issued debt securities held at fair value through profit or loss will be included in </w:t>
      </w:r>
      <w:r>
        <w:rPr>
          <w:lang w:val="en-GB"/>
        </w:rPr>
        <w:t>o</w:t>
      </w:r>
      <w:r>
        <w:t xml:space="preserve">ther </w:t>
      </w:r>
      <w:r>
        <w:rPr>
          <w:lang w:val="en-GB"/>
        </w:rPr>
        <w:t>c</w:t>
      </w:r>
      <w:r>
        <w:t xml:space="preserve">omprehensive </w:t>
      </w:r>
      <w:proofErr w:type="spellStart"/>
      <w:r>
        <w:rPr>
          <w:lang w:val="en-GB"/>
        </w:rPr>
        <w:t>i</w:t>
      </w:r>
      <w:proofErr w:type="spellEnd"/>
      <w:r>
        <w:t>ncome rather than the income statement. The proposals have yet to be finalised and it is therefore not</w:t>
      </w:r>
      <w:r>
        <w:rPr>
          <w:lang w:val="en-GB"/>
        </w:rPr>
        <w:t xml:space="preserve"> yet</w:t>
      </w:r>
      <w:r>
        <w:t xml:space="preserve"> possible to estimate the financial effects.</w:t>
      </w:r>
    </w:p>
    <w:p w:rsidR="006F7A09" w:rsidRPr="00652363" w:rsidRDefault="006F7A09" w:rsidP="006F7A09">
      <w:pPr>
        <w:pStyle w:val="Normal72"/>
        <w:spacing w:before="140" w:after="140"/>
        <w:rPr>
          <w:rFonts w:ascii="Expert Sans Regular" w:hAnsi="Expert Sans Regular"/>
          <w:sz w:val="18"/>
          <w:szCs w:val="20"/>
          <w:lang w:val="la-Latn"/>
        </w:rPr>
      </w:pPr>
      <w:r w:rsidRPr="00652363">
        <w:rPr>
          <w:rFonts w:ascii="Expert Sans Regular" w:hAnsi="Expert Sans Regular"/>
          <w:sz w:val="18"/>
          <w:szCs w:val="20"/>
          <w:lang w:val="la-Latn"/>
        </w:rPr>
        <w:t>For more information on the changes, refer to the Barclays 2011 Annual Report.</w:t>
      </w:r>
    </w:p>
    <w:p w:rsidR="006F7A09" w:rsidRPr="005E40EF" w:rsidRDefault="006F7A09" w:rsidP="006F7A09">
      <w:pPr>
        <w:pStyle w:val="BodyText-BarcRA6"/>
        <w:spacing w:before="140" w:after="140"/>
        <w:rPr>
          <w:b/>
          <w:bCs/>
          <w:color w:val="000000"/>
        </w:rPr>
      </w:pPr>
      <w:r w:rsidRPr="005E40EF">
        <w:rPr>
          <w:b/>
          <w:bCs/>
          <w:color w:val="000000"/>
        </w:rPr>
        <w:t>G</w:t>
      </w:r>
      <w:r w:rsidRPr="005E40EF">
        <w:rPr>
          <w:b/>
          <w:bCs/>
          <w:color w:val="000000"/>
          <w:lang w:val="la-Latn"/>
        </w:rPr>
        <w:t>oing Concern</w:t>
      </w:r>
    </w:p>
    <w:p w:rsidR="006F7A09" w:rsidRPr="005E40EF" w:rsidRDefault="006F7A09" w:rsidP="006F7A09">
      <w:pPr>
        <w:pStyle w:val="BodyText-BarcRA6"/>
        <w:spacing w:before="140" w:after="140"/>
        <w:rPr>
          <w:color w:val="000000"/>
        </w:rPr>
      </w:pPr>
      <w:r>
        <w:t>Barclays Bank PLC Group’s</w:t>
      </w:r>
      <w:r w:rsidRPr="005E40EF">
        <w:rPr>
          <w:color w:val="000000"/>
        </w:rPr>
        <w:t xml:space="preserve"> business activities and financial position, the factors likely to affect its future development and performance, and its objectives and policies in managing the financial risks to which it is exposed and its capital are discussed in the Results by B</w:t>
      </w:r>
      <w:r>
        <w:rPr>
          <w:color w:val="000000"/>
        </w:rPr>
        <w:t>usiness, Performance Management and</w:t>
      </w:r>
      <w:r w:rsidRPr="005E40EF">
        <w:rPr>
          <w:color w:val="000000"/>
        </w:rPr>
        <w:t xml:space="preserve"> Risk Management sections of the Barclays PLC</w:t>
      </w:r>
      <w:r>
        <w:rPr>
          <w:color w:val="000000"/>
        </w:rPr>
        <w:t xml:space="preserve"> Interim</w:t>
      </w:r>
      <w:r w:rsidRPr="005E40EF">
        <w:rPr>
          <w:color w:val="000000"/>
        </w:rPr>
        <w:t xml:space="preserve"> Results Announcement. </w:t>
      </w:r>
    </w:p>
    <w:p w:rsidR="006F7A09" w:rsidRPr="005E40EF" w:rsidRDefault="006F7A09" w:rsidP="006F7A09">
      <w:pPr>
        <w:pStyle w:val="BodyText-BarcRA6"/>
        <w:spacing w:before="140" w:after="140"/>
        <w:rPr>
          <w:color w:val="000000"/>
        </w:rPr>
      </w:pPr>
      <w:r w:rsidRPr="005E40EF">
        <w:rPr>
          <w:color w:val="000000"/>
        </w:rPr>
        <w:t xml:space="preserve">The Directors confirm </w:t>
      </w:r>
      <w:r>
        <w:rPr>
          <w:color w:val="000000"/>
        </w:rPr>
        <w:t>that they are satisfied that</w:t>
      </w:r>
      <w:r w:rsidRPr="005E40EF">
        <w:rPr>
          <w:color w:val="000000"/>
        </w:rPr>
        <w:t xml:space="preserve"> </w:t>
      </w:r>
      <w:r>
        <w:t>Barclays Bank PLC Group</w:t>
      </w:r>
      <w:r w:rsidRPr="005E40EF">
        <w:rPr>
          <w:color w:val="000000"/>
        </w:rPr>
        <w:t xml:space="preserve"> has adequate resources to continue in business for the foreseeable future.  For this reas</w:t>
      </w:r>
      <w:r>
        <w:rPr>
          <w:color w:val="000000"/>
        </w:rPr>
        <w:t xml:space="preserve">on, they continue to adopt the </w:t>
      </w:r>
      <w:r w:rsidRPr="005E40EF">
        <w:rPr>
          <w:color w:val="000000"/>
        </w:rPr>
        <w:t>going concern basis for preparing accounts.</w:t>
      </w:r>
    </w:p>
    <w:p w:rsidR="003B479C" w:rsidRDefault="003B479C" w:rsidP="003B479C">
      <w:pPr>
        <w:pStyle w:val="HeadingLevel1-BarcRA"/>
      </w:pPr>
      <w:r>
        <w:br w:type="page"/>
      </w:r>
      <w:r>
        <w:lastRenderedPageBreak/>
        <w:t>Statement of Directors’ Responsibilities</w:t>
      </w:r>
    </w:p>
    <w:p w:rsidR="003B479C" w:rsidRPr="00100BF5" w:rsidRDefault="003B479C" w:rsidP="003B479C">
      <w:pPr>
        <w:pStyle w:val="BodyText-BarcRA67"/>
        <w:spacing w:before="0"/>
      </w:pPr>
      <w:r w:rsidRPr="00100BF5">
        <w:t xml:space="preserve">The Directors confirm to the best of their knowledge that the condensed consolidated interim financial statements set out on pages </w:t>
      </w:r>
      <w:r>
        <w:t>4</w:t>
      </w:r>
      <w:r w:rsidRPr="00100BF5">
        <w:t xml:space="preserve"> to </w:t>
      </w:r>
      <w:r>
        <w:t>9</w:t>
      </w:r>
      <w:r w:rsidRPr="00100BF5">
        <w:t xml:space="preserve"> have been prepared in accordance with International Accounting Standard 34, ‘Interim Financial Reporting’, as adopted by the European Union, and that the interim management report herein includes a fair review of the information required by Disclosure and Transparency Rules 4.2.7 and 4.2.8 namely:</w:t>
      </w:r>
    </w:p>
    <w:p w:rsidR="003B479C" w:rsidRPr="00100BF5" w:rsidRDefault="003B479C" w:rsidP="003B479C">
      <w:pPr>
        <w:pStyle w:val="Level1Bullet-BarcRA03"/>
        <w:rPr>
          <w:lang w:val="en-GB"/>
        </w:rPr>
      </w:pPr>
      <w:r w:rsidRPr="00100BF5">
        <w:rPr>
          <w:lang w:val="en-GB"/>
        </w:rPr>
        <w:t>An indication of important events that have occurred during the six months ended 30 June 2012 and their impact on the condensed consolidated interim financial statements, and a description of the principal risks and uncertainties for the remaining six months of the financial year</w:t>
      </w:r>
    </w:p>
    <w:p w:rsidR="003B479C" w:rsidRPr="00100BF5" w:rsidRDefault="003B479C" w:rsidP="003B479C">
      <w:pPr>
        <w:pStyle w:val="Level1Bullet-BarcRA03"/>
        <w:rPr>
          <w:lang w:val="en-GB"/>
        </w:rPr>
      </w:pPr>
      <w:r w:rsidRPr="00100BF5">
        <w:rPr>
          <w:lang w:val="en-GB"/>
        </w:rPr>
        <w:t>Material related party transactions in the six months ended 30 June 2012 and any material changes in the related party transactions described in the last Annual Report</w:t>
      </w:r>
    </w:p>
    <w:p w:rsidR="003B479C" w:rsidRPr="00100BF5" w:rsidRDefault="003B479C" w:rsidP="003B479C">
      <w:pPr>
        <w:pStyle w:val="BodyText-BarcRA67"/>
      </w:pPr>
      <w:r w:rsidRPr="00100BF5">
        <w:t>On behalf of the Board</w:t>
      </w:r>
    </w:p>
    <w:p w:rsidR="003B479C" w:rsidRPr="00100BF5" w:rsidRDefault="003B479C" w:rsidP="003B479C">
      <w:pPr>
        <w:pStyle w:val="BodyText-BarcRA67"/>
      </w:pPr>
    </w:p>
    <w:p w:rsidR="003B479C" w:rsidRPr="00100BF5" w:rsidRDefault="003B479C" w:rsidP="003B479C">
      <w:pPr>
        <w:pStyle w:val="BodyText-BarcRA67"/>
      </w:pPr>
    </w:p>
    <w:p w:rsidR="003B479C" w:rsidRPr="00100BF5" w:rsidRDefault="003B479C" w:rsidP="003B479C">
      <w:pPr>
        <w:pStyle w:val="BodyText-BarcRA67"/>
      </w:pPr>
    </w:p>
    <w:p w:rsidR="003B479C" w:rsidRPr="00100BF5" w:rsidRDefault="003B479C" w:rsidP="003B479C">
      <w:pPr>
        <w:pStyle w:val="BodyText-BarcRA67"/>
        <w:rPr>
          <w:b/>
        </w:rPr>
      </w:pPr>
      <w:r w:rsidRPr="00100BF5">
        <w:rPr>
          <w:b/>
        </w:rPr>
        <w:t xml:space="preserve">Marcus Agius </w:t>
      </w:r>
      <w:r w:rsidRPr="00100BF5">
        <w:rPr>
          <w:b/>
        </w:rPr>
        <w:tab/>
      </w:r>
      <w:r w:rsidRPr="00100BF5">
        <w:rPr>
          <w:b/>
        </w:rPr>
        <w:tab/>
      </w:r>
      <w:r w:rsidRPr="00100BF5">
        <w:rPr>
          <w:b/>
        </w:rPr>
        <w:tab/>
      </w:r>
      <w:r w:rsidRPr="00100BF5">
        <w:rPr>
          <w:b/>
        </w:rPr>
        <w:tab/>
      </w:r>
      <w:r w:rsidRPr="00100BF5">
        <w:rPr>
          <w:b/>
        </w:rPr>
        <w:tab/>
      </w:r>
      <w:r w:rsidRPr="00100BF5">
        <w:rPr>
          <w:b/>
        </w:rPr>
        <w:tab/>
        <w:t>Chris Lucas</w:t>
      </w:r>
    </w:p>
    <w:p w:rsidR="003B479C" w:rsidRPr="00100BF5" w:rsidRDefault="003B479C" w:rsidP="003B479C">
      <w:pPr>
        <w:pStyle w:val="BodyText-BarcRA67"/>
      </w:pPr>
      <w:r w:rsidRPr="00100BF5">
        <w:t>Chairman</w:t>
      </w:r>
      <w:r w:rsidRPr="00100BF5">
        <w:tab/>
      </w:r>
      <w:r w:rsidRPr="00100BF5">
        <w:tab/>
      </w:r>
      <w:r w:rsidRPr="00100BF5">
        <w:tab/>
      </w:r>
      <w:r w:rsidRPr="00100BF5">
        <w:tab/>
      </w:r>
      <w:r w:rsidRPr="00100BF5">
        <w:tab/>
      </w:r>
      <w:r w:rsidRPr="00100BF5">
        <w:tab/>
        <w:t>Group Finance Director</w:t>
      </w:r>
    </w:p>
    <w:p w:rsidR="00B62539" w:rsidRDefault="00B62539" w:rsidP="00B62539">
      <w:pPr>
        <w:pStyle w:val="BodyText-BarcRA6"/>
        <w:rPr>
          <w:color w:val="000000"/>
        </w:rPr>
      </w:pPr>
      <w:r>
        <w:rPr>
          <w:color w:val="000000"/>
        </w:rPr>
        <w:br w:type="page"/>
      </w:r>
    </w:p>
    <w:p w:rsidR="003B479C" w:rsidRPr="003347DE" w:rsidRDefault="003B479C" w:rsidP="003B479C">
      <w:pPr>
        <w:pStyle w:val="HeadingLevel1-BarcRA"/>
        <w:rPr>
          <w:lang w:val="en-GB"/>
        </w:rPr>
      </w:pPr>
      <w:r>
        <w:rPr>
          <w:lang w:val="en-GB"/>
        </w:rPr>
        <w:t>Independent Auditors’ Review Report</w:t>
      </w:r>
    </w:p>
    <w:p w:rsidR="008C3313" w:rsidRDefault="008C3313" w:rsidP="008C3313">
      <w:pPr>
        <w:pStyle w:val="HeadingLevel2-BarcRA17"/>
        <w:rPr>
          <w:color w:val="auto"/>
        </w:rPr>
      </w:pPr>
      <w:r>
        <w:rPr>
          <w:color w:val="auto"/>
        </w:rPr>
        <w:t>Introduction</w:t>
      </w:r>
    </w:p>
    <w:p w:rsidR="008C3313" w:rsidRDefault="008C3313" w:rsidP="008C3313">
      <w:pPr>
        <w:pStyle w:val="BodyText-BarcRA72"/>
      </w:pPr>
      <w:r>
        <w:t>We have been engaged by Barclays Bank PLC to review the condensed set of consolidated interim financial statements in the interim results announcement for the six months ended 30 June 2012, which comprises the condensed consolidated income statement on page</w:t>
      </w:r>
      <w:r w:rsidR="001963CF">
        <w:t xml:space="preserve"> 4</w:t>
      </w:r>
      <w:r>
        <w:t>, condensed consolidated statement of profit or loss and other comprehensive income on page</w:t>
      </w:r>
      <w:r w:rsidR="001963CF">
        <w:t xml:space="preserve"> 5</w:t>
      </w:r>
      <w:r>
        <w:t xml:space="preserve">, condensed consolidated balance sheet on page </w:t>
      </w:r>
      <w:r w:rsidR="001963CF">
        <w:t>6</w:t>
      </w:r>
      <w:r>
        <w:t xml:space="preserve">, condensed consolidated statement of changes in equity on page </w:t>
      </w:r>
      <w:r w:rsidR="001963CF">
        <w:t>7</w:t>
      </w:r>
      <w:r>
        <w:t xml:space="preserve">, condensed consolidated cash flow statement on page </w:t>
      </w:r>
      <w:r w:rsidR="001963CF">
        <w:t>8</w:t>
      </w:r>
      <w:r>
        <w:t xml:space="preserve"> and related notes on page</w:t>
      </w:r>
      <w:r w:rsidR="001963CF">
        <w:t xml:space="preserve"> 9</w:t>
      </w:r>
      <w:r>
        <w:t>. We have read the other information contained in the interim results announcement and considered whether it contains any apparent misstatements or material inconsistencies with the information in the condensed consolidated interim financial statements.</w:t>
      </w:r>
    </w:p>
    <w:p w:rsidR="008C3313" w:rsidRDefault="008C3313" w:rsidP="008C3313">
      <w:pPr>
        <w:pStyle w:val="HeadingLevel2-BarcRA17"/>
        <w:rPr>
          <w:color w:val="auto"/>
          <w:lang w:val="en-GB"/>
        </w:rPr>
      </w:pPr>
      <w:r>
        <w:rPr>
          <w:color w:val="auto"/>
        </w:rPr>
        <w:t>Directors’ Responsibilities</w:t>
      </w:r>
      <w:r>
        <w:rPr>
          <w:color w:val="auto"/>
          <w:vertAlign w:val="superscript"/>
          <w:lang w:val="en-GB"/>
        </w:rPr>
        <w:t>1,2</w:t>
      </w:r>
    </w:p>
    <w:p w:rsidR="008C3313" w:rsidRDefault="008C3313" w:rsidP="008C3313">
      <w:pPr>
        <w:pStyle w:val="BodyText-BarcRA72"/>
      </w:pPr>
      <w:r>
        <w:t xml:space="preserve">The interim results announcement is the responsibility of, and has been approved by, the Directors. The Directors are responsible for preparing the interim results announcement in accordance with the Disclosure and Transparency Rules of the United Kingdom's Financial Services Authority. </w:t>
      </w:r>
    </w:p>
    <w:p w:rsidR="008C3313" w:rsidRDefault="008C3313" w:rsidP="008C3313">
      <w:pPr>
        <w:pStyle w:val="BodyText-BarcRA72"/>
      </w:pPr>
      <w:r>
        <w:t>As disclosed in the ‘Accounting Policies’ section, the annual financial statements of the Group are prepared in accordance with IFRSs as adopted by the European Union. The condensed consolidated interim financial statements included in this interim results announcement have been prepared in accordance with International Accounting Standard 34, "Interim Financial Reporting", as adopted by the European Union.</w:t>
      </w:r>
    </w:p>
    <w:p w:rsidR="008C3313" w:rsidRDefault="008C3313" w:rsidP="008C3313">
      <w:pPr>
        <w:pStyle w:val="HeadingLevel2-BarcRA17"/>
        <w:rPr>
          <w:color w:val="auto"/>
        </w:rPr>
      </w:pPr>
      <w:r>
        <w:rPr>
          <w:color w:val="auto"/>
        </w:rPr>
        <w:t>Our Responsibility</w:t>
      </w:r>
    </w:p>
    <w:p w:rsidR="008C3313" w:rsidRDefault="008C3313" w:rsidP="008C3313">
      <w:pPr>
        <w:pStyle w:val="BodyText-BarcRA72"/>
      </w:pPr>
      <w:r>
        <w:t>Our responsibility is to express to the company a conclusion on the condensed consolidated interim financial statements in the interim results announcement based on our review. This report, including the conclusion, has been prepared for and only for the company for the purpose of the Disclosure and Transparency Rules of the Financial Services Authority and for no other purpose. We do not, in producing this report, accept or assume responsibility for any other purpose or to any other person to whom this report is shown or into whose hands it may come save where expressly agreed by our prior consent in writing.</w:t>
      </w:r>
    </w:p>
    <w:p w:rsidR="008C3313" w:rsidRDefault="008C3313" w:rsidP="008C3313">
      <w:pPr>
        <w:pStyle w:val="HeadingLevel2-BarcRA17"/>
        <w:rPr>
          <w:color w:val="auto"/>
        </w:rPr>
      </w:pPr>
      <w:r>
        <w:rPr>
          <w:color w:val="auto"/>
        </w:rPr>
        <w:t>Scope of Review</w:t>
      </w:r>
    </w:p>
    <w:p w:rsidR="008C3313" w:rsidRDefault="008C3313" w:rsidP="008C3313">
      <w:pPr>
        <w:pStyle w:val="BodyText-BarcRA72"/>
      </w:pPr>
      <w:r>
        <w:t>We conducted our review in accordance with the International Standard on Review Engagements (UK and Ireland) 2410, ‘Review of Interim Financial Information Performed by the Independent Auditor of the Entity’ issued by the Auditing Practices Board for use in the United Kingdom.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(UK and Ireland) and consequently does not enable us to obtain assurance that we would become aware of all significant matters that might be identified in an audit. Accordingly, we do not express an audit opinion.</w:t>
      </w:r>
    </w:p>
    <w:p w:rsidR="008C3313" w:rsidRDefault="008C3313" w:rsidP="008C3313">
      <w:pPr>
        <w:pStyle w:val="HeadingLevel2-BarcRA17"/>
        <w:rPr>
          <w:color w:val="auto"/>
        </w:rPr>
      </w:pPr>
      <w:r>
        <w:rPr>
          <w:color w:val="auto"/>
        </w:rPr>
        <w:t>Conclusion</w:t>
      </w:r>
    </w:p>
    <w:p w:rsidR="008C3313" w:rsidRDefault="008C3313" w:rsidP="008C3313">
      <w:pPr>
        <w:pStyle w:val="BodyText-BarcRA72"/>
      </w:pPr>
      <w:r>
        <w:t>Based on our review, nothing has come to our attention that causes us to believe that the condensed consolidated interim financial statements in the interim results announcement for the six months ended 30 June 2012 are not prepared, in all material respects, in accordance with International Accounting Standard 34 as adopted by the European Union and the Disclosure and Transparency Rules of the United Kingdom's Financial Services Authority.</w:t>
      </w:r>
    </w:p>
    <w:p w:rsidR="008C3313" w:rsidRDefault="008C3313" w:rsidP="008C3313">
      <w:pPr>
        <w:pStyle w:val="BodyText-BarcRA69"/>
        <w:spacing w:before="0" w:after="0"/>
      </w:pPr>
    </w:p>
    <w:p w:rsidR="008C3313" w:rsidRDefault="008C3313" w:rsidP="008C3313">
      <w:pPr>
        <w:pStyle w:val="BodyText-BarcRA69"/>
        <w:spacing w:before="0" w:after="0"/>
      </w:pPr>
    </w:p>
    <w:p w:rsidR="008C3313" w:rsidRDefault="008C3313" w:rsidP="008C3313">
      <w:pPr>
        <w:pStyle w:val="BodyText-BarcRA69"/>
        <w:spacing w:before="0" w:after="0"/>
      </w:pPr>
    </w:p>
    <w:p w:rsidR="008C3313" w:rsidRDefault="008C3313" w:rsidP="008C3313">
      <w:pPr>
        <w:pStyle w:val="BodyText-BarcRA69"/>
        <w:spacing w:before="0" w:after="0"/>
      </w:pPr>
    </w:p>
    <w:p w:rsidR="008C3313" w:rsidRDefault="008C3313" w:rsidP="008C3313">
      <w:pPr>
        <w:pStyle w:val="BodyText-BarcRA69"/>
        <w:spacing w:before="0" w:after="0"/>
      </w:pPr>
    </w:p>
    <w:p w:rsidR="008C3313" w:rsidRDefault="008C3313" w:rsidP="008C3313">
      <w:pPr>
        <w:pStyle w:val="BodyText-BarcRA69"/>
        <w:spacing w:before="0" w:after="0"/>
      </w:pPr>
      <w:r>
        <w:t>PricewaterhouseCoopers LLP</w:t>
      </w:r>
    </w:p>
    <w:p w:rsidR="008C3313" w:rsidRDefault="008C3313" w:rsidP="008C3313">
      <w:pPr>
        <w:pStyle w:val="BodyText-BarcRA69"/>
        <w:spacing w:before="0" w:after="0"/>
      </w:pPr>
      <w:r>
        <w:t xml:space="preserve">Chartered Accountants London, </w:t>
      </w:r>
    </w:p>
    <w:p w:rsidR="008C3313" w:rsidRDefault="008C3313" w:rsidP="008C3313">
      <w:pPr>
        <w:pStyle w:val="BodyText-BarcRA69"/>
        <w:spacing w:before="0" w:after="0"/>
      </w:pPr>
      <w:r>
        <w:t xml:space="preserve">United Kingdom </w:t>
      </w:r>
    </w:p>
    <w:p w:rsidR="008C3313" w:rsidRDefault="008C3313" w:rsidP="008C3313">
      <w:pPr>
        <w:pStyle w:val="BodyText-BarcRA69"/>
        <w:spacing w:before="0" w:after="0"/>
      </w:pPr>
      <w:r>
        <w:t>26 July 2012</w:t>
      </w:r>
    </w:p>
    <w:p w:rsidR="008C3313" w:rsidRDefault="008C3313" w:rsidP="008C3313">
      <w:pPr>
        <w:pStyle w:val="NoteSourceText-BarcRA6"/>
        <w:ind w:left="0" w:firstLine="0"/>
        <w:rPr>
          <w:sz w:val="2"/>
          <w:szCs w:val="2"/>
        </w:rPr>
      </w:pPr>
    </w:p>
    <w:p w:rsidR="008C3313" w:rsidRDefault="008C3313" w:rsidP="008C3313">
      <w:pPr>
        <w:pStyle w:val="NoteSourceText-BarcRA6"/>
        <w:rPr>
          <w:sz w:val="2"/>
          <w:szCs w:val="2"/>
        </w:rPr>
      </w:pPr>
    </w:p>
    <w:p w:rsidR="008C3313" w:rsidRDefault="008C3313" w:rsidP="008C3313">
      <w:pPr>
        <w:pStyle w:val="NoteSourceText-BarcRA6"/>
        <w:rPr>
          <w:sz w:val="2"/>
          <w:szCs w:val="2"/>
        </w:rPr>
      </w:pPr>
    </w:p>
    <w:p w:rsidR="008C3313" w:rsidRDefault="008C3313" w:rsidP="008C3313">
      <w:pPr>
        <w:pStyle w:val="NoteSourceText-BarcRA6"/>
        <w:rPr>
          <w:sz w:val="2"/>
          <w:szCs w:val="2"/>
        </w:rPr>
      </w:pPr>
    </w:p>
    <w:p w:rsidR="008C3313" w:rsidRDefault="008C3313" w:rsidP="008C3313">
      <w:pPr>
        <w:pStyle w:val="NoteSourceText-BarcRA6"/>
        <w:rPr>
          <w:sz w:val="2"/>
          <w:szCs w:val="2"/>
        </w:rPr>
      </w:pPr>
    </w:p>
    <w:p w:rsidR="008C3313" w:rsidRDefault="008C3313" w:rsidP="008C3313">
      <w:pPr>
        <w:pStyle w:val="NoteSourceText-BarcRA6"/>
      </w:pPr>
      <w:r>
        <w:t>1</w:t>
      </w:r>
      <w:r>
        <w:tab/>
        <w:t>The maintenance and integrity of the Barclays website is the responsibility of the Directors; the work carried out by the auditors does not involve</w:t>
      </w:r>
    </w:p>
    <w:p w:rsidR="008C3313" w:rsidRDefault="008C3313" w:rsidP="008C3313">
      <w:pPr>
        <w:pStyle w:val="NoteSourceText-BarcRA6"/>
      </w:pPr>
      <w:r>
        <w:tab/>
        <w:t>consideration of these matters and, accordingly, the auditors accept no responsibility for any changes that may have occurred to the financial</w:t>
      </w:r>
    </w:p>
    <w:p w:rsidR="008C3313" w:rsidRDefault="008C3313" w:rsidP="008C3313">
      <w:pPr>
        <w:pStyle w:val="NoteSourceText-BarcRA6"/>
      </w:pPr>
      <w:r>
        <w:tab/>
        <w:t>statements since they were initially presented on the website.</w:t>
      </w:r>
    </w:p>
    <w:p w:rsidR="008C3313" w:rsidRDefault="008C3313" w:rsidP="008C3313">
      <w:pPr>
        <w:pStyle w:val="NoteSourceText-BarcRA6"/>
      </w:pPr>
      <w:r>
        <w:t>2</w:t>
      </w:r>
      <w:r>
        <w:tab/>
        <w:t>Legislation in the United Kingdom governing the preparation and dissemination of financial statements may differ from legislation in other jurisdictions.</w:t>
      </w:r>
    </w:p>
    <w:p w:rsidR="008C3313" w:rsidRPr="005E40EF" w:rsidRDefault="008C3313" w:rsidP="00B62539">
      <w:pPr>
        <w:pStyle w:val="BodyText-BarcRA6"/>
        <w:rPr>
          <w:color w:val="000000"/>
        </w:rPr>
        <w:sectPr w:rsidR="008C3313" w:rsidRPr="005E40EF">
          <w:headerReference w:type="default" r:id="rId9"/>
          <w:footerReference w:type="default" r:id="rId10"/>
          <w:pgSz w:w="11905" w:h="16837"/>
          <w:pgMar w:top="851" w:right="1134" w:bottom="567" w:left="1134" w:header="851" w:footer="567" w:gutter="0"/>
          <w:pgNumType w:start="1"/>
          <w:cols w:space="708"/>
        </w:sectPr>
      </w:pPr>
    </w:p>
    <w:p w:rsidR="00B62539" w:rsidRPr="00932C16" w:rsidRDefault="00B62539" w:rsidP="00B62539">
      <w:pPr>
        <w:pStyle w:val="HeadingLevel1-BarcRA"/>
      </w:pPr>
      <w:r>
        <w:lastRenderedPageBreak/>
        <w:t xml:space="preserve">Condensed Consolidated Financial Statements </w:t>
      </w:r>
    </w:p>
    <w:tbl>
      <w:tblPr>
        <w:tblW w:w="0" w:type="auto"/>
        <w:tblLayout w:type="fixed"/>
        <w:tblLook w:val="0000" w:firstRow="0" w:lastRow="0" w:firstColumn="0" w:lastColumn="0" w:noHBand="0" w:noVBand="0"/>
      </w:tblPr>
      <w:tblGrid>
        <w:gridCol w:w="5715"/>
        <w:gridCol w:w="600"/>
        <w:gridCol w:w="1110"/>
        <w:gridCol w:w="1110"/>
        <w:gridCol w:w="1110"/>
      </w:tblGrid>
      <w:tr w:rsidR="00B62539" w:rsidRPr="005E40EF" w:rsidTr="008C3313">
        <w:tblPrEx>
          <w:tblCellMar>
            <w:top w:w="0" w:type="dxa"/>
            <w:bottom w:w="0" w:type="dxa"/>
          </w:tblCellMar>
        </w:tblPrEx>
        <w:trPr>
          <w:trHeight w:val="315"/>
        </w:trPr>
        <w:tc>
          <w:tcPr>
            <w:tcW w:w="9645" w:type="dxa"/>
            <w:gridSpan w:val="5"/>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Cs w:val="18"/>
              </w:rPr>
            </w:pPr>
            <w:r w:rsidRPr="005E40EF">
              <w:rPr>
                <w:b/>
                <w:color w:val="000000"/>
                <w:sz w:val="24"/>
                <w:szCs w:val="18"/>
              </w:rPr>
              <w:t>Condensed Consolidated Income Statement (Unaudited)</w:t>
            </w:r>
          </w:p>
        </w:tc>
      </w:tr>
      <w:tr w:rsidR="00B62539" w:rsidRPr="005E40EF" w:rsidTr="008C3313">
        <w:tblPrEx>
          <w:tblCellMar>
            <w:top w:w="0" w:type="dxa"/>
            <w:bottom w:w="0" w:type="dxa"/>
          </w:tblCellMar>
        </w:tblPrEx>
        <w:trPr>
          <w:trHeight w:val="48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24"/>
                <w:szCs w:val="18"/>
              </w:rPr>
            </w:pPr>
            <w:r w:rsidRPr="005E40EF">
              <w:rPr>
                <w:rFonts w:ascii="Calibri" w:eastAsia="Calibri" w:hAnsi="Calibri" w:cs="Calibri"/>
                <w:b/>
                <w:color w:val="000000"/>
                <w:sz w:val="16"/>
                <w:szCs w:val="18"/>
              </w:rPr>
              <w:t xml:space="preserve"> </w:t>
            </w:r>
            <w:r w:rsidRPr="005E40EF">
              <w:rPr>
                <w:b/>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5E40EF" w:rsidRDefault="00B62539" w:rsidP="008C3313">
            <w:pPr>
              <w:jc w:val="right"/>
              <w:rPr>
                <w:color w:val="000000"/>
                <w:sz w:val="16"/>
                <w:szCs w:val="18"/>
                <w:vertAlign w:val="superscript"/>
              </w:rPr>
            </w:pPr>
            <w:r w:rsidRPr="005E40EF">
              <w:rPr>
                <w:b/>
                <w:color w:val="000000"/>
                <w:sz w:val="16"/>
                <w:szCs w:val="18"/>
              </w:rPr>
              <w:t>Half Year Ended</w:t>
            </w:r>
          </w:p>
        </w:tc>
        <w:tc>
          <w:tcPr>
            <w:tcW w:w="1110" w:type="dxa"/>
            <w:tcBorders>
              <w:top w:val="nil"/>
              <w:left w:val="nil"/>
              <w:bottom w:val="nil"/>
              <w:right w:val="nil"/>
            </w:tcBorders>
            <w:shd w:val="clear" w:color="auto" w:fill="FFFFFF"/>
            <w:tcMar>
              <w:left w:w="36" w:type="dxa"/>
              <w:right w:w="36" w:type="dxa"/>
            </w:tcMar>
            <w:vAlign w:val="bottom"/>
          </w:tcPr>
          <w:p w:rsidR="00B62539" w:rsidRPr="005E40EF" w:rsidRDefault="00B62539" w:rsidP="008C3313">
            <w:pPr>
              <w:jc w:val="right"/>
              <w:rPr>
                <w:b/>
                <w:color w:val="000000"/>
                <w:sz w:val="16"/>
                <w:szCs w:val="18"/>
              </w:rPr>
            </w:pPr>
            <w:r w:rsidRPr="005E40EF">
              <w:rPr>
                <w:b/>
                <w:color w:val="000000"/>
                <w:sz w:val="16"/>
                <w:szCs w:val="18"/>
              </w:rPr>
              <w:t>Half Year Ended</w:t>
            </w:r>
          </w:p>
        </w:tc>
        <w:tc>
          <w:tcPr>
            <w:tcW w:w="1110" w:type="dxa"/>
            <w:tcBorders>
              <w:top w:val="nil"/>
              <w:left w:val="nil"/>
              <w:bottom w:val="nil"/>
              <w:right w:val="nil"/>
            </w:tcBorders>
            <w:shd w:val="clear" w:color="auto" w:fill="FFFFFF"/>
            <w:tcMar>
              <w:left w:w="36" w:type="dxa"/>
              <w:right w:w="36" w:type="dxa"/>
            </w:tcMar>
            <w:vAlign w:val="bottom"/>
          </w:tcPr>
          <w:p w:rsidR="00B62539" w:rsidRPr="005E40EF" w:rsidRDefault="00B62539" w:rsidP="008C3313">
            <w:pPr>
              <w:jc w:val="right"/>
              <w:rPr>
                <w:b/>
                <w:color w:val="000000"/>
                <w:sz w:val="16"/>
                <w:szCs w:val="18"/>
              </w:rPr>
            </w:pPr>
            <w:r w:rsidRPr="005E40EF">
              <w:rPr>
                <w:b/>
                <w:color w:val="000000"/>
                <w:sz w:val="16"/>
                <w:szCs w:val="18"/>
              </w:rPr>
              <w:t>Half Year Ended</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b/>
                <w:color w:val="000000"/>
                <w:sz w:val="16"/>
                <w:szCs w:val="18"/>
              </w:rPr>
              <w:t>Continuing Operations</w:t>
            </w:r>
            <w:r w:rsidRPr="005E40EF">
              <w:rPr>
                <w:b/>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5E40EF" w:rsidRDefault="00B62539" w:rsidP="008C3313">
            <w:pPr>
              <w:jc w:val="right"/>
              <w:rPr>
                <w:color w:val="000000"/>
                <w:sz w:val="16"/>
                <w:szCs w:val="18"/>
                <w:vertAlign w:val="superscript"/>
              </w:rPr>
            </w:pPr>
            <w:r w:rsidRPr="005E40EF">
              <w:rPr>
                <w:b/>
                <w:color w:val="000000"/>
                <w:sz w:val="16"/>
                <w:szCs w:val="18"/>
              </w:rPr>
              <w:t>30.06.12</w:t>
            </w:r>
          </w:p>
        </w:tc>
        <w:tc>
          <w:tcPr>
            <w:tcW w:w="1110" w:type="dxa"/>
            <w:tcBorders>
              <w:top w:val="nil"/>
              <w:left w:val="nil"/>
              <w:bottom w:val="nil"/>
              <w:right w:val="nil"/>
            </w:tcBorders>
            <w:shd w:val="clear" w:color="auto" w:fill="FFFFFF"/>
            <w:tcMar>
              <w:left w:w="36" w:type="dxa"/>
              <w:right w:w="36" w:type="dxa"/>
            </w:tcMar>
            <w:vAlign w:val="bottom"/>
          </w:tcPr>
          <w:p w:rsidR="00B62539" w:rsidRPr="005E40EF" w:rsidRDefault="00B62539" w:rsidP="008C3313">
            <w:pPr>
              <w:jc w:val="right"/>
              <w:rPr>
                <w:b/>
                <w:color w:val="000000"/>
                <w:sz w:val="16"/>
                <w:szCs w:val="18"/>
              </w:rPr>
            </w:pPr>
            <w:r w:rsidRPr="005E40EF">
              <w:rPr>
                <w:b/>
                <w:color w:val="000000"/>
                <w:sz w:val="16"/>
                <w:szCs w:val="18"/>
              </w:rPr>
              <w:t>31.12.11</w:t>
            </w:r>
          </w:p>
        </w:tc>
        <w:tc>
          <w:tcPr>
            <w:tcW w:w="1110" w:type="dxa"/>
            <w:tcBorders>
              <w:top w:val="nil"/>
              <w:left w:val="nil"/>
              <w:bottom w:val="nil"/>
              <w:right w:val="nil"/>
            </w:tcBorders>
            <w:shd w:val="clear" w:color="auto" w:fill="FFFFFF"/>
            <w:tcMar>
              <w:left w:w="36" w:type="dxa"/>
              <w:right w:w="36" w:type="dxa"/>
            </w:tcMar>
            <w:vAlign w:val="bottom"/>
          </w:tcPr>
          <w:p w:rsidR="00B62539" w:rsidRPr="005E40EF" w:rsidRDefault="00B62539" w:rsidP="008C3313">
            <w:pPr>
              <w:jc w:val="right"/>
              <w:rPr>
                <w:b/>
                <w:color w:val="000000"/>
                <w:sz w:val="16"/>
                <w:szCs w:val="18"/>
              </w:rPr>
            </w:pPr>
            <w:r w:rsidRPr="005E40EF">
              <w:rPr>
                <w:b/>
                <w:color w:val="000000"/>
                <w:sz w:val="16"/>
                <w:szCs w:val="18"/>
              </w:rPr>
              <w:t>30.06.11</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Notes</w:t>
            </w:r>
            <w:r w:rsidRPr="005E40EF">
              <w:rPr>
                <w:color w:val="000000"/>
                <w:sz w:val="16"/>
                <w:szCs w:val="18"/>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£m</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Net interest income</w:t>
            </w:r>
            <w:r w:rsidRPr="005E40EF">
              <w:rPr>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6,110 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6,010 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6,186 </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Net fee and commission income</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4,249 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4,203 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4,419 </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Net trading income</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1,584 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3,841 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3,897 </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Net investment income</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216 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1,720 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660 </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Net premiums from insurance contracts</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516 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507 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569 </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Net gain/(loss) on disposal of investment in </w:t>
            </w:r>
            <w:proofErr w:type="spellStart"/>
            <w:r w:rsidRPr="005E40EF">
              <w:rPr>
                <w:color w:val="000000"/>
                <w:sz w:val="16"/>
                <w:szCs w:val="18"/>
              </w:rPr>
              <w:t>BlackRock</w:t>
            </w:r>
            <w:proofErr w:type="spellEnd"/>
            <w:r w:rsidRPr="005E40EF">
              <w:rPr>
                <w:color w:val="000000"/>
                <w:sz w:val="16"/>
                <w:szCs w:val="18"/>
              </w:rPr>
              <w:t>, Inc.</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227 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(58)</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Gains on debt buy-backs and extinguishments</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1,130 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Other income/(expense)</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61 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(21)</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60 </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 xml:space="preserve">Total income </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12,963 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17,390 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15,733 </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Net claims and benefits incurred on insurance contracts</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(363)</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(344)</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(397)</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Total income net of insurance claims</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12,600 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17,046 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15,336 </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Credit impairment charges and other provisions</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(1,832)</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(1,974)</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(1,828)</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Impairment of investment in </w:t>
            </w:r>
            <w:proofErr w:type="spellStart"/>
            <w:r w:rsidRPr="005E40EF">
              <w:rPr>
                <w:color w:val="000000"/>
                <w:sz w:val="16"/>
                <w:szCs w:val="18"/>
              </w:rPr>
              <w:t>BlackRock</w:t>
            </w:r>
            <w:proofErr w:type="spellEnd"/>
            <w:r w:rsidRPr="005E40EF">
              <w:rPr>
                <w:color w:val="000000"/>
                <w:sz w:val="16"/>
                <w:szCs w:val="18"/>
              </w:rPr>
              <w:t>, Inc.</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(1,800)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Net operating income</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10,768 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13,272 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13,508 </w:t>
            </w:r>
          </w:p>
        </w:tc>
      </w:tr>
      <w:tr w:rsidR="00B62539" w:rsidRPr="005E40EF" w:rsidTr="008C3313">
        <w:tblPrEx>
          <w:tblCellMar>
            <w:top w:w="0" w:type="dxa"/>
            <w:bottom w:w="0" w:type="dxa"/>
          </w:tblCellMar>
        </w:tblPrEx>
        <w:trPr>
          <w:trHeight w:hRule="exac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b/>
                <w:color w:val="000000"/>
                <w:sz w:val="16"/>
                <w:szCs w:val="18"/>
              </w:rPr>
              <w:t xml:space="preserve"> </w:t>
            </w:r>
            <w:r w:rsidRPr="005E40EF">
              <w:rPr>
                <w:b/>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 xml:space="preserve"> </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Staff costs</w:t>
            </w:r>
            <w:r w:rsidRPr="005E40EF">
              <w:rPr>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(5,469)</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(5,297)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(6,110)</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Administration and general expenses</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(3,472)</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(3,230)</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(3,121)</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Depreciation of property, plant and equipment</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(337)</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(322)</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(351)</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proofErr w:type="spellStart"/>
            <w:r w:rsidRPr="005E40EF">
              <w:rPr>
                <w:color w:val="000000"/>
                <w:sz w:val="16"/>
                <w:szCs w:val="18"/>
              </w:rPr>
              <w:t>Amortisation</w:t>
            </w:r>
            <w:proofErr w:type="spellEnd"/>
            <w:r w:rsidRPr="005E40EF">
              <w:rPr>
                <w:color w:val="000000"/>
                <w:sz w:val="16"/>
                <w:szCs w:val="18"/>
              </w:rPr>
              <w:t xml:space="preserve"> of intangible assets</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(211)</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(222)</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(197)</w:t>
            </w:r>
          </w:p>
        </w:tc>
      </w:tr>
      <w:tr w:rsidR="00B62539" w:rsidRPr="005E40EF" w:rsidTr="008C3313">
        <w:tblPrEx>
          <w:tblCellMar>
            <w:top w:w="0" w:type="dxa"/>
            <w:bottom w:w="0" w:type="dxa"/>
          </w:tblCellMar>
        </w:tblPrEx>
        <w:trPr>
          <w:trHeight w:val="48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Operating expenses excluding goodwill impairment, UK bank levy and provisions for PPI and interest rate hedging products redress</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(9,489)</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(9,071)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(9,779)</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Goodwill impairment</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(550)</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(47)</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Provision for PPI redress</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(300)</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(1,000)</w:t>
            </w:r>
          </w:p>
        </w:tc>
      </w:tr>
      <w:tr w:rsidR="00B62539" w:rsidRPr="005E40EF" w:rsidTr="008C3313">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Provision for interest rate hedging products redress</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(450)</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UK bank levy</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(325)</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Operating expenses</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b/>
                <w:color w:val="000000"/>
                <w:sz w:val="16"/>
                <w:szCs w:val="18"/>
              </w:rPr>
              <w:t xml:space="preserve"> </w:t>
            </w:r>
            <w:r w:rsidRPr="005E40EF">
              <w:rPr>
                <w:b/>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b/>
                <w:color w:val="000000"/>
                <w:sz w:val="16"/>
                <w:szCs w:val="18"/>
                <w:vertAlign w:val="superscript"/>
              </w:rPr>
            </w:pPr>
            <w:r w:rsidRPr="005E40EF">
              <w:rPr>
                <w:b/>
                <w:color w:val="000000"/>
                <w:sz w:val="16"/>
                <w:szCs w:val="18"/>
              </w:rPr>
              <w:t>(10,239)</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(9,946)</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(10,826)</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b/>
                <w:color w:val="000000"/>
                <w:sz w:val="16"/>
                <w:szCs w:val="18"/>
              </w:rPr>
              <w:t xml:space="preserve"> </w:t>
            </w:r>
            <w:r w:rsidRPr="005E40EF">
              <w:rPr>
                <w:b/>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 xml:space="preserve"> </w:t>
            </w:r>
          </w:p>
        </w:tc>
      </w:tr>
      <w:tr w:rsidR="00B62539" w:rsidRPr="005E40EF" w:rsidTr="008C3313">
        <w:tblPrEx>
          <w:tblCellMar>
            <w:top w:w="0" w:type="dxa"/>
            <w:bottom w:w="0" w:type="dxa"/>
          </w:tblCellMar>
        </w:tblPrEx>
        <w:trPr>
          <w:trHeight w:val="495"/>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Profits/(losses) on disposals of undertakings and share of results of associates and joint ventures</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75 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(5)</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(29)</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Profit before tax</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b/>
                <w:color w:val="000000"/>
                <w:sz w:val="16"/>
                <w:szCs w:val="18"/>
              </w:rPr>
              <w:t xml:space="preserve"> </w:t>
            </w:r>
            <w:r w:rsidRPr="005E40EF">
              <w:rPr>
                <w:b/>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b/>
                <w:color w:val="000000"/>
                <w:sz w:val="16"/>
                <w:szCs w:val="18"/>
                <w:vertAlign w:val="superscript"/>
              </w:rPr>
            </w:pPr>
            <w:r w:rsidRPr="005E40EF">
              <w:rPr>
                <w:b/>
                <w:color w:val="000000"/>
                <w:sz w:val="16"/>
                <w:szCs w:val="18"/>
              </w:rPr>
              <w:t>604 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3,321 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2,653 </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Tax</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(279)</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(1,267)</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(661)</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Profit after tax</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325 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2,054 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1,992 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b/>
                <w:color w:val="000000"/>
                <w:sz w:val="16"/>
                <w:szCs w:val="18"/>
              </w:rPr>
              <w:t xml:space="preserve"> </w:t>
            </w:r>
            <w:r w:rsidRPr="005E40EF">
              <w:rPr>
                <w:b/>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 xml:space="preserve"> </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b/>
                <w:color w:val="000000"/>
                <w:sz w:val="16"/>
                <w:szCs w:val="18"/>
              </w:rPr>
              <w:t>Attributable to:</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Equity holders of the parent</w:t>
            </w:r>
            <w:r w:rsidRPr="005E40EF">
              <w:rPr>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149 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1,843 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1,773 </w:t>
            </w:r>
          </w:p>
        </w:tc>
      </w:tr>
      <w:tr w:rsidR="00B62539" w:rsidRPr="005E40EF" w:rsidTr="008C3313">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Non-controlling interests</w:t>
            </w:r>
            <w:r w:rsidRPr="005E40EF">
              <w:rPr>
                <w:color w:val="000000"/>
                <w:sz w:val="16"/>
                <w:szCs w:val="18"/>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1 </w:t>
            </w:r>
            <w:r w:rsidRPr="005E40EF">
              <w:rPr>
                <w:color w:val="000000"/>
                <w:sz w:val="16"/>
                <w:szCs w:val="18"/>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176 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211 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219 </w:t>
            </w:r>
          </w:p>
        </w:tc>
      </w:tr>
      <w:tr w:rsidR="00B62539" w:rsidRPr="005E40EF" w:rsidTr="008C3313">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b/>
                <w:color w:val="000000"/>
                <w:sz w:val="16"/>
                <w:szCs w:val="18"/>
              </w:rPr>
              <w:t>Profit after tax</w:t>
            </w:r>
            <w:r w:rsidRPr="005E40EF">
              <w:rPr>
                <w:b/>
                <w:color w:val="000000"/>
                <w:sz w:val="16"/>
                <w:szCs w:val="18"/>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center"/>
              <w:rPr>
                <w:b/>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b/>
                <w:color w:val="000000"/>
                <w:sz w:val="16"/>
                <w:szCs w:val="18"/>
              </w:rPr>
              <w:t>325 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2,054 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5E40EF" w:rsidRDefault="00B62539" w:rsidP="008C3313">
            <w:pPr>
              <w:jc w:val="right"/>
              <w:rPr>
                <w:b/>
                <w:color w:val="000000"/>
                <w:sz w:val="16"/>
                <w:szCs w:val="18"/>
              </w:rPr>
            </w:pPr>
            <w:r w:rsidRPr="005E40EF">
              <w:rPr>
                <w:b/>
                <w:color w:val="000000"/>
                <w:sz w:val="16"/>
                <w:szCs w:val="18"/>
              </w:rPr>
              <w:t>1,992 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b/>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right"/>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r>
      <w:tr w:rsidR="00B62539" w:rsidRPr="005E40EF" w:rsidTr="008C3313">
        <w:tblPrEx>
          <w:tblCellMar>
            <w:top w:w="0" w:type="dxa"/>
            <w:bottom w:w="0" w:type="dxa"/>
          </w:tblCellMar>
        </w:tblPrEx>
        <w:trPr>
          <w:trHeight w:hRule="exact" w:val="315"/>
        </w:trPr>
        <w:tc>
          <w:tcPr>
            <w:tcW w:w="5715"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lastRenderedPageBreak/>
              <w:t xml:space="preserve"> </w:t>
            </w:r>
            <w:r w:rsidRPr="005E40EF">
              <w:rPr>
                <w:color w:val="000000"/>
                <w:sz w:val="16"/>
                <w:szCs w:val="18"/>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jc w:val="center"/>
              <w:rPr>
                <w:color w:val="000000"/>
                <w:sz w:val="16"/>
                <w:szCs w:val="18"/>
                <w:vertAlign w:val="superscript"/>
              </w:rPr>
            </w:pPr>
            <w:r w:rsidRPr="005E40EF">
              <w:rPr>
                <w:color w:val="000000"/>
                <w:sz w:val="16"/>
                <w:szCs w:val="18"/>
              </w:rPr>
              <w:t xml:space="preserve"> </w:t>
            </w:r>
            <w:r w:rsidRPr="005E40EF">
              <w:rPr>
                <w:color w:val="000000"/>
                <w:sz w:val="16"/>
                <w:szCs w:val="18"/>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vertAlign w:val="superscript"/>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5E40EF" w:rsidRDefault="00B62539" w:rsidP="008C3313">
            <w:pPr>
              <w:rPr>
                <w:color w:val="000000"/>
                <w:sz w:val="16"/>
                <w:szCs w:val="18"/>
              </w:rPr>
            </w:pPr>
            <w:r w:rsidRPr="005E40EF">
              <w:rPr>
                <w:color w:val="000000"/>
                <w:sz w:val="16"/>
                <w:szCs w:val="18"/>
              </w:rPr>
              <w:t xml:space="preserve"> </w:t>
            </w:r>
          </w:p>
        </w:tc>
      </w:tr>
    </w:tbl>
    <w:p w:rsidR="00B62539" w:rsidRPr="005E40EF" w:rsidRDefault="00B62539" w:rsidP="00B62539">
      <w:pPr>
        <w:rPr>
          <w:color w:val="000000"/>
          <w:szCs w:val="18"/>
        </w:rPr>
      </w:pPr>
    </w:p>
    <w:p w:rsidR="00B62539" w:rsidRDefault="00B62539" w:rsidP="00B62539">
      <w:pPr>
        <w:pStyle w:val="Normal5"/>
      </w:pPr>
    </w:p>
    <w:p w:rsidR="00B62539" w:rsidRPr="000618C7" w:rsidRDefault="00B62539" w:rsidP="00B62539">
      <w:pPr>
        <w:pStyle w:val="NoteandSourceText-BarcRA"/>
        <w:numPr>
          <w:ilvl w:val="0"/>
          <w:numId w:val="6"/>
        </w:numPr>
        <w:ind w:left="284" w:hanging="284"/>
      </w:pPr>
      <w:r w:rsidRPr="000618C7">
        <w:t>For notes specific t</w:t>
      </w:r>
      <w:r>
        <w:t xml:space="preserve">o Barclays Bank PLC see page </w:t>
      </w:r>
      <w:r w:rsidR="003B479C">
        <w:t>9</w:t>
      </w:r>
      <w:r w:rsidRPr="000618C7">
        <w:t xml:space="preserve"> and for those that also rel</w:t>
      </w:r>
      <w:r>
        <w:t>ate to Barclays PLC see pages 73</w:t>
      </w:r>
      <w:r w:rsidRPr="000618C7">
        <w:t xml:space="preserve"> t</w:t>
      </w:r>
      <w:r>
        <w:t>o 90</w:t>
      </w:r>
      <w:r w:rsidRPr="000618C7">
        <w:t xml:space="preserve"> in the Barclays PLC Results Announcement.</w:t>
      </w:r>
    </w:p>
    <w:p w:rsidR="00B62539" w:rsidRPr="000618C7" w:rsidRDefault="00B62539" w:rsidP="00B62539">
      <w:pPr>
        <w:pStyle w:val="HeadingLevel1-BarcRA"/>
      </w:pPr>
      <w:r w:rsidRPr="000618C7">
        <w:br w:type="page"/>
      </w:r>
      <w:r>
        <w:lastRenderedPageBreak/>
        <w:t xml:space="preserve">Condensed Consolidated Financial Statements </w:t>
      </w:r>
    </w:p>
    <w:tbl>
      <w:tblPr>
        <w:tblW w:w="0" w:type="auto"/>
        <w:tblLayout w:type="fixed"/>
        <w:tblLook w:val="0000" w:firstRow="0" w:lastRow="0" w:firstColumn="0" w:lastColumn="0" w:noHBand="0" w:noVBand="0"/>
      </w:tblPr>
      <w:tblGrid>
        <w:gridCol w:w="5205"/>
        <w:gridCol w:w="1110"/>
        <w:gridCol w:w="1110"/>
        <w:gridCol w:w="1110"/>
        <w:gridCol w:w="1110"/>
      </w:tblGrid>
      <w:tr w:rsidR="00B62539" w:rsidRPr="000618C7" w:rsidTr="003B479C">
        <w:tblPrEx>
          <w:tblCellMar>
            <w:top w:w="0" w:type="dxa"/>
            <w:bottom w:w="0" w:type="dxa"/>
          </w:tblCellMar>
        </w:tblPrEx>
        <w:trPr>
          <w:trHeight w:val="240"/>
        </w:trPr>
        <w:tc>
          <w:tcPr>
            <w:tcW w:w="9645" w:type="dxa"/>
            <w:gridSpan w:val="5"/>
            <w:tcBorders>
              <w:top w:val="nil"/>
              <w:left w:val="nil"/>
              <w:bottom w:val="nil"/>
              <w:right w:val="nil"/>
            </w:tcBorders>
            <w:shd w:val="clear" w:color="auto" w:fill="FFFFFF"/>
            <w:tcMar>
              <w:left w:w="36" w:type="dxa"/>
              <w:right w:w="36" w:type="dxa"/>
            </w:tcMar>
            <w:vAlign w:val="center"/>
          </w:tcPr>
          <w:p w:rsidR="00B62539" w:rsidRPr="000618C7" w:rsidRDefault="00B62539" w:rsidP="008C3313">
            <w:r w:rsidRPr="000618C7">
              <w:rPr>
                <w:b/>
                <w:color w:val="000000"/>
                <w:sz w:val="24"/>
              </w:rPr>
              <w:t>Condensed Consolidated S</w:t>
            </w:r>
            <w:r>
              <w:rPr>
                <w:b/>
                <w:color w:val="000000"/>
                <w:sz w:val="24"/>
              </w:rPr>
              <w:t>tatement of Profit or Loss and O</w:t>
            </w:r>
            <w:r w:rsidRPr="000618C7">
              <w:rPr>
                <w:b/>
                <w:color w:val="000000"/>
                <w:sz w:val="24"/>
              </w:rPr>
              <w:t>ther Comprehensive Income (Unaudited)</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b/>
                <w:color w:val="000000"/>
                <w:sz w:val="24"/>
              </w:rPr>
              <w:t xml:space="preserve"> </w:t>
            </w:r>
            <w:r w:rsidRPr="000618C7">
              <w:rPr>
                <w:b/>
                <w:color w:val="000000"/>
                <w:sz w:val="24"/>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vertAlign w:val="superscript"/>
              </w:rPr>
            </w:pPr>
            <w:r w:rsidRPr="000618C7">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b/>
                <w:color w:val="000000"/>
                <w:sz w:val="24"/>
              </w:rPr>
              <w:t xml:space="preserve"> </w:t>
            </w:r>
          </w:p>
        </w:tc>
      </w:tr>
      <w:tr w:rsidR="00B62539" w:rsidRPr="000618C7" w:rsidTr="008C3313">
        <w:tblPrEx>
          <w:tblCellMar>
            <w:top w:w="0" w:type="dxa"/>
            <w:bottom w:w="0" w:type="dxa"/>
          </w:tblCellMar>
        </w:tblPrEx>
        <w:trPr>
          <w:trHeight w:val="48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rFonts w:ascii="Calibri" w:eastAsia="Calibri" w:hAnsi="Calibri" w:cs="Calibri"/>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rFonts w:ascii="Calibri" w:eastAsia="Calibri" w:hAnsi="Calibri" w:cs="Calibri"/>
                <w:b/>
                <w:color w:val="000000"/>
                <w:sz w:val="16"/>
              </w:rPr>
            </w:pPr>
            <w:r w:rsidRPr="000618C7">
              <w:rPr>
                <w:rFonts w:ascii="Calibri" w:eastAsia="Calibri" w:hAnsi="Calibri" w:cs="Calibri"/>
                <w:b/>
                <w:color w:val="000000"/>
                <w:sz w:val="16"/>
              </w:rPr>
              <w:t xml:space="preserve"> </w:t>
            </w:r>
            <w:r w:rsidRPr="000618C7">
              <w:rPr>
                <w:rFonts w:ascii="Calibri" w:eastAsia="Calibri" w:hAnsi="Calibri" w:cs="Calibri"/>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rFonts w:ascii="Calibri" w:eastAsia="Calibri" w:hAnsi="Calibri" w:cs="Calibri"/>
                <w:b/>
                <w:color w:val="000000"/>
                <w:sz w:val="16"/>
                <w:vertAlign w:val="superscript"/>
              </w:rPr>
            </w:pPr>
            <w:r w:rsidRPr="000618C7">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rPr>
            </w:pPr>
            <w:r w:rsidRPr="000618C7">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rPr>
            </w:pPr>
            <w:r w:rsidRPr="000618C7">
              <w:rPr>
                <w:b/>
                <w:color w:val="000000"/>
                <w:sz w:val="16"/>
              </w:rPr>
              <w:t>Half Year Ended</w:t>
            </w:r>
          </w:p>
        </w:tc>
      </w:tr>
      <w:tr w:rsidR="00B62539" w:rsidRPr="000618C7" w:rsidTr="008C3313">
        <w:tblPrEx>
          <w:tblCellMar>
            <w:top w:w="0" w:type="dxa"/>
            <w:bottom w:w="0" w:type="dxa"/>
          </w:tblCellMar>
        </w:tblPrEx>
        <w:trPr>
          <w:trHeigh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b/>
                <w:color w:val="000000"/>
                <w:sz w:val="16"/>
              </w:rPr>
              <w:t>Continuing Operations</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30.06.12</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31.12.11</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30.06.11</w:t>
            </w:r>
          </w:p>
        </w:tc>
      </w:tr>
      <w:tr w:rsidR="00B62539" w:rsidRPr="000618C7" w:rsidTr="008C3313">
        <w:tblPrEx>
          <w:tblCellMar>
            <w:top w:w="0" w:type="dxa"/>
            <w:bottom w:w="0" w:type="dxa"/>
          </w:tblCellMar>
        </w:tblPrEx>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Notes</w:t>
            </w:r>
            <w:r w:rsidRPr="000618C7">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r>
      <w:tr w:rsidR="00B62539" w:rsidRPr="000618C7" w:rsidTr="008C3313">
        <w:tblPrEx>
          <w:tblCellMar>
            <w:top w:w="0" w:type="dxa"/>
            <w:bottom w:w="0" w:type="dxa"/>
          </w:tblCellMar>
        </w:tblPrEx>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b/>
                <w:color w:val="000000"/>
                <w:sz w:val="16"/>
              </w:rPr>
              <w:t>Profit after tax</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325 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2,054 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1,992 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b/>
                <w:color w:val="000000"/>
                <w:sz w:val="16"/>
              </w:rPr>
              <w:t>Other Comprehensive Income that may be recycled to profit or loss:</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Currency translation differences</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(614)</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(817)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(790)</w:t>
            </w:r>
          </w:p>
        </w:tc>
      </w:tr>
      <w:tr w:rsidR="00B62539" w:rsidRPr="000618C7" w:rsidTr="008C3313">
        <w:tblPrEx>
          <w:tblCellMar>
            <w:top w:w="0" w:type="dxa"/>
            <w:bottom w:w="0" w:type="dxa"/>
          </w:tblCellMar>
        </w:tblPrEx>
        <w:trPr>
          <w:trHeigh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Available for sale financial assets</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(43)</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897 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315 </w:t>
            </w:r>
          </w:p>
        </w:tc>
      </w:tr>
      <w:tr w:rsidR="00B62539" w:rsidRPr="000618C7" w:rsidTr="008C3313">
        <w:tblPrEx>
          <w:tblCellMar>
            <w:top w:w="0" w:type="dxa"/>
            <w:bottom w:w="0" w:type="dxa"/>
          </w:tblCellMar>
        </w:tblPrEx>
        <w:trPr>
          <w:trHeigh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Cash flow hedges</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242 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1,351 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(88)</w:t>
            </w:r>
          </w:p>
        </w:tc>
      </w:tr>
      <w:tr w:rsidR="00B62539" w:rsidRPr="000618C7" w:rsidTr="008C3313">
        <w:tblPrEx>
          <w:tblCellMar>
            <w:top w:w="0" w:type="dxa"/>
            <w:bottom w:w="0" w:type="dxa"/>
          </w:tblCellMar>
        </w:tblPrEx>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Other</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49 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(97)</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23 </w:t>
            </w:r>
          </w:p>
        </w:tc>
      </w:tr>
      <w:tr w:rsidR="00B62539" w:rsidRPr="000618C7" w:rsidTr="008C3313">
        <w:tblPrEx>
          <w:tblCellMar>
            <w:top w:w="0" w:type="dxa"/>
            <w:bottom w:w="0" w:type="dxa"/>
          </w:tblCellMar>
        </w:tblPrEx>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Other comprehensive income for the period</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(366)</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1,334 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(540)</w:t>
            </w:r>
          </w:p>
        </w:tc>
      </w:tr>
      <w:tr w:rsidR="00B62539" w:rsidRPr="000618C7" w:rsidTr="008C3313">
        <w:tblPrEx>
          <w:tblCellMar>
            <w:top w:w="0" w:type="dxa"/>
            <w:bottom w:w="0" w:type="dxa"/>
          </w:tblCellMar>
        </w:tblPrEx>
        <w:trPr>
          <w:trHeight w:hRule="exact" w:val="255"/>
        </w:trPr>
        <w:tc>
          <w:tcPr>
            <w:tcW w:w="520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b/>
                <w:color w:val="000000"/>
                <w:sz w:val="16"/>
              </w:rPr>
              <w:t>Total comprehensive income for the period</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3,388 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1,452 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b/>
                <w:color w:val="000000"/>
                <w:sz w:val="16"/>
              </w:rPr>
              <w:t>Attributable to:</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Equity holders of the parent</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(173)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3,578 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1,463 </w:t>
            </w:r>
          </w:p>
        </w:tc>
      </w:tr>
      <w:tr w:rsidR="00B62539" w:rsidRPr="000618C7" w:rsidTr="008C3313">
        <w:tblPrEx>
          <w:tblCellMar>
            <w:top w:w="0" w:type="dxa"/>
            <w:bottom w:w="0" w:type="dxa"/>
          </w:tblCellMar>
        </w:tblPrEx>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color w:val="000000"/>
                <w:sz w:val="16"/>
              </w:rPr>
              <w:t>Non-controlling interests</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132 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(190)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(11)</w:t>
            </w:r>
          </w:p>
        </w:tc>
      </w:tr>
      <w:tr w:rsidR="00B62539" w:rsidRPr="000618C7" w:rsidTr="008C3313">
        <w:tblPrEx>
          <w:tblCellMar>
            <w:top w:w="0" w:type="dxa"/>
            <w:bottom w:w="0" w:type="dxa"/>
          </w:tblCellMar>
        </w:tblPrEx>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color w:val="000000"/>
                <w:sz w:val="16"/>
              </w:rPr>
            </w:pPr>
            <w:r w:rsidRPr="000618C7">
              <w:rPr>
                <w:b/>
                <w:color w:val="000000"/>
                <w:sz w:val="16"/>
              </w:rPr>
              <w:t>Total comprehensive income for the period</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both"/>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3,388 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1,452 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both"/>
              <w:rPr>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both"/>
              <w:rPr>
                <w:b/>
                <w:color w:val="000000"/>
                <w:sz w:val="16"/>
              </w:rPr>
            </w:pPr>
            <w:r w:rsidRPr="000618C7">
              <w:rPr>
                <w:b/>
                <w:color w:val="000000"/>
                <w:sz w:val="16"/>
              </w:rPr>
              <w:t xml:space="preserve"> </w:t>
            </w:r>
            <w:r w:rsidRPr="000618C7">
              <w:rPr>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b/>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r>
      <w:tr w:rsidR="00B62539" w:rsidRPr="000618C7" w:rsidTr="003B479C">
        <w:tblPrEx>
          <w:tblCellMar>
            <w:top w:w="0" w:type="dxa"/>
            <w:bottom w:w="0" w:type="dxa"/>
          </w:tblCellMar>
        </w:tblPrEx>
        <w:trPr>
          <w:trHeight w:hRule="exact" w:val="240"/>
        </w:trPr>
        <w:tc>
          <w:tcPr>
            <w:tcW w:w="9645" w:type="dxa"/>
            <w:gridSpan w:val="5"/>
            <w:tcBorders>
              <w:top w:val="nil"/>
              <w:left w:val="nil"/>
              <w:bottom w:val="nil"/>
              <w:right w:val="nil"/>
            </w:tcBorders>
            <w:shd w:val="clear" w:color="auto" w:fill="FFFFFF"/>
            <w:tcMar>
              <w:left w:w="36" w:type="dxa"/>
              <w:right w:w="36" w:type="dxa"/>
            </w:tcMar>
          </w:tcPr>
          <w:p w:rsidR="00B62539" w:rsidRPr="000618C7" w:rsidRDefault="00B62539" w:rsidP="008C3313">
            <w:pPr>
              <w:jc w:val="both"/>
              <w:rPr>
                <w:color w:val="000000"/>
                <w:sz w:val="16"/>
              </w:rPr>
            </w:pPr>
            <w:r w:rsidRPr="000618C7">
              <w:rPr>
                <w:i/>
                <w:color w:val="000000"/>
                <w:sz w:val="14"/>
              </w:rPr>
              <w:t xml:space="preserve"> </w:t>
            </w:r>
          </w:p>
        </w:tc>
      </w:tr>
    </w:tbl>
    <w:p w:rsidR="00B62539" w:rsidRPr="000618C7" w:rsidRDefault="00B62539" w:rsidP="00B62539"/>
    <w:p w:rsidR="008C3313" w:rsidRDefault="008C3313" w:rsidP="008C3313">
      <w:pPr>
        <w:pStyle w:val="NoteandSourceText-BarcRA0"/>
        <w:numPr>
          <w:ilvl w:val="0"/>
          <w:numId w:val="0"/>
        </w:numPr>
        <w:ind w:left="284"/>
      </w:pPr>
    </w:p>
    <w:p w:rsidR="008C3313" w:rsidRPr="000618C7" w:rsidRDefault="008C3313" w:rsidP="00450A2A">
      <w:pPr>
        <w:pStyle w:val="NoteandSourceText-BarcRA"/>
        <w:numPr>
          <w:ilvl w:val="0"/>
          <w:numId w:val="144"/>
        </w:numPr>
        <w:ind w:left="284" w:hanging="284"/>
      </w:pPr>
      <w:r w:rsidRPr="000618C7">
        <w:lastRenderedPageBreak/>
        <w:t>For notes specific t</w:t>
      </w:r>
      <w:r>
        <w:t>o Barclays Bank PLC see page 9</w:t>
      </w:r>
      <w:r w:rsidRPr="000618C7">
        <w:t xml:space="preserve"> and for those that also rel</w:t>
      </w:r>
      <w:r>
        <w:t>ate to Barclays PLC see pages 73</w:t>
      </w:r>
      <w:r w:rsidRPr="000618C7">
        <w:t xml:space="preserve"> t</w:t>
      </w:r>
      <w:r>
        <w:t>o 90</w:t>
      </w:r>
      <w:r w:rsidRPr="000618C7">
        <w:t xml:space="preserve"> in the Barclays PLC Results Announcement.</w:t>
      </w:r>
    </w:p>
    <w:p w:rsidR="00B62539" w:rsidRPr="000618C7" w:rsidRDefault="00B62539" w:rsidP="00B62539">
      <w:pPr>
        <w:pStyle w:val="HeadingLevel1-BarcRA"/>
      </w:pPr>
      <w:r w:rsidRPr="000618C7">
        <w:br w:type="page"/>
      </w:r>
      <w:r>
        <w:lastRenderedPageBreak/>
        <w:t xml:space="preserve">Condensed Consolidated Financial Statements </w:t>
      </w:r>
    </w:p>
    <w:tbl>
      <w:tblPr>
        <w:tblW w:w="0" w:type="auto"/>
        <w:tblLayout w:type="fixed"/>
        <w:tblLook w:val="0000" w:firstRow="0" w:lastRow="0" w:firstColumn="0" w:lastColumn="0" w:noHBand="0" w:noVBand="0"/>
      </w:tblPr>
      <w:tblGrid>
        <w:gridCol w:w="5325"/>
        <w:gridCol w:w="990"/>
        <w:gridCol w:w="1110"/>
        <w:gridCol w:w="1110"/>
        <w:gridCol w:w="1110"/>
      </w:tblGrid>
      <w:tr w:rsidR="00B62539" w:rsidRPr="000618C7" w:rsidTr="008C3313">
        <w:tblPrEx>
          <w:tblCellMar>
            <w:top w:w="0" w:type="dxa"/>
            <w:bottom w:w="0" w:type="dxa"/>
          </w:tblCellMar>
        </w:tblPrEx>
        <w:trPr>
          <w:trHeight w:val="452"/>
        </w:trPr>
        <w:tc>
          <w:tcPr>
            <w:tcW w:w="9645" w:type="dxa"/>
            <w:gridSpan w:val="5"/>
            <w:tcBorders>
              <w:top w:val="nil"/>
              <w:left w:val="nil"/>
              <w:bottom w:val="nil"/>
              <w:right w:val="nil"/>
            </w:tcBorders>
            <w:shd w:val="clear" w:color="auto" w:fill="FFFFFF"/>
            <w:tcMar>
              <w:left w:w="36" w:type="dxa"/>
              <w:right w:w="36" w:type="dxa"/>
            </w:tcMar>
            <w:vAlign w:val="center"/>
          </w:tcPr>
          <w:p w:rsidR="00B62539" w:rsidRPr="000618C7" w:rsidRDefault="00B62539" w:rsidP="008C3313">
            <w:r w:rsidRPr="000618C7">
              <w:rPr>
                <w:b/>
                <w:color w:val="000000"/>
                <w:sz w:val="24"/>
              </w:rPr>
              <w:t>Condensed Consolidated Balance Sheet (Unaudited)</w:t>
            </w:r>
          </w:p>
        </w:tc>
      </w:tr>
      <w:tr w:rsidR="00B62539" w:rsidRPr="000618C7" w:rsidTr="008C3313">
        <w:tblPrEx>
          <w:tblCellMar>
            <w:top w:w="0" w:type="dxa"/>
            <w:bottom w:w="0" w:type="dxa"/>
          </w:tblCellMar>
        </w:tblPrEx>
        <w:trPr>
          <w:trHeight w:val="143"/>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rFonts w:ascii="Calibri" w:eastAsia="Calibri" w:hAnsi="Calibri" w:cs="Calibri"/>
                <w:b/>
                <w:color w:val="000000"/>
                <w:sz w:val="20"/>
              </w:rPr>
              <w:t xml:space="preserve"> </w:t>
            </w:r>
            <w:r w:rsidRPr="000618C7">
              <w:rPr>
                <w:b/>
                <w:color w:val="000000"/>
                <w:sz w:val="20"/>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20"/>
                <w:vertAlign w:val="superscript"/>
              </w:rPr>
            </w:pPr>
            <w:r w:rsidRPr="000618C7">
              <w:rPr>
                <w:color w:val="000000"/>
                <w:sz w:val="16"/>
              </w:rPr>
              <w:t xml:space="preserve"> </w:t>
            </w:r>
            <w:r w:rsidRPr="000618C7">
              <w:rPr>
                <w:color w:val="000000"/>
                <w:sz w:val="16"/>
                <w:vertAlign w:val="superscript"/>
              </w:rPr>
              <w:t xml:space="preserve"> </w:t>
            </w:r>
          </w:p>
        </w:tc>
        <w:tc>
          <w:tcPr>
            <w:tcW w:w="1110" w:type="dxa"/>
            <w:vMerge w:val="restart"/>
            <w:tcBorders>
              <w:top w:val="nil"/>
              <w:left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As at</w:t>
            </w:r>
          </w:p>
          <w:p w:rsidR="00B62539" w:rsidRPr="000618C7" w:rsidRDefault="00B62539" w:rsidP="008C3313">
            <w:pPr>
              <w:jc w:val="right"/>
              <w:rPr>
                <w:color w:val="000000"/>
                <w:sz w:val="16"/>
                <w:vertAlign w:val="superscript"/>
              </w:rPr>
            </w:pPr>
            <w:r w:rsidRPr="000618C7">
              <w:rPr>
                <w:b/>
                <w:color w:val="000000"/>
                <w:sz w:val="16"/>
              </w:rPr>
              <w:t>30.06.12</w:t>
            </w:r>
          </w:p>
        </w:tc>
        <w:tc>
          <w:tcPr>
            <w:tcW w:w="1110" w:type="dxa"/>
            <w:vMerge w:val="restart"/>
            <w:tcBorders>
              <w:top w:val="nil"/>
              <w:left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As at</w:t>
            </w:r>
          </w:p>
          <w:p w:rsidR="00B62539" w:rsidRPr="000618C7" w:rsidRDefault="00B62539" w:rsidP="008C3313">
            <w:pPr>
              <w:jc w:val="right"/>
              <w:rPr>
                <w:b/>
                <w:color w:val="000000"/>
                <w:sz w:val="16"/>
              </w:rPr>
            </w:pPr>
            <w:r w:rsidRPr="000618C7">
              <w:rPr>
                <w:b/>
                <w:color w:val="000000"/>
                <w:sz w:val="16"/>
              </w:rPr>
              <w:t>31.12.11</w:t>
            </w:r>
          </w:p>
        </w:tc>
        <w:tc>
          <w:tcPr>
            <w:tcW w:w="1110" w:type="dxa"/>
            <w:vMerge w:val="restart"/>
            <w:tcBorders>
              <w:top w:val="nil"/>
              <w:left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As at</w:t>
            </w:r>
          </w:p>
          <w:p w:rsidR="00B62539" w:rsidRPr="000618C7" w:rsidRDefault="00B62539" w:rsidP="008C3313">
            <w:pPr>
              <w:jc w:val="right"/>
              <w:rPr>
                <w:b/>
                <w:color w:val="000000"/>
                <w:sz w:val="16"/>
              </w:rPr>
            </w:pPr>
            <w:r w:rsidRPr="000618C7">
              <w:rPr>
                <w:b/>
                <w:color w:val="000000"/>
                <w:sz w:val="16"/>
              </w:rPr>
              <w:t>30.06.11</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Assets</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vMerge/>
            <w:tcBorders>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p>
        </w:tc>
        <w:tc>
          <w:tcPr>
            <w:tcW w:w="1110" w:type="dxa"/>
            <w:vMerge/>
            <w:tcBorders>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p>
        </w:tc>
        <w:tc>
          <w:tcPr>
            <w:tcW w:w="1110" w:type="dxa"/>
            <w:vMerge/>
            <w:tcBorders>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p>
        </w:tc>
      </w:tr>
      <w:tr w:rsidR="00B62539" w:rsidRPr="000618C7" w:rsidTr="008C3313">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rFonts w:ascii="Calibri" w:eastAsia="Calibri" w:hAnsi="Calibri" w:cs="Calibri"/>
                <w:b/>
                <w:color w:val="000000"/>
                <w:sz w:val="18"/>
              </w:rPr>
              <w:t xml:space="preserve"> </w:t>
            </w:r>
            <w:r w:rsidRPr="000618C7">
              <w:rPr>
                <w:b/>
                <w:color w:val="000000"/>
                <w:sz w:val="18"/>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b/>
                <w:color w:val="000000"/>
                <w:sz w:val="18"/>
                <w:vertAlign w:val="superscript"/>
              </w:rPr>
            </w:pPr>
            <w:r w:rsidRPr="000618C7">
              <w:rPr>
                <w:color w:val="000000"/>
                <w:sz w:val="16"/>
              </w:rPr>
              <w:t>Notes</w:t>
            </w:r>
            <w:r w:rsidRPr="000618C7">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Cash and balances at central banks</w:t>
            </w:r>
            <w:r w:rsidRPr="000618C7">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126,062 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106,894 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86,916 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Items in the course of collection from other banks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2,598 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1,812 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1,317 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Trading portfolio assets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166,306 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152,183 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181,859 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Financial assets designated at fair value</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45,928 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36,949 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39,122 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Derivative financial instruments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517,685 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538,964 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379,854 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Loans and advances to banks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48,777 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46,792 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58,751 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Loans and advances to customers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454,728 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431,934 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441,983 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Reverse repurchase agreements and other similar secured lending</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174,392 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153,665 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196,867 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Available for sale financial investments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68,949 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69,023 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82,319 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Current and deferred tax assets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3,244 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3,384 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3,007 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Prepayments, accrued income and other assets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5,892 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4,560 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6,030 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Investments in associates and joint ventures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489 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427 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576 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Goodwill and intangible assets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7,861 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7,846 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8,541 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Property, plant and equipment</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5,909 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7,166 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6,196 </w:t>
            </w:r>
          </w:p>
        </w:tc>
      </w:tr>
      <w:tr w:rsidR="00B62539" w:rsidRPr="000618C7" w:rsidTr="008C3313">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Retirement benefit assets</w:t>
            </w:r>
            <w:r w:rsidRPr="000618C7">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2,478 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1,803 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126 </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assets</w:t>
            </w:r>
            <w:r w:rsidRPr="000618C7">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b/>
                <w:color w:val="000000"/>
                <w:sz w:val="16"/>
              </w:rPr>
              <w:t xml:space="preserve"> </w:t>
            </w:r>
            <w:r w:rsidRPr="000618C7">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1,631,298 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1,563,402 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1,493,464 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8"/>
              </w:rPr>
              <w:t>Liabilities</w:t>
            </w:r>
            <w:r w:rsidRPr="000618C7">
              <w:rPr>
                <w:b/>
                <w:color w:val="000000"/>
                <w:sz w:val="18"/>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b/>
                <w:color w:val="000000"/>
                <w:sz w:val="18"/>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Deposits from banks</w:t>
            </w:r>
            <w:r w:rsidRPr="000618C7">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94,467 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91,116 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84,188 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Items in the course of collection due to other banks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1,671 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969 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1,324 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Customer accounts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408,632 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366,045 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373,384 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Repurchase agreements and other similar secured borrowing</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245,833 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207,292 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247,635 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Trading portfolio liabilities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51,747 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45,887 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77,208 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Financial liabilities designated at fair value</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94,855 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87,997 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92,473 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Derivative financial instruments </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507,351 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527,798 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366,536 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Debt securities in issue</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124,968 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129,736 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144,871 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Accruals, deferred income and other liabilities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12,326 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12,580 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12,952 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Current and deferred tax liabilities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1,377 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2,092 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1,100 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Subordinated liabilities</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22,089 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24,870 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26,786 </w:t>
            </w:r>
          </w:p>
        </w:tc>
      </w:tr>
      <w:tr w:rsidR="00B62539" w:rsidRPr="000618C7" w:rsidTr="008C3313">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Provisions </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1,851 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1,529 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2,074 </w:t>
            </w:r>
          </w:p>
        </w:tc>
      </w:tr>
      <w:tr w:rsidR="00B62539" w:rsidRPr="000618C7" w:rsidTr="008C3313">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Retirement benefit liabilities</w:t>
            </w:r>
            <w:r w:rsidRPr="000618C7">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490 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321 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412 </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liabilities</w:t>
            </w:r>
            <w:r w:rsidRPr="000618C7">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b/>
                <w:color w:val="000000"/>
                <w:sz w:val="16"/>
              </w:rPr>
              <w:t xml:space="preserve"> </w:t>
            </w:r>
            <w:r w:rsidRPr="000618C7">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1,567,657 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1,498,232 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1,430,943 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 xml:space="preserve"> </w:t>
            </w:r>
            <w:r w:rsidRPr="000618C7">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20"/>
              </w:rPr>
              <w:t>Shareholders' Equity</w:t>
            </w:r>
            <w:r w:rsidRPr="000618C7">
              <w:rPr>
                <w:b/>
                <w:color w:val="000000"/>
                <w:sz w:val="20"/>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b/>
                <w:color w:val="000000"/>
                <w:sz w:val="20"/>
                <w:vertAlign w:val="superscript"/>
              </w:rPr>
            </w:pPr>
            <w:r w:rsidRPr="000618C7">
              <w:rPr>
                <w:color w:val="000000"/>
                <w:sz w:val="20"/>
              </w:rPr>
              <w:t xml:space="preserve"> </w:t>
            </w:r>
            <w:r w:rsidRPr="000618C7">
              <w:rPr>
                <w:color w:val="000000"/>
                <w:sz w:val="20"/>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20"/>
                <w:vertAlign w:val="superscript"/>
              </w:rPr>
            </w:pPr>
            <w:r w:rsidRPr="000618C7">
              <w:rPr>
                <w:color w:val="000000"/>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20"/>
              </w:rPr>
            </w:pPr>
            <w:r w:rsidRPr="000618C7">
              <w:rPr>
                <w:color w:val="000000"/>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20"/>
              </w:rPr>
            </w:pPr>
            <w:r w:rsidRPr="000618C7">
              <w:rPr>
                <w:color w:val="000000"/>
                <w:sz w:val="20"/>
              </w:rPr>
              <w:t xml:space="preserve"> </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20"/>
              </w:rPr>
            </w:pPr>
            <w:r w:rsidRPr="000618C7">
              <w:rPr>
                <w:color w:val="000000"/>
                <w:sz w:val="16"/>
              </w:rPr>
              <w:t>Shareholders' equity excluding non-controlling interests</w:t>
            </w:r>
            <w:r w:rsidRPr="000618C7">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60,684 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62,078 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59,167 </w:t>
            </w:r>
          </w:p>
        </w:tc>
      </w:tr>
      <w:tr w:rsidR="00B62539" w:rsidRPr="000618C7" w:rsidTr="008C3313">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Non-controlling interests</w:t>
            </w:r>
            <w:r w:rsidRPr="000618C7">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color w:val="000000"/>
                <w:sz w:val="16"/>
                <w:vertAlign w:val="superscript"/>
              </w:rPr>
            </w:pPr>
            <w:r w:rsidRPr="000618C7">
              <w:rPr>
                <w:color w:val="000000"/>
                <w:sz w:val="16"/>
              </w:rPr>
              <w:t>1 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2,957 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3,092 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3,354 </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shareholders' equity</w:t>
            </w:r>
            <w:r w:rsidRPr="000618C7">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63,641 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65,170 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62,521 </w:t>
            </w:r>
          </w:p>
        </w:tc>
      </w:tr>
      <w:tr w:rsidR="00B62539" w:rsidRPr="000618C7" w:rsidTr="008C3313">
        <w:tblPrEx>
          <w:tblCellMar>
            <w:top w:w="0" w:type="dxa"/>
            <w:bottom w:w="0" w:type="dxa"/>
          </w:tblCellMar>
        </w:tblPrEx>
        <w:trPr>
          <w:trHeight w:hRule="exac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liabilities and shareholders' equity</w:t>
            </w:r>
            <w:r w:rsidRPr="000618C7">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1,631,298 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1,563,402 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1,493,464 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lastRenderedPageBreak/>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r w:rsidR="00B62539" w:rsidRPr="000618C7" w:rsidTr="008C3313">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r w:rsidRPr="000618C7">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center"/>
              <w:rPr>
                <w:b/>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r>
    </w:tbl>
    <w:p w:rsidR="008C3313" w:rsidRPr="000618C7" w:rsidRDefault="008C3313" w:rsidP="00450A2A">
      <w:pPr>
        <w:pStyle w:val="NoteandSourceText-BarcRA"/>
        <w:numPr>
          <w:ilvl w:val="0"/>
          <w:numId w:val="145"/>
        </w:numPr>
        <w:ind w:left="284" w:hanging="284"/>
      </w:pPr>
      <w:r w:rsidRPr="000618C7">
        <w:t>For notes specific t</w:t>
      </w:r>
      <w:r>
        <w:t>o Barclays Bank PLC see page 9</w:t>
      </w:r>
      <w:r w:rsidRPr="000618C7">
        <w:t xml:space="preserve"> and for those that also rel</w:t>
      </w:r>
      <w:r>
        <w:t>ate to Barclays PLC see pages 73</w:t>
      </w:r>
      <w:r w:rsidRPr="000618C7">
        <w:t xml:space="preserve"> t</w:t>
      </w:r>
      <w:r>
        <w:t>o 90</w:t>
      </w:r>
      <w:r w:rsidRPr="000618C7">
        <w:t xml:space="preserve"> in the Barclays PLC Results Announcement.</w:t>
      </w:r>
    </w:p>
    <w:p w:rsidR="00B62539" w:rsidRPr="000618C7" w:rsidRDefault="00B62539" w:rsidP="00B62539">
      <w:pPr>
        <w:pStyle w:val="HeadingLevel1-BarcRA"/>
      </w:pPr>
      <w:r w:rsidRPr="000618C7">
        <w:br w:type="page"/>
      </w:r>
      <w:r>
        <w:lastRenderedPageBreak/>
        <w:t xml:space="preserve">Condensed Consolidated Financial Statements </w:t>
      </w:r>
    </w:p>
    <w:tbl>
      <w:tblPr>
        <w:tblW w:w="0" w:type="auto"/>
        <w:tblLayout w:type="fixed"/>
        <w:tblLook w:val="0000" w:firstRow="0" w:lastRow="0" w:firstColumn="0" w:lastColumn="0" w:noHBand="0" w:noVBand="0"/>
      </w:tblPr>
      <w:tblGrid>
        <w:gridCol w:w="4470"/>
        <w:gridCol w:w="1050"/>
        <w:gridCol w:w="840"/>
        <w:gridCol w:w="780"/>
        <w:gridCol w:w="780"/>
        <w:gridCol w:w="855"/>
        <w:gridCol w:w="870"/>
      </w:tblGrid>
      <w:tr w:rsidR="00B62539" w:rsidRPr="000618C7" w:rsidTr="008C3313">
        <w:tblPrEx>
          <w:tblCellMar>
            <w:top w:w="0" w:type="dxa"/>
            <w:bottom w:w="0" w:type="dxa"/>
          </w:tblCellMar>
        </w:tblPrEx>
        <w:trPr>
          <w:trHeight w:val="315"/>
        </w:trPr>
        <w:tc>
          <w:tcPr>
            <w:tcW w:w="4470" w:type="dxa"/>
            <w:gridSpan w:val="7"/>
            <w:tcBorders>
              <w:top w:val="nil"/>
              <w:left w:val="nil"/>
              <w:bottom w:val="nil"/>
              <w:right w:val="nil"/>
            </w:tcBorders>
            <w:shd w:val="clear" w:color="auto" w:fill="FFFFFF"/>
            <w:tcMar>
              <w:left w:w="36" w:type="dxa"/>
              <w:right w:w="36" w:type="dxa"/>
            </w:tcMar>
            <w:vAlign w:val="center"/>
          </w:tcPr>
          <w:p w:rsidR="00B62539" w:rsidRPr="000618C7" w:rsidRDefault="00B62539" w:rsidP="008C3313">
            <w:r w:rsidRPr="000618C7">
              <w:rPr>
                <w:b/>
                <w:color w:val="000000"/>
                <w:sz w:val="24"/>
              </w:rPr>
              <w:t>Condensed Consolidated Statement of Changes in Equity (Unaudited)</w:t>
            </w:r>
          </w:p>
        </w:tc>
      </w:tr>
      <w:tr w:rsidR="00B62539" w:rsidRPr="000618C7" w:rsidTr="008C3313">
        <w:tblPrEx>
          <w:tblCellMar>
            <w:top w:w="0" w:type="dxa"/>
            <w:bottom w:w="0" w:type="dxa"/>
          </w:tblCellMar>
        </w:tblPrEx>
        <w:trPr>
          <w:trHeight w:hRule="exact" w:val="240"/>
        </w:trPr>
        <w:tc>
          <w:tcPr>
            <w:tcW w:w="447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b/>
                <w:color w:val="000000"/>
                <w:sz w:val="24"/>
              </w:rPr>
            </w:pPr>
            <w:r w:rsidRPr="000618C7">
              <w:rPr>
                <w:b/>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b/>
                <w:color w:val="000000"/>
                <w:sz w:val="20"/>
              </w:rPr>
            </w:pPr>
            <w:r w:rsidRPr="000618C7">
              <w:rPr>
                <w:b/>
                <w:color w:val="000000"/>
                <w:sz w:val="20"/>
              </w:rPr>
              <w:t xml:space="preserve"> </w:t>
            </w:r>
            <w:r w:rsidRPr="000618C7">
              <w:rPr>
                <w:b/>
                <w:color w:val="000000"/>
                <w:sz w:val="20"/>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b/>
                <w:color w:val="000000"/>
                <w:sz w:val="20"/>
                <w:vertAlign w:val="superscript"/>
              </w:rPr>
            </w:pPr>
            <w:r w:rsidRPr="000618C7">
              <w:rPr>
                <w:b/>
                <w:color w:val="000000"/>
                <w:sz w:val="20"/>
              </w:rPr>
              <w:t xml:space="preserve">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vertAlign w:val="superscript"/>
              </w:rPr>
            </w:pPr>
            <w:r w:rsidRPr="000618C7">
              <w:rPr>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p>
        </w:tc>
        <w:tc>
          <w:tcPr>
            <w:tcW w:w="85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color w:val="000000"/>
                <w:sz w:val="16"/>
              </w:rPr>
              <w:t xml:space="preserve"> </w:t>
            </w:r>
            <w:r w:rsidRPr="000618C7">
              <w:rPr>
                <w:b/>
                <w:color w:val="000000"/>
                <w:sz w:val="20"/>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b/>
                <w:color w:val="000000"/>
                <w:sz w:val="20"/>
                <w:vertAlign w:val="superscript"/>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rPr>
                <w:color w:val="000000"/>
                <w:sz w:val="16"/>
              </w:rPr>
            </w:pPr>
            <w:r w:rsidRPr="000618C7">
              <w:rPr>
                <w:b/>
                <w:color w:val="000000"/>
                <w:sz w:val="16"/>
              </w:rPr>
              <w:t>Half Year Ended 30.06.12</w:t>
            </w:r>
          </w:p>
        </w:tc>
        <w:tc>
          <w:tcPr>
            <w:tcW w:w="105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rPr>
            </w:pPr>
            <w:r w:rsidRPr="000618C7">
              <w:rPr>
                <w:b/>
                <w:color w:val="000000"/>
                <w:sz w:val="16"/>
              </w:rPr>
              <w:t>Called up Share Capital and Share Premium</w:t>
            </w:r>
            <w:r w:rsidRPr="000618C7">
              <w:rPr>
                <w:b/>
                <w:color w:val="000000"/>
                <w:sz w:val="16"/>
                <w:vertAlign w:val="superscript"/>
              </w:rPr>
              <w:t>1 </w:t>
            </w:r>
          </w:p>
        </w:tc>
        <w:tc>
          <w:tcPr>
            <w:tcW w:w="84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vertAlign w:val="superscript"/>
              </w:rPr>
            </w:pPr>
            <w:r w:rsidRPr="000618C7">
              <w:rPr>
                <w:b/>
                <w:color w:val="000000"/>
                <w:sz w:val="16"/>
              </w:rPr>
              <w:t>Other Reserves</w:t>
            </w:r>
            <w:r w:rsidRPr="000618C7">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vertAlign w:val="superscript"/>
              </w:rPr>
            </w:pPr>
            <w:r w:rsidRPr="000618C7">
              <w:rPr>
                <w:b/>
                <w:color w:val="000000"/>
                <w:sz w:val="16"/>
              </w:rPr>
              <w:t>Retained Earnings</w:t>
            </w:r>
          </w:p>
        </w:tc>
        <w:tc>
          <w:tcPr>
            <w:tcW w:w="78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rPr>
            </w:pPr>
            <w:r w:rsidRPr="000618C7">
              <w:rPr>
                <w:b/>
                <w:color w:val="000000"/>
                <w:sz w:val="16"/>
              </w:rPr>
              <w:t>Total</w:t>
            </w:r>
          </w:p>
        </w:tc>
        <w:tc>
          <w:tcPr>
            <w:tcW w:w="855"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rPr>
            </w:pPr>
            <w:r w:rsidRPr="000618C7">
              <w:rPr>
                <w:b/>
                <w:color w:val="000000"/>
                <w:sz w:val="16"/>
              </w:rPr>
              <w:t>Non-controlling Interests</w:t>
            </w:r>
            <w:r w:rsidRPr="000618C7">
              <w:rPr>
                <w:b/>
                <w:color w:val="000000"/>
                <w:sz w:val="16"/>
                <w:vertAlign w:val="superscript"/>
              </w:rPr>
              <w:t>1 </w:t>
            </w:r>
          </w:p>
        </w:tc>
        <w:tc>
          <w:tcPr>
            <w:tcW w:w="870" w:type="dxa"/>
            <w:tcBorders>
              <w:top w:val="nil"/>
              <w:left w:val="nil"/>
              <w:bottom w:val="nil"/>
              <w:right w:val="nil"/>
            </w:tcBorders>
            <w:shd w:val="clear" w:color="auto" w:fill="FFFFFF"/>
            <w:tcMar>
              <w:left w:w="36" w:type="dxa"/>
              <w:right w:w="36" w:type="dxa"/>
            </w:tcMar>
            <w:vAlign w:val="bottom"/>
          </w:tcPr>
          <w:p w:rsidR="00B62539" w:rsidRPr="000618C7" w:rsidRDefault="00B62539" w:rsidP="008C3313">
            <w:pPr>
              <w:jc w:val="right"/>
              <w:rPr>
                <w:b/>
                <w:color w:val="000000"/>
                <w:sz w:val="16"/>
                <w:vertAlign w:val="superscript"/>
              </w:rPr>
            </w:pPr>
            <w:r w:rsidRPr="000618C7">
              <w:rPr>
                <w:b/>
                <w:color w:val="000000"/>
                <w:sz w:val="16"/>
              </w:rPr>
              <w:t>Total</w:t>
            </w:r>
          </w:p>
          <w:p w:rsidR="00B62539" w:rsidRPr="000618C7" w:rsidRDefault="00B62539" w:rsidP="008C3313">
            <w:pPr>
              <w:jc w:val="right"/>
              <w:rPr>
                <w:b/>
                <w:color w:val="000000"/>
                <w:sz w:val="16"/>
              </w:rPr>
            </w:pPr>
            <w:r w:rsidRPr="000618C7">
              <w:rPr>
                <w:b/>
                <w:color w:val="000000"/>
                <w:sz w:val="16"/>
              </w:rPr>
              <w:t>Equity</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color w:val="000000"/>
                <w:sz w:val="16"/>
              </w:rPr>
              <w:t>£m</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£m</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£m</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£m</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Balance at 1 January 2012</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14,494 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3,308 </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44,276 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62,078 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3,092 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65,170 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Profit after tax</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149 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149 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176 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325 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Currency translation movements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(543)</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(543)</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(71)</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(614)</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Available for sale investments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(62)</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(62)</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19 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(43)</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Cash flow hedges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234 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234 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242 </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Other</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1 </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48 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49 </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49 </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comprehensive income for the year</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(370)</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197 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(173)</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132 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(41)</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Equity settled share schemes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369 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369 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369 </w:t>
            </w:r>
          </w:p>
        </w:tc>
      </w:tr>
      <w:tr w:rsidR="00B62539" w:rsidRPr="000618C7" w:rsidTr="008C3313">
        <w:tblPrEx>
          <w:tblCellMar>
            <w:top w:w="0" w:type="dxa"/>
            <w:bottom w:w="0" w:type="dxa"/>
          </w:tblCellMar>
        </w:tblPrEx>
        <w:trPr>
          <w:trHeight w:val="255"/>
        </w:trPr>
        <w:tc>
          <w:tcPr>
            <w:tcW w:w="4470" w:type="dxa"/>
            <w:tcBorders>
              <w:top w:val="nil"/>
              <w:left w:val="nil"/>
              <w:bottom w:val="nil"/>
              <w:right w:val="nil"/>
            </w:tcBorders>
            <w:shd w:val="clear" w:color="auto" w:fill="FFFFFF"/>
            <w:tcMar>
              <w:left w:w="36" w:type="dxa"/>
              <w:right w:w="36" w:type="dxa"/>
            </w:tcMar>
          </w:tcPr>
          <w:p w:rsidR="00B62539" w:rsidRPr="000618C7" w:rsidRDefault="00B62539" w:rsidP="008C3313">
            <w:pPr>
              <w:rPr>
                <w:color w:val="000000"/>
                <w:sz w:val="16"/>
              </w:rPr>
            </w:pPr>
            <w:r w:rsidRPr="000618C7">
              <w:rPr>
                <w:color w:val="000000"/>
                <w:sz w:val="16"/>
              </w:rPr>
              <w:t>Vesting of Barclays PLC shares under share-based payment schemes</w:t>
            </w:r>
          </w:p>
        </w:tc>
        <w:tc>
          <w:tcPr>
            <w:tcW w:w="105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(912)</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(912)</w:t>
            </w:r>
          </w:p>
        </w:tc>
        <w:tc>
          <w:tcPr>
            <w:tcW w:w="855"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(912)</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tcPr>
          <w:p w:rsidR="00B62539" w:rsidRPr="000618C7" w:rsidRDefault="00B62539" w:rsidP="008C3313">
            <w:pPr>
              <w:rPr>
                <w:color w:val="000000"/>
                <w:sz w:val="16"/>
              </w:rPr>
            </w:pPr>
            <w:r w:rsidRPr="000618C7">
              <w:rPr>
                <w:color w:val="000000"/>
                <w:sz w:val="16"/>
              </w:rPr>
              <w:t>Dividends paid</w:t>
            </w:r>
          </w:p>
        </w:tc>
        <w:tc>
          <w:tcPr>
            <w:tcW w:w="105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(462)</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(462)</w:t>
            </w:r>
          </w:p>
        </w:tc>
        <w:tc>
          <w:tcPr>
            <w:tcW w:w="855"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(143)</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(605)</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tcPr>
          <w:p w:rsidR="00B62539" w:rsidRPr="000618C7" w:rsidRDefault="00B62539" w:rsidP="008C3313">
            <w:pPr>
              <w:rPr>
                <w:color w:val="000000"/>
                <w:sz w:val="16"/>
              </w:rPr>
            </w:pPr>
            <w:r w:rsidRPr="000618C7">
              <w:rPr>
                <w:color w:val="000000"/>
                <w:sz w:val="16"/>
              </w:rPr>
              <w:t>Dividends on preference shares and other shareholders equity</w:t>
            </w:r>
          </w:p>
        </w:tc>
        <w:tc>
          <w:tcPr>
            <w:tcW w:w="105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(221)</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(221)</w:t>
            </w:r>
          </w:p>
        </w:tc>
        <w:tc>
          <w:tcPr>
            <w:tcW w:w="855"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(221)</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Other reserve movements</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12 </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(7)</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5 </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(124)</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(119)</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Balance at 30 June 2012</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14,494 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2,950 </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43,240 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60,684 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2,957 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63,641 </w:t>
            </w:r>
          </w:p>
        </w:tc>
      </w:tr>
      <w:tr w:rsidR="00B62539" w:rsidRPr="000618C7" w:rsidTr="008C3313">
        <w:tblPrEx>
          <w:tblCellMar>
            <w:top w:w="0" w:type="dxa"/>
            <w:bottom w:w="0" w:type="dxa"/>
          </w:tblCellMar>
        </w:tblPrEx>
        <w:trPr>
          <w:trHeight w:hRule="exac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r w:rsidRPr="000618C7">
              <w:rPr>
                <w:b/>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 xml:space="preserve"> </w:t>
            </w:r>
            <w:r w:rsidRPr="000618C7">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r w:rsidRPr="000618C7">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 xml:space="preserve"> </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Half Year Ended 31.12.11</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color w:val="000000"/>
                <w:sz w:val="16"/>
              </w:rPr>
              <w:t xml:space="preserve">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Balance at 1 July 2011</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14,494 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2,023 </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42,650 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59,167 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3,354 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62,521 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Profit after tax</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1,843 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1,843 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211 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2,054 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Currency translation movements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(401)</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(401)</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(416)</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(817)</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Available for sale investments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895 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895 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897 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Cash flow hedges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1,338 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1,338 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1,351 </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Other</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4 </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(101)</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(97)</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(97)</w:t>
            </w:r>
          </w:p>
        </w:tc>
      </w:tr>
      <w:tr w:rsidR="00B62539" w:rsidRPr="000618C7" w:rsidTr="008C3313">
        <w:tblPrEx>
          <w:tblCellMar>
            <w:top w:w="0" w:type="dxa"/>
            <w:bottom w:w="0" w:type="dxa"/>
          </w:tblCellMar>
        </w:tblPrEx>
        <w:trPr>
          <w:trHeight w:val="255"/>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comprehensive income for the year</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1,836 </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1,742 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3,578 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(190)</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3,388 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Equity settled share schemes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477 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477 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477 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Vesting of Barclays PLC shares under share-based payment schemes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(76)</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(76)</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(76)</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Dividends paid</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(242)</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(242)</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(93)</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(335)</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tcPr>
          <w:p w:rsidR="00B62539" w:rsidRPr="000618C7" w:rsidRDefault="00B62539" w:rsidP="008C3313">
            <w:pPr>
              <w:rPr>
                <w:color w:val="000000"/>
                <w:sz w:val="16"/>
              </w:rPr>
            </w:pPr>
            <w:r w:rsidRPr="000618C7">
              <w:rPr>
                <w:color w:val="000000"/>
                <w:sz w:val="16"/>
              </w:rPr>
              <w:t>Dividends on preference shares and other shareholders equity</w:t>
            </w:r>
          </w:p>
        </w:tc>
        <w:tc>
          <w:tcPr>
            <w:tcW w:w="105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(271)</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(271)</w:t>
            </w:r>
          </w:p>
        </w:tc>
        <w:tc>
          <w:tcPr>
            <w:tcW w:w="855"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(271)</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Redemption of Reserve Capital Instruments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(528)</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(528)</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(528)</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Other reserve movements</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(23)</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(27)</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21 </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Balance at 31 December 2011</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14,494 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3,308 </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44,276 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62,078 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3,092 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65,170 </w:t>
            </w:r>
          </w:p>
        </w:tc>
      </w:tr>
      <w:tr w:rsidR="00B62539" w:rsidRPr="000618C7" w:rsidTr="008C3313">
        <w:tblPrEx>
          <w:tblCellMar>
            <w:top w:w="0" w:type="dxa"/>
            <w:bottom w:w="0" w:type="dxa"/>
          </w:tblCellMar>
        </w:tblPrEx>
        <w:trPr>
          <w:trHeight w:hRule="exac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r w:rsidRPr="000618C7">
              <w:rPr>
                <w:b/>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 xml:space="preserve"> </w:t>
            </w:r>
            <w:r w:rsidRPr="000618C7">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xml:space="preserve"> </w:t>
            </w:r>
            <w:r w:rsidRPr="000618C7">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 xml:space="preserve"> </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Half Year Ended 30.06.11</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color w:val="000000"/>
                <w:sz w:val="16"/>
              </w:rPr>
              <w:t xml:space="preserve">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xml:space="preserve"> </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xml:space="preserve"> </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Balance at 1 January 2011</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14,494 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3,230 </w:t>
            </w:r>
            <w:r w:rsidRPr="000618C7">
              <w:rPr>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b/>
                <w:color w:val="000000"/>
                <w:sz w:val="16"/>
              </w:rPr>
              <w:t>41,450 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59,174 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3,467 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62,641 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Profit after tax</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1,773 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1,773 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219 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1,992 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Currency translation movements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(608)</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(608)</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(182)</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(790)</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Available for sale investments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323 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323 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315 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Cash flow hedges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(48)</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(48)</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(40)</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(88)</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Other</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14 </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9 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23 </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23 </w:t>
            </w:r>
          </w:p>
        </w:tc>
      </w:tr>
      <w:tr w:rsidR="00B62539" w:rsidRPr="000618C7" w:rsidTr="008C3313">
        <w:tblPrEx>
          <w:tblCellMar>
            <w:top w:w="0" w:type="dxa"/>
            <w:bottom w:w="0" w:type="dxa"/>
          </w:tblCellMar>
        </w:tblPrEx>
        <w:trPr>
          <w:trHeight w:val="255"/>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Total comprehensive income for the year</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(319)</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1,782 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1,463 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(11)</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1,452 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Equity settled share schemes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361 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361 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361 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Vesting of Barclays PLC shares under share-based payment </w:t>
            </w:r>
            <w:r w:rsidRPr="000618C7">
              <w:rPr>
                <w:color w:val="000000"/>
                <w:sz w:val="16"/>
              </w:rPr>
              <w:lastRenderedPageBreak/>
              <w:t>schemes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lastRenderedPageBreak/>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(423)</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(423)</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(423)</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tcPr>
          <w:p w:rsidR="00B62539" w:rsidRPr="000618C7" w:rsidRDefault="00B62539" w:rsidP="008C3313">
            <w:pPr>
              <w:rPr>
                <w:color w:val="000000"/>
                <w:sz w:val="16"/>
              </w:rPr>
            </w:pPr>
            <w:r w:rsidRPr="000618C7">
              <w:rPr>
                <w:color w:val="000000"/>
                <w:sz w:val="16"/>
              </w:rPr>
              <w:lastRenderedPageBreak/>
              <w:t>Dividends paid</w:t>
            </w:r>
          </w:p>
        </w:tc>
        <w:tc>
          <w:tcPr>
            <w:tcW w:w="105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(401)</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(401)</w:t>
            </w:r>
          </w:p>
        </w:tc>
        <w:tc>
          <w:tcPr>
            <w:tcW w:w="855"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(95)</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(496)</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tcPr>
          <w:p w:rsidR="00B62539" w:rsidRPr="000618C7" w:rsidRDefault="00B62539" w:rsidP="008C3313">
            <w:pPr>
              <w:rPr>
                <w:color w:val="000000"/>
                <w:sz w:val="16"/>
              </w:rPr>
            </w:pPr>
            <w:r w:rsidRPr="000618C7">
              <w:rPr>
                <w:color w:val="000000"/>
                <w:sz w:val="16"/>
              </w:rPr>
              <w:t>Dividends on preference shares and other shareholders equity</w:t>
            </w:r>
          </w:p>
        </w:tc>
        <w:tc>
          <w:tcPr>
            <w:tcW w:w="105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(268)</w:t>
            </w:r>
          </w:p>
        </w:tc>
        <w:tc>
          <w:tcPr>
            <w:tcW w:w="780"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(268)</w:t>
            </w:r>
          </w:p>
        </w:tc>
        <w:tc>
          <w:tcPr>
            <w:tcW w:w="855" w:type="dxa"/>
            <w:tcBorders>
              <w:top w:val="nil"/>
              <w:left w:val="nil"/>
              <w:bottom w:val="nil"/>
              <w:right w:val="nil"/>
            </w:tcBorders>
            <w:shd w:val="clear" w:color="auto" w:fill="FFFFFF"/>
            <w:tcMar>
              <w:left w:w="36" w:type="dxa"/>
              <w:right w:w="36" w:type="dxa"/>
            </w:tcMa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tcPr>
          <w:p w:rsidR="00B62539" w:rsidRPr="000618C7" w:rsidRDefault="00B62539" w:rsidP="008C3313">
            <w:pPr>
              <w:jc w:val="right"/>
              <w:rPr>
                <w:color w:val="000000"/>
                <w:sz w:val="16"/>
                <w:vertAlign w:val="superscript"/>
              </w:rPr>
            </w:pPr>
            <w:r w:rsidRPr="000618C7">
              <w:rPr>
                <w:color w:val="000000"/>
                <w:sz w:val="16"/>
              </w:rPr>
              <w:t>(268)</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Capital injection from Barclays PLC</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r>
      <w:tr w:rsidR="00B62539" w:rsidRPr="000618C7" w:rsidTr="008C3313">
        <w:tblPrEx>
          <w:tblCellMar>
            <w:top w:w="0" w:type="dxa"/>
            <w:bottom w:w="0" w:type="dxa"/>
          </w:tblCellMar>
        </w:tblPrEx>
        <w:trPr>
          <w:trHeight w:val="240"/>
        </w:trPr>
        <w:tc>
          <w:tcPr>
            <w:tcW w:w="447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Redemption of Reserve Capital Instruments</w:t>
            </w:r>
          </w:p>
        </w:tc>
        <w:tc>
          <w:tcPr>
            <w:tcW w:w="105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(887)</w:t>
            </w:r>
            <w:r w:rsidRPr="000618C7">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(887)</w:t>
            </w:r>
          </w:p>
        </w:tc>
        <w:tc>
          <w:tcPr>
            <w:tcW w:w="85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70"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(887)</w:t>
            </w:r>
          </w:p>
        </w:tc>
      </w:tr>
      <w:tr w:rsidR="00B62539" w:rsidRPr="000618C7" w:rsidTr="008C3313">
        <w:tblPrEx>
          <w:tblCellMar>
            <w:top w:w="0" w:type="dxa"/>
            <w:bottom w:w="0" w:type="dxa"/>
          </w:tblCellMar>
        </w:tblPrEx>
        <w:trPr>
          <w:trHeight w:val="240"/>
        </w:trPr>
        <w:tc>
          <w:tcPr>
            <w:tcW w:w="447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Other reserve movements</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 </w:t>
            </w:r>
            <w:r w:rsidRPr="000618C7">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w:t>
            </w:r>
            <w:r w:rsidRPr="000618C7">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149 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148 </w:t>
            </w:r>
          </w:p>
        </w:tc>
        <w:tc>
          <w:tcPr>
            <w:tcW w:w="855" w:type="dxa"/>
            <w:tcBorders>
              <w:top w:val="nil"/>
              <w:left w:val="nil"/>
              <w:bottom w:val="single" w:sz="6" w:space="0" w:color="808080"/>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w:t>
            </w:r>
            <w:r w:rsidRPr="000618C7">
              <w:rPr>
                <w:color w:val="000000"/>
                <w:sz w:val="16"/>
                <w:vertAlign w:val="superscript"/>
              </w:rPr>
              <w:t xml:space="preserve"> </w:t>
            </w:r>
          </w:p>
        </w:tc>
        <w:tc>
          <w:tcPr>
            <w:tcW w:w="870" w:type="dxa"/>
            <w:tcBorders>
              <w:top w:val="nil"/>
              <w:left w:val="nil"/>
              <w:bottom w:val="single" w:sz="6" w:space="0" w:color="808080"/>
              <w:right w:val="nil"/>
            </w:tcBorders>
            <w:shd w:val="clear" w:color="auto" w:fill="EAEAEA"/>
            <w:tcMar>
              <w:left w:w="36" w:type="dxa"/>
              <w:right w:w="36" w:type="dxa"/>
            </w:tcMar>
            <w:vAlign w:val="center"/>
          </w:tcPr>
          <w:p w:rsidR="00B62539" w:rsidRPr="000618C7" w:rsidRDefault="00B62539" w:rsidP="008C3313">
            <w:pPr>
              <w:jc w:val="right"/>
              <w:rPr>
                <w:color w:val="000000"/>
                <w:sz w:val="16"/>
                <w:vertAlign w:val="superscript"/>
              </w:rPr>
            </w:pPr>
            <w:r w:rsidRPr="000618C7">
              <w:rPr>
                <w:color w:val="000000"/>
                <w:sz w:val="16"/>
              </w:rPr>
              <w:t>141 </w:t>
            </w:r>
          </w:p>
        </w:tc>
      </w:tr>
      <w:tr w:rsidR="00B62539" w:rsidRPr="000618C7" w:rsidTr="008C3313">
        <w:tblPrEx>
          <w:tblCellMar>
            <w:top w:w="0" w:type="dxa"/>
            <w:bottom w:w="0" w:type="dxa"/>
          </w:tblCellMar>
        </w:tblPrEx>
        <w:trPr>
          <w:trHeight w:val="240"/>
        </w:trPr>
        <w:tc>
          <w:tcPr>
            <w:tcW w:w="447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Balance at 30 June 2011</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14,494 </w:t>
            </w:r>
            <w:r w:rsidRPr="000618C7">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2,023 </w:t>
            </w:r>
            <w:r w:rsidRPr="000618C7">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42,650 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59,167 </w:t>
            </w:r>
          </w:p>
        </w:tc>
        <w:tc>
          <w:tcPr>
            <w:tcW w:w="855" w:type="dxa"/>
            <w:tcBorders>
              <w:top w:val="single" w:sz="6" w:space="0" w:color="808080"/>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3,354 </w:t>
            </w:r>
            <w:r w:rsidRPr="000618C7">
              <w:rPr>
                <w:b/>
                <w:color w:val="000000"/>
                <w:sz w:val="16"/>
                <w:vertAlign w:val="superscript"/>
              </w:rPr>
              <w:t xml:space="preserve"> </w:t>
            </w:r>
          </w:p>
        </w:tc>
        <w:tc>
          <w:tcPr>
            <w:tcW w:w="870" w:type="dxa"/>
            <w:tcBorders>
              <w:top w:val="single" w:sz="6" w:space="0" w:color="808080"/>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vertAlign w:val="superscript"/>
              </w:rPr>
            </w:pPr>
            <w:r w:rsidRPr="000618C7">
              <w:rPr>
                <w:b/>
                <w:color w:val="000000"/>
                <w:sz w:val="16"/>
              </w:rPr>
              <w:t>62,521 </w:t>
            </w:r>
          </w:p>
        </w:tc>
      </w:tr>
    </w:tbl>
    <w:p w:rsidR="00B62539" w:rsidRPr="000618C7" w:rsidRDefault="00B62539" w:rsidP="00B62539"/>
    <w:p w:rsidR="00B62539" w:rsidRDefault="00B62539" w:rsidP="00B62539">
      <w:pPr>
        <w:pStyle w:val="NoteandSourceText-BarcRA2"/>
        <w:numPr>
          <w:ilvl w:val="0"/>
          <w:numId w:val="0"/>
        </w:numPr>
        <w:ind w:left="284"/>
      </w:pPr>
    </w:p>
    <w:p w:rsidR="00B62539" w:rsidRPr="000618C7" w:rsidRDefault="00B62539" w:rsidP="00450A2A">
      <w:pPr>
        <w:pStyle w:val="NoteandSourceText-BarcRA2"/>
        <w:numPr>
          <w:ilvl w:val="0"/>
          <w:numId w:val="146"/>
        </w:numPr>
        <w:ind w:left="284" w:hanging="284"/>
      </w:pPr>
      <w:r>
        <w:t xml:space="preserve">Details of share capital and non-controlling interests are shown on page </w:t>
      </w:r>
      <w:r w:rsidR="003B479C">
        <w:t>9</w:t>
      </w:r>
      <w:r>
        <w:t>. Included within other reserve movements of £124m, £91m relates to the disposal of the Iveco Finance business.</w:t>
      </w:r>
    </w:p>
    <w:p w:rsidR="00B62539" w:rsidRPr="000618C7" w:rsidRDefault="00B62539" w:rsidP="00B62539">
      <w:pPr>
        <w:pStyle w:val="HeadingLevel1-BarcRA"/>
      </w:pPr>
      <w:r w:rsidRPr="000618C7">
        <w:br w:type="page"/>
      </w:r>
      <w:r>
        <w:lastRenderedPageBreak/>
        <w:t xml:space="preserve">Condensed Consolidated Financial Statements </w:t>
      </w:r>
    </w:p>
    <w:tbl>
      <w:tblPr>
        <w:tblW w:w="0" w:type="auto"/>
        <w:tblLayout w:type="fixed"/>
        <w:tblLook w:val="0000" w:firstRow="0" w:lastRow="0" w:firstColumn="0" w:lastColumn="0" w:noHBand="0" w:noVBand="0"/>
      </w:tblPr>
      <w:tblGrid>
        <w:gridCol w:w="5640"/>
        <w:gridCol w:w="1335"/>
        <w:gridCol w:w="1335"/>
        <w:gridCol w:w="1335"/>
      </w:tblGrid>
      <w:tr w:rsidR="00B62539" w:rsidRPr="000618C7" w:rsidTr="008C3313">
        <w:tblPrEx>
          <w:tblCellMar>
            <w:top w:w="0" w:type="dxa"/>
            <w:bottom w:w="0" w:type="dxa"/>
          </w:tblCellMar>
        </w:tblPrEx>
        <w:trPr>
          <w:trHeight w:val="315"/>
        </w:trPr>
        <w:tc>
          <w:tcPr>
            <w:tcW w:w="5640" w:type="dxa"/>
            <w:gridSpan w:val="2"/>
            <w:tcBorders>
              <w:top w:val="nil"/>
              <w:left w:val="nil"/>
              <w:bottom w:val="nil"/>
              <w:right w:val="nil"/>
            </w:tcBorders>
            <w:shd w:val="clear" w:color="auto" w:fill="FFFFFF"/>
            <w:tcMar>
              <w:left w:w="36" w:type="dxa"/>
              <w:right w:w="36" w:type="dxa"/>
            </w:tcMar>
            <w:vAlign w:val="center"/>
          </w:tcPr>
          <w:p w:rsidR="00B62539" w:rsidRPr="000618C7" w:rsidRDefault="00B62539" w:rsidP="008C3313">
            <w:r w:rsidRPr="000618C7">
              <w:rPr>
                <w:b/>
                <w:color w:val="000000"/>
                <w:sz w:val="24"/>
              </w:rPr>
              <w:t>Condensed Consolidated Cash Flow Statement (Unaudited)</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24"/>
              </w:rPr>
            </w:pPr>
            <w:r w:rsidRPr="000618C7">
              <w:rPr>
                <w:color w:val="000000"/>
                <w:sz w:val="2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24"/>
              </w:rPr>
            </w:pPr>
            <w:r w:rsidRPr="000618C7">
              <w:rPr>
                <w:color w:val="000000"/>
                <w:sz w:val="24"/>
              </w:rPr>
              <w:t xml:space="preserve"> </w:t>
            </w:r>
          </w:p>
        </w:tc>
      </w:tr>
      <w:tr w:rsidR="00B62539" w:rsidRPr="000618C7" w:rsidTr="008C3313">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24"/>
              </w:rPr>
            </w:pPr>
            <w:r w:rsidRPr="000618C7">
              <w:rPr>
                <w:b/>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sidRPr="000618C7">
              <w:rPr>
                <w:b/>
                <w:color w:val="000000"/>
                <w:sz w:val="16"/>
              </w:rPr>
              <w:t xml:space="preserve"> Half Year </w:t>
            </w:r>
          </w:p>
          <w:p w:rsidR="00B62539" w:rsidRPr="000618C7" w:rsidRDefault="00B62539" w:rsidP="008C3313">
            <w:pPr>
              <w:jc w:val="right"/>
              <w:rPr>
                <w:b/>
                <w:color w:val="000000"/>
                <w:sz w:val="16"/>
              </w:rPr>
            </w:pPr>
            <w:r w:rsidRPr="000618C7">
              <w:rPr>
                <w:b/>
                <w:color w:val="000000"/>
                <w:sz w:val="16"/>
              </w:rPr>
              <w:t>Ended</w:t>
            </w:r>
          </w:p>
        </w:tc>
        <w:tc>
          <w:tcPr>
            <w:tcW w:w="133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sidRPr="000618C7">
              <w:rPr>
                <w:b/>
                <w:color w:val="000000"/>
                <w:sz w:val="16"/>
              </w:rPr>
              <w:t xml:space="preserve"> Half Year </w:t>
            </w:r>
          </w:p>
          <w:p w:rsidR="00B62539" w:rsidRPr="000618C7" w:rsidRDefault="00B62539" w:rsidP="008C3313">
            <w:pPr>
              <w:jc w:val="right"/>
              <w:rPr>
                <w:b/>
                <w:color w:val="000000"/>
                <w:sz w:val="16"/>
              </w:rPr>
            </w:pPr>
            <w:r w:rsidRPr="000618C7">
              <w:rPr>
                <w:b/>
                <w:color w:val="000000"/>
                <w:sz w:val="16"/>
              </w:rPr>
              <w:t>Ended</w:t>
            </w:r>
          </w:p>
        </w:tc>
        <w:tc>
          <w:tcPr>
            <w:tcW w:w="133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sidRPr="000618C7">
              <w:rPr>
                <w:b/>
                <w:color w:val="000000"/>
                <w:sz w:val="16"/>
              </w:rPr>
              <w:t xml:space="preserve"> Half Year </w:t>
            </w:r>
          </w:p>
          <w:p w:rsidR="00B62539" w:rsidRPr="000618C7" w:rsidRDefault="00B62539" w:rsidP="008C3313">
            <w:pPr>
              <w:jc w:val="right"/>
              <w:rPr>
                <w:b/>
                <w:color w:val="000000"/>
                <w:sz w:val="16"/>
              </w:rPr>
            </w:pPr>
            <w:r w:rsidRPr="000618C7">
              <w:rPr>
                <w:b/>
                <w:color w:val="000000"/>
                <w:sz w:val="16"/>
              </w:rPr>
              <w:t>Ended</w:t>
            </w:r>
          </w:p>
        </w:tc>
      </w:tr>
      <w:tr w:rsidR="00B62539" w:rsidRPr="000618C7" w:rsidTr="008C3313">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b/>
                <w:color w:val="000000"/>
                <w:sz w:val="16"/>
              </w:rPr>
              <w:t>Continuing Operations</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30.06.12</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31.12.11</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30.06.11</w:t>
            </w:r>
          </w:p>
        </w:tc>
      </w:tr>
      <w:tr w:rsidR="00B62539" w:rsidRPr="000618C7" w:rsidTr="008C3313">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£m</w:t>
            </w:r>
          </w:p>
        </w:tc>
      </w:tr>
      <w:tr w:rsidR="00B62539" w:rsidRPr="000618C7" w:rsidTr="008C3313">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 xml:space="preserve">Profit before tax </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sidRPr="000618C7">
              <w:rPr>
                <w:color w:val="000000"/>
                <w:sz w:val="16"/>
              </w:rPr>
              <w:t>604 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3,321 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2,653 </w:t>
            </w:r>
          </w:p>
        </w:tc>
      </w:tr>
      <w:tr w:rsidR="00B62539" w:rsidRPr="000618C7" w:rsidTr="008C3313">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Adjustment for non-cash items</w:t>
            </w:r>
          </w:p>
        </w:tc>
        <w:tc>
          <w:tcPr>
            <w:tcW w:w="1335"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Pr>
                <w:color w:val="000000"/>
                <w:sz w:val="16"/>
              </w:rPr>
              <w:t>6,754</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4,733 </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2,547 </w:t>
            </w:r>
          </w:p>
        </w:tc>
      </w:tr>
      <w:tr w:rsidR="00B62539" w:rsidRPr="000618C7" w:rsidTr="008C3313">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Changes in operating assets and liabilities</w:t>
            </w:r>
          </w:p>
        </w:tc>
        <w:tc>
          <w:tcPr>
            <w:tcW w:w="1335"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sidRPr="000618C7">
              <w:rPr>
                <w:color w:val="000000"/>
                <w:sz w:val="16"/>
              </w:rPr>
              <w:t>23,668 </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(9,754)</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27,054 </w:t>
            </w:r>
          </w:p>
        </w:tc>
      </w:tr>
      <w:tr w:rsidR="00B62539" w:rsidRPr="000618C7" w:rsidTr="008C3313">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Corporate income tax paid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sidRPr="000618C7">
              <w:rPr>
                <w:color w:val="000000"/>
                <w:sz w:val="16"/>
              </w:rPr>
              <w:t>(889)</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(796)</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(890)</w:t>
            </w:r>
          </w:p>
        </w:tc>
      </w:tr>
      <w:tr w:rsidR="00B62539" w:rsidRPr="000618C7" w:rsidTr="008C3313">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Net cash from operating activities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rPr>
            </w:pPr>
            <w:r>
              <w:rPr>
                <w:b/>
                <w:color w:val="000000"/>
                <w:sz w:val="16"/>
              </w:rPr>
              <w:t>30,137</w:t>
            </w:r>
            <w:r w:rsidRPr="000618C7">
              <w:rPr>
                <w:b/>
                <w:color w:val="000000"/>
                <w:sz w:val="16"/>
              </w:rPr>
              <w:t>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(2,496)</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31,364 </w:t>
            </w:r>
          </w:p>
        </w:tc>
      </w:tr>
      <w:tr w:rsidR="00B62539" w:rsidRPr="000618C7" w:rsidTr="008C3313">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Net cash from investing activities</w:t>
            </w:r>
          </w:p>
        </w:tc>
        <w:tc>
          <w:tcPr>
            <w:tcW w:w="1335"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Pr>
                <w:color w:val="000000"/>
                <w:sz w:val="16"/>
              </w:rPr>
              <w:t>(2,233</w:t>
            </w:r>
            <w:r w:rsidRPr="000618C7">
              <w:rPr>
                <w:color w:val="000000"/>
                <w:sz w:val="16"/>
              </w:rPr>
              <w:t>)</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13,553 </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(15,465)</w:t>
            </w:r>
          </w:p>
        </w:tc>
      </w:tr>
      <w:tr w:rsidR="00B62539" w:rsidRPr="000618C7" w:rsidTr="008C3313">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Net cash from financing activities</w:t>
            </w:r>
          </w:p>
        </w:tc>
        <w:tc>
          <w:tcPr>
            <w:tcW w:w="1335" w:type="dxa"/>
            <w:tcBorders>
              <w:top w:val="nil"/>
              <w:left w:val="nil"/>
              <w:bottom w:val="nil"/>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sidRPr="000618C7">
              <w:rPr>
                <w:color w:val="000000"/>
                <w:sz w:val="16"/>
              </w:rPr>
              <w:t>(2,979)</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(3,450)</w:t>
            </w:r>
          </w:p>
        </w:tc>
        <w:tc>
          <w:tcPr>
            <w:tcW w:w="1335" w:type="dxa"/>
            <w:tcBorders>
              <w:top w:val="nil"/>
              <w:left w:val="nil"/>
              <w:bottom w:val="nil"/>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(2,300)</w:t>
            </w:r>
          </w:p>
        </w:tc>
      </w:tr>
      <w:tr w:rsidR="00B62539" w:rsidRPr="000618C7" w:rsidTr="008C3313">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color w:val="000000"/>
                <w:sz w:val="16"/>
              </w:rPr>
              <w:t>Effect of exchange rates on cash and cash equivalents</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sidRPr="000618C7">
              <w:rPr>
                <w:color w:val="000000"/>
                <w:sz w:val="16"/>
              </w:rPr>
              <w:t>(2,424)</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(1,350)</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(1,583)</w:t>
            </w:r>
          </w:p>
        </w:tc>
      </w:tr>
      <w:tr w:rsidR="00B62539" w:rsidRPr="000618C7" w:rsidTr="008C3313">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Net increase in cash and cash equivalents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22,501 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6,257 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12,016 </w:t>
            </w:r>
          </w:p>
        </w:tc>
      </w:tr>
      <w:tr w:rsidR="00B62539" w:rsidRPr="000618C7" w:rsidTr="008C3313">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rPr>
                <w:b/>
                <w:color w:val="000000"/>
                <w:sz w:val="16"/>
              </w:rPr>
            </w:pPr>
            <w:r w:rsidRPr="000618C7">
              <w:rPr>
                <w:color w:val="000000"/>
                <w:sz w:val="16"/>
              </w:rPr>
              <w:t>Cash and cash equivalents at beginning of the period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B62539" w:rsidRPr="000618C7" w:rsidRDefault="00B62539" w:rsidP="008C3313">
            <w:pPr>
              <w:jc w:val="right"/>
              <w:rPr>
                <w:color w:val="000000"/>
                <w:sz w:val="16"/>
              </w:rPr>
            </w:pPr>
            <w:r w:rsidRPr="000618C7">
              <w:rPr>
                <w:color w:val="000000"/>
                <w:sz w:val="16"/>
              </w:rPr>
              <w:t>149,673 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143,416 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B62539" w:rsidRPr="000618C7" w:rsidRDefault="00B62539" w:rsidP="008C3313">
            <w:pPr>
              <w:jc w:val="right"/>
              <w:rPr>
                <w:color w:val="000000"/>
                <w:sz w:val="16"/>
              </w:rPr>
            </w:pPr>
            <w:r w:rsidRPr="000618C7">
              <w:rPr>
                <w:color w:val="000000"/>
                <w:sz w:val="16"/>
              </w:rPr>
              <w:t>131,400 </w:t>
            </w:r>
          </w:p>
        </w:tc>
      </w:tr>
      <w:tr w:rsidR="00B62539" w:rsidRPr="000618C7" w:rsidTr="008C3313">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rPr>
                <w:color w:val="000000"/>
                <w:sz w:val="16"/>
              </w:rPr>
            </w:pPr>
            <w:r w:rsidRPr="000618C7">
              <w:rPr>
                <w:b/>
                <w:color w:val="000000"/>
                <w:sz w:val="16"/>
              </w:rPr>
              <w:t>Cash and cash equivalents at end of the period</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172,174 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149,673 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B62539" w:rsidRPr="000618C7" w:rsidRDefault="00B62539" w:rsidP="008C3313">
            <w:pPr>
              <w:jc w:val="right"/>
              <w:rPr>
                <w:b/>
                <w:color w:val="000000"/>
                <w:sz w:val="16"/>
              </w:rPr>
            </w:pPr>
            <w:r w:rsidRPr="000618C7">
              <w:rPr>
                <w:b/>
                <w:color w:val="000000"/>
                <w:sz w:val="16"/>
              </w:rPr>
              <w:t>143,416 </w:t>
            </w:r>
          </w:p>
        </w:tc>
      </w:tr>
    </w:tbl>
    <w:p w:rsidR="00B62539" w:rsidRPr="000618C7" w:rsidRDefault="00B62539" w:rsidP="00B62539">
      <w:pPr>
        <w:sectPr w:rsidR="00B62539" w:rsidRPr="000618C7">
          <w:headerReference w:type="default" r:id="rId11"/>
          <w:pgSz w:w="11905" w:h="16837"/>
          <w:pgMar w:top="851" w:right="1134" w:bottom="567" w:left="1134" w:header="851" w:footer="567" w:gutter="0"/>
          <w:cols w:space="708"/>
        </w:sectPr>
      </w:pPr>
    </w:p>
    <w:p w:rsidR="00B62539" w:rsidRDefault="00B62539" w:rsidP="00B62539">
      <w:pPr>
        <w:sectPr w:rsidR="00B62539">
          <w:headerReference w:type="default" r:id="rId12"/>
          <w:type w:val="continuous"/>
          <w:pgSz w:w="11905" w:h="16837"/>
          <w:pgMar w:top="851" w:right="1134" w:bottom="567" w:left="1134" w:header="851" w:footer="567" w:gutter="0"/>
          <w:cols w:space="708"/>
        </w:sectPr>
      </w:pPr>
    </w:p>
    <w:p w:rsidR="00B62539" w:rsidRPr="00932C16" w:rsidRDefault="00B62539" w:rsidP="00B62539">
      <w:pPr>
        <w:pStyle w:val="HeadingLevel1-BarcRA"/>
      </w:pPr>
      <w:r>
        <w:lastRenderedPageBreak/>
        <w:t>Notes</w:t>
      </w:r>
    </w:p>
    <w:tbl>
      <w:tblPr>
        <w:tblW w:w="0" w:type="auto"/>
        <w:tblLayout w:type="fixed"/>
        <w:tblLook w:val="0000" w:firstRow="0" w:lastRow="0" w:firstColumn="0" w:lastColumn="0" w:noHBand="0" w:noVBand="0"/>
      </w:tblPr>
      <w:tblGrid>
        <w:gridCol w:w="2385"/>
        <w:gridCol w:w="255"/>
        <w:gridCol w:w="975"/>
        <w:gridCol w:w="975"/>
        <w:gridCol w:w="975"/>
        <w:gridCol w:w="975"/>
        <w:gridCol w:w="180"/>
        <w:gridCol w:w="975"/>
        <w:gridCol w:w="975"/>
        <w:gridCol w:w="975"/>
      </w:tblGrid>
      <w:tr w:rsidR="00B62539" w:rsidTr="008C3313">
        <w:tblPrEx>
          <w:tblCellMar>
            <w:top w:w="0" w:type="dxa"/>
            <w:bottom w:w="0" w:type="dxa"/>
          </w:tblCellMar>
        </w:tblPrEx>
        <w:trPr>
          <w:trHeight w:val="330"/>
        </w:trPr>
        <w:tc>
          <w:tcPr>
            <w:tcW w:w="9645" w:type="dxa"/>
            <w:gridSpan w:val="10"/>
            <w:tcBorders>
              <w:top w:val="nil"/>
              <w:left w:val="nil"/>
              <w:bottom w:val="nil"/>
              <w:right w:val="nil"/>
            </w:tcBorders>
            <w:shd w:val="clear" w:color="auto" w:fill="FFFFFF"/>
            <w:tcMar>
              <w:left w:w="36" w:type="dxa"/>
              <w:right w:w="36" w:type="dxa"/>
            </w:tcMar>
            <w:vAlign w:val="center"/>
          </w:tcPr>
          <w:p w:rsidR="00B62539" w:rsidRDefault="00B62539" w:rsidP="008C3313">
            <w:r>
              <w:rPr>
                <w:b/>
                <w:color w:val="000000"/>
                <w:sz w:val="24"/>
              </w:rPr>
              <w:t>1.       Non-controlling Interests</w:t>
            </w:r>
          </w:p>
        </w:tc>
      </w:tr>
      <w:tr w:rsidR="00B62539" w:rsidTr="008C3313">
        <w:tblPrEx>
          <w:tblCellMar>
            <w:top w:w="0" w:type="dxa"/>
            <w:bottom w:w="0" w:type="dxa"/>
          </w:tblCellMar>
        </w:tblPrEx>
        <w:trPr>
          <w:trHeight w:hRule="exact" w:val="240"/>
        </w:trPr>
        <w:tc>
          <w:tcPr>
            <w:tcW w:w="238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25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b/>
                <w:color w:val="000000"/>
                <w:sz w:val="24"/>
              </w:rPr>
              <w:t xml:space="preserve"> </w:t>
            </w:r>
          </w:p>
        </w:tc>
      </w:tr>
      <w:tr w:rsidR="00B62539" w:rsidTr="008C3313">
        <w:tblPrEx>
          <w:tblCellMar>
            <w:top w:w="0" w:type="dxa"/>
            <w:bottom w:w="0" w:type="dxa"/>
          </w:tblCellMar>
        </w:tblPrEx>
        <w:trPr>
          <w:trHeight w:val="480"/>
        </w:trPr>
        <w:tc>
          <w:tcPr>
            <w:tcW w:w="238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24"/>
              </w:rPr>
            </w:pPr>
            <w:r>
              <w:rPr>
                <w:color w:val="000000"/>
                <w:sz w:val="18"/>
              </w:rPr>
              <w:t xml:space="preserve"> </w:t>
            </w:r>
          </w:p>
        </w:tc>
        <w:tc>
          <w:tcPr>
            <w:tcW w:w="255" w:type="dxa"/>
            <w:tcBorders>
              <w:top w:val="nil"/>
              <w:left w:val="nil"/>
              <w:bottom w:val="nil"/>
              <w:right w:val="nil"/>
            </w:tcBorders>
            <w:shd w:val="clear" w:color="auto" w:fill="FFFFFF"/>
            <w:tcMar>
              <w:left w:w="36" w:type="dxa"/>
              <w:right w:w="36" w:type="dxa"/>
            </w:tcMar>
            <w:vAlign w:val="center"/>
          </w:tcPr>
          <w:p w:rsidR="00B62539" w:rsidRDefault="00B62539" w:rsidP="008C3313">
            <w:pPr>
              <w:rPr>
                <w:color w:val="000000"/>
                <w:sz w:val="18"/>
              </w:rPr>
            </w:pPr>
            <w:r>
              <w:rPr>
                <w:color w:val="000000"/>
                <w:sz w:val="18"/>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color w:val="000000"/>
                <w:sz w:val="18"/>
              </w:rPr>
            </w:pPr>
            <w:r>
              <w:rPr>
                <w:color w:val="000000"/>
                <w:sz w:val="18"/>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center"/>
              <w:rPr>
                <w:color w:val="000000"/>
                <w:sz w:val="18"/>
              </w:rPr>
            </w:pPr>
            <w:r>
              <w:rPr>
                <w:b/>
                <w:color w:val="000000"/>
                <w:sz w:val="16"/>
              </w:rPr>
              <w:t>Profit Attributable to Non-controlling Interest</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center"/>
              <w:rPr>
                <w:b/>
                <w:color w:val="000000"/>
                <w:sz w:val="16"/>
              </w:rPr>
            </w:pPr>
            <w:r>
              <w:rPr>
                <w:b/>
                <w:color w:val="000000"/>
                <w:sz w:val="16"/>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center"/>
              <w:rPr>
                <w:b/>
                <w:color w:val="000000"/>
                <w:sz w:val="16"/>
              </w:rPr>
            </w:pPr>
            <w:r>
              <w:rPr>
                <w:b/>
                <w:color w:val="000000"/>
                <w:sz w:val="16"/>
              </w:rPr>
              <w:t>Equity Attributable to Non-controlling Interest</w:t>
            </w:r>
          </w:p>
        </w:tc>
      </w:tr>
      <w:tr w:rsidR="00B62539" w:rsidTr="008C3313">
        <w:tblPrEx>
          <w:tblCellMar>
            <w:top w:w="0" w:type="dxa"/>
            <w:bottom w:w="0" w:type="dxa"/>
          </w:tblCellMar>
        </w:tblPrEx>
        <w:trPr>
          <w:trHeight w:val="240"/>
        </w:trPr>
        <w:tc>
          <w:tcPr>
            <w:tcW w:w="238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vMerge w:val="restart"/>
            <w:tcBorders>
              <w:top w:val="single" w:sz="6" w:space="0" w:color="969696"/>
              <w:left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b/>
                <w:color w:val="000000"/>
                <w:sz w:val="16"/>
              </w:rPr>
              <w:t>Half Year</w:t>
            </w:r>
          </w:p>
          <w:p w:rsidR="00B62539" w:rsidRDefault="00B62539" w:rsidP="008C3313">
            <w:pPr>
              <w:jc w:val="right"/>
              <w:rPr>
                <w:color w:val="000000"/>
                <w:sz w:val="16"/>
              </w:rPr>
            </w:pPr>
            <w:r>
              <w:rPr>
                <w:b/>
                <w:color w:val="000000"/>
                <w:sz w:val="16"/>
              </w:rPr>
              <w:t>Ended</w:t>
            </w:r>
          </w:p>
        </w:tc>
        <w:tc>
          <w:tcPr>
            <w:tcW w:w="975" w:type="dxa"/>
            <w:vMerge w:val="restart"/>
            <w:tcBorders>
              <w:top w:val="single" w:sz="6" w:space="0" w:color="969696"/>
              <w:left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Half Year</w:t>
            </w:r>
          </w:p>
          <w:p w:rsidR="00B62539" w:rsidRDefault="00B62539" w:rsidP="008C3313">
            <w:pPr>
              <w:jc w:val="right"/>
              <w:rPr>
                <w:b/>
                <w:color w:val="000000"/>
                <w:sz w:val="16"/>
              </w:rPr>
            </w:pPr>
            <w:r>
              <w:rPr>
                <w:b/>
                <w:color w:val="000000"/>
                <w:sz w:val="16"/>
              </w:rPr>
              <w:t>Ended</w:t>
            </w:r>
          </w:p>
        </w:tc>
        <w:tc>
          <w:tcPr>
            <w:tcW w:w="975" w:type="dxa"/>
            <w:vMerge w:val="restart"/>
            <w:tcBorders>
              <w:top w:val="single" w:sz="6" w:space="0" w:color="969696"/>
              <w:left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Half Year</w:t>
            </w:r>
          </w:p>
          <w:p w:rsidR="00B62539" w:rsidRDefault="00B62539" w:rsidP="008C3313">
            <w:pPr>
              <w:jc w:val="right"/>
              <w:rPr>
                <w:b/>
                <w:color w:val="000000"/>
                <w:sz w:val="16"/>
              </w:rPr>
            </w:pPr>
            <w:r>
              <w:rPr>
                <w:b/>
                <w:color w:val="000000"/>
                <w:sz w:val="16"/>
              </w:rPr>
              <w:t>Ended</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 xml:space="preserve"> </w:t>
            </w:r>
          </w:p>
        </w:tc>
        <w:tc>
          <w:tcPr>
            <w:tcW w:w="975" w:type="dxa"/>
            <w:vMerge w:val="restart"/>
            <w:tcBorders>
              <w:top w:val="single" w:sz="6" w:space="0" w:color="969696"/>
              <w:left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Half Year</w:t>
            </w:r>
          </w:p>
          <w:p w:rsidR="00B62539" w:rsidRDefault="00B62539" w:rsidP="008C3313">
            <w:pPr>
              <w:jc w:val="right"/>
              <w:rPr>
                <w:b/>
                <w:color w:val="000000"/>
                <w:sz w:val="16"/>
              </w:rPr>
            </w:pPr>
            <w:r>
              <w:rPr>
                <w:b/>
                <w:color w:val="000000"/>
                <w:sz w:val="16"/>
              </w:rPr>
              <w:t>Ended</w:t>
            </w:r>
          </w:p>
        </w:tc>
        <w:tc>
          <w:tcPr>
            <w:tcW w:w="975" w:type="dxa"/>
            <w:vMerge w:val="restart"/>
            <w:tcBorders>
              <w:top w:val="single" w:sz="6" w:space="0" w:color="969696"/>
              <w:left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Half Year</w:t>
            </w:r>
          </w:p>
          <w:p w:rsidR="00B62539" w:rsidRDefault="00B62539" w:rsidP="008C3313">
            <w:pPr>
              <w:jc w:val="right"/>
              <w:rPr>
                <w:b/>
                <w:color w:val="000000"/>
                <w:sz w:val="16"/>
              </w:rPr>
            </w:pPr>
            <w:r>
              <w:rPr>
                <w:b/>
                <w:color w:val="000000"/>
                <w:sz w:val="16"/>
              </w:rPr>
              <w:t>Ended</w:t>
            </w:r>
          </w:p>
        </w:tc>
        <w:tc>
          <w:tcPr>
            <w:tcW w:w="975" w:type="dxa"/>
            <w:vMerge w:val="restart"/>
            <w:tcBorders>
              <w:top w:val="single" w:sz="6" w:space="0" w:color="969696"/>
              <w:left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Half Year</w:t>
            </w:r>
          </w:p>
          <w:p w:rsidR="00B62539" w:rsidRDefault="00B62539" w:rsidP="008C3313">
            <w:pPr>
              <w:jc w:val="right"/>
              <w:rPr>
                <w:b/>
                <w:color w:val="000000"/>
                <w:sz w:val="16"/>
              </w:rPr>
            </w:pPr>
            <w:r>
              <w:rPr>
                <w:b/>
                <w:color w:val="000000"/>
                <w:sz w:val="16"/>
              </w:rPr>
              <w:t>Ended</w:t>
            </w:r>
          </w:p>
        </w:tc>
      </w:tr>
      <w:tr w:rsidR="00B62539" w:rsidTr="008C3313">
        <w:tblPrEx>
          <w:tblCellMar>
            <w:top w:w="0" w:type="dxa"/>
            <w:bottom w:w="0" w:type="dxa"/>
          </w:tblCellMar>
        </w:tblPrEx>
        <w:trPr>
          <w:trHeight w:val="240"/>
        </w:trPr>
        <w:tc>
          <w:tcPr>
            <w:tcW w:w="238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vMerge/>
            <w:tcBorders>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p>
        </w:tc>
        <w:tc>
          <w:tcPr>
            <w:tcW w:w="975" w:type="dxa"/>
            <w:vMerge/>
            <w:tcBorders>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p>
        </w:tc>
        <w:tc>
          <w:tcPr>
            <w:tcW w:w="975" w:type="dxa"/>
            <w:vMerge/>
            <w:tcBorders>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 xml:space="preserve"> </w:t>
            </w:r>
          </w:p>
        </w:tc>
        <w:tc>
          <w:tcPr>
            <w:tcW w:w="975" w:type="dxa"/>
            <w:vMerge/>
            <w:tcBorders>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p>
        </w:tc>
        <w:tc>
          <w:tcPr>
            <w:tcW w:w="975" w:type="dxa"/>
            <w:vMerge/>
            <w:tcBorders>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p>
        </w:tc>
        <w:tc>
          <w:tcPr>
            <w:tcW w:w="975" w:type="dxa"/>
            <w:vMerge/>
            <w:tcBorders>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p>
        </w:tc>
      </w:tr>
      <w:tr w:rsidR="00B62539" w:rsidTr="008C3313">
        <w:tblPrEx>
          <w:tblCellMar>
            <w:top w:w="0" w:type="dxa"/>
            <w:bottom w:w="0" w:type="dxa"/>
          </w:tblCellMar>
        </w:tblPrEx>
        <w:trPr>
          <w:trHeight w:val="240"/>
        </w:trPr>
        <w:tc>
          <w:tcPr>
            <w:tcW w:w="238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b/>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30.06.12</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31.12.11</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30.06.11</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30.06.12</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31.12.11</w:t>
            </w:r>
          </w:p>
        </w:tc>
        <w:tc>
          <w:tcPr>
            <w:tcW w:w="975"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30.06.11</w:t>
            </w:r>
          </w:p>
        </w:tc>
      </w:tr>
      <w:tr w:rsidR="00B62539" w:rsidTr="008C3313">
        <w:tblPrEx>
          <w:tblCellMar>
            <w:top w:w="0" w:type="dxa"/>
            <w:bottom w:w="0" w:type="dxa"/>
          </w:tblCellMar>
        </w:tblPrEx>
        <w:trPr>
          <w:trHeight w:val="240"/>
        </w:trPr>
        <w:tc>
          <w:tcPr>
            <w:tcW w:w="238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rPr>
                <w:b/>
                <w:color w:val="000000"/>
                <w:sz w:val="16"/>
              </w:rPr>
            </w:pPr>
            <w:r>
              <w:rPr>
                <w:color w:val="000000"/>
                <w:sz w:val="16"/>
              </w:rPr>
              <w:t xml:space="preserve"> </w:t>
            </w:r>
          </w:p>
        </w:tc>
        <w:tc>
          <w:tcPr>
            <w:tcW w:w="25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£m </w:t>
            </w:r>
          </w:p>
        </w:tc>
      </w:tr>
      <w:tr w:rsidR="00B62539" w:rsidTr="008C3313">
        <w:tblPrEx>
          <w:tblCellMar>
            <w:top w:w="0" w:type="dxa"/>
            <w:bottom w:w="0" w:type="dxa"/>
          </w:tblCellMar>
        </w:tblPrEx>
        <w:trPr>
          <w:trHeight w:val="240"/>
        </w:trPr>
        <w:tc>
          <w:tcPr>
            <w:tcW w:w="238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Absa Group Limited </w:t>
            </w:r>
          </w:p>
        </w:tc>
        <w:tc>
          <w:tcPr>
            <w:tcW w:w="25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B62539" w:rsidRDefault="00B62539" w:rsidP="008C3313">
            <w:pPr>
              <w:jc w:val="right"/>
              <w:rPr>
                <w:color w:val="000000"/>
                <w:sz w:val="16"/>
              </w:rPr>
            </w:pPr>
            <w:r>
              <w:rPr>
                <w:color w:val="000000"/>
                <w:sz w:val="16"/>
              </w:rPr>
              <w:t>154 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204 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197 </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B62539" w:rsidRDefault="00B62539" w:rsidP="008C3313">
            <w:pPr>
              <w:jc w:val="right"/>
              <w:rPr>
                <w:color w:val="000000"/>
                <w:sz w:val="16"/>
              </w:rPr>
            </w:pPr>
            <w:r>
              <w:rPr>
                <w:color w:val="000000"/>
                <w:sz w:val="16"/>
              </w:rPr>
              <w:t>2,842 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2,861 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3,110 </w:t>
            </w:r>
          </w:p>
        </w:tc>
      </w:tr>
      <w:tr w:rsidR="00B62539" w:rsidTr="008C3313">
        <w:tblPrEx>
          <w:tblCellMar>
            <w:top w:w="0" w:type="dxa"/>
            <w:bottom w:w="0" w:type="dxa"/>
          </w:tblCellMar>
        </w:tblPrEx>
        <w:trPr>
          <w:trHeight w:val="240"/>
        </w:trPr>
        <w:tc>
          <w:tcPr>
            <w:tcW w:w="238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Other non-controlling interests</w:t>
            </w:r>
          </w:p>
        </w:tc>
        <w:tc>
          <w:tcPr>
            <w:tcW w:w="25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rPr>
                <w:color w:val="000000"/>
                <w:sz w:val="16"/>
              </w:rPr>
            </w:pPr>
            <w:r>
              <w:rPr>
                <w:color w:val="000000"/>
                <w:sz w:val="16"/>
              </w:rPr>
              <w:t xml:space="preserve"> </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B62539" w:rsidRDefault="00B62539" w:rsidP="008C3313">
            <w:pPr>
              <w:jc w:val="right"/>
              <w:rPr>
                <w:color w:val="000000"/>
                <w:sz w:val="16"/>
              </w:rPr>
            </w:pPr>
            <w:r>
              <w:rPr>
                <w:color w:val="000000"/>
                <w:sz w:val="16"/>
              </w:rPr>
              <w:t>22 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7 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22 </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 xml:space="preserve"> </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B62539" w:rsidRDefault="00B62539" w:rsidP="008C3313">
            <w:pPr>
              <w:jc w:val="right"/>
              <w:rPr>
                <w:color w:val="000000"/>
                <w:sz w:val="16"/>
              </w:rPr>
            </w:pPr>
            <w:r>
              <w:rPr>
                <w:color w:val="000000"/>
                <w:sz w:val="16"/>
              </w:rPr>
              <w:t>115 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231 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Default="00B62539" w:rsidP="008C3313">
            <w:pPr>
              <w:jc w:val="right"/>
              <w:rPr>
                <w:color w:val="000000"/>
                <w:sz w:val="16"/>
              </w:rPr>
            </w:pPr>
            <w:r>
              <w:rPr>
                <w:color w:val="000000"/>
                <w:sz w:val="16"/>
              </w:rPr>
              <w:t>244 </w:t>
            </w:r>
          </w:p>
        </w:tc>
      </w:tr>
      <w:tr w:rsidR="00B62539" w:rsidTr="008C3313">
        <w:tblPrEx>
          <w:tblCellMar>
            <w:top w:w="0" w:type="dxa"/>
            <w:bottom w:w="0" w:type="dxa"/>
          </w:tblCellMar>
        </w:tblPrEx>
        <w:trPr>
          <w:trHeight w:val="240"/>
        </w:trPr>
        <w:tc>
          <w:tcPr>
            <w:tcW w:w="238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rPr>
                <w:color w:val="000000"/>
                <w:sz w:val="16"/>
              </w:rPr>
            </w:pPr>
            <w:r>
              <w:rPr>
                <w:b/>
                <w:color w:val="000000"/>
                <w:sz w:val="16"/>
              </w:rPr>
              <w:t>Total</w:t>
            </w:r>
          </w:p>
        </w:tc>
        <w:tc>
          <w:tcPr>
            <w:tcW w:w="25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b/>
                <w:color w:val="000000"/>
                <w:sz w:val="16"/>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rPr>
                <w:b/>
                <w:color w:val="000000"/>
                <w:sz w:val="16"/>
              </w:rPr>
            </w:pPr>
            <w:r>
              <w:rPr>
                <w:b/>
                <w:color w:val="000000"/>
                <w:sz w:val="16"/>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B62539" w:rsidRDefault="00B62539" w:rsidP="008C3313">
            <w:pPr>
              <w:jc w:val="right"/>
              <w:rPr>
                <w:b/>
                <w:color w:val="000000"/>
                <w:sz w:val="16"/>
              </w:rPr>
            </w:pPr>
            <w:r>
              <w:rPr>
                <w:b/>
                <w:color w:val="000000"/>
                <w:sz w:val="16"/>
              </w:rPr>
              <w:t>176 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211 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219 </w:t>
            </w:r>
          </w:p>
        </w:tc>
        <w:tc>
          <w:tcPr>
            <w:tcW w:w="180" w:type="dxa"/>
            <w:tcBorders>
              <w:top w:val="nil"/>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B62539" w:rsidRDefault="00B62539" w:rsidP="008C3313">
            <w:pPr>
              <w:jc w:val="right"/>
              <w:rPr>
                <w:b/>
                <w:color w:val="000000"/>
                <w:sz w:val="16"/>
              </w:rPr>
            </w:pPr>
            <w:r>
              <w:rPr>
                <w:b/>
                <w:color w:val="000000"/>
                <w:sz w:val="16"/>
              </w:rPr>
              <w:t>2,957 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3,092 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Default="00B62539" w:rsidP="008C3313">
            <w:pPr>
              <w:jc w:val="right"/>
              <w:rPr>
                <w:b/>
                <w:color w:val="000000"/>
                <w:sz w:val="16"/>
              </w:rPr>
            </w:pPr>
            <w:r>
              <w:rPr>
                <w:b/>
                <w:color w:val="000000"/>
                <w:sz w:val="16"/>
              </w:rPr>
              <w:t>3,354 </w:t>
            </w:r>
          </w:p>
        </w:tc>
      </w:tr>
    </w:tbl>
    <w:p w:rsidR="00B62539" w:rsidRDefault="00B62539" w:rsidP="00B62539">
      <w:pPr>
        <w:sectPr w:rsidR="00B62539">
          <w:headerReference w:type="default" r:id="rId13"/>
          <w:pgSz w:w="11905" w:h="16837"/>
          <w:pgMar w:top="851" w:right="1134" w:bottom="567" w:left="1134" w:header="851" w:footer="567" w:gutter="0"/>
          <w:cols w:space="708"/>
        </w:sectPr>
      </w:pPr>
    </w:p>
    <w:p w:rsidR="00B62539" w:rsidRDefault="00B62539" w:rsidP="00B62539"/>
    <w:p w:rsidR="00B62539" w:rsidRDefault="00B62539" w:rsidP="00B62539">
      <w:pPr>
        <w:pStyle w:val="HeadingLevel1-BarcRA4"/>
        <w:rPr>
          <w:color w:val="auto"/>
          <w:lang w:val="en-GB"/>
        </w:rPr>
      </w:pPr>
    </w:p>
    <w:p w:rsidR="00B62539" w:rsidRPr="00C7444E" w:rsidRDefault="00B62539" w:rsidP="00B62539">
      <w:pPr>
        <w:pStyle w:val="HeadingLevel1-BarcRA4"/>
        <w:rPr>
          <w:color w:val="auto"/>
          <w:lang w:val="en-GB"/>
        </w:rPr>
      </w:pPr>
      <w:r w:rsidRPr="00A93A14">
        <w:rPr>
          <w:color w:val="auto"/>
          <w:lang w:val="en-GB"/>
        </w:rPr>
        <w:t>2</w:t>
      </w:r>
      <w:r w:rsidRPr="00A93A14">
        <w:rPr>
          <w:color w:val="auto"/>
        </w:rPr>
        <w:t>.</w:t>
      </w:r>
      <w:r w:rsidRPr="00A93A14">
        <w:rPr>
          <w:color w:val="auto"/>
          <w:lang w:val="en-GB"/>
        </w:rPr>
        <w:tab/>
      </w:r>
      <w:r w:rsidRPr="00BF308A">
        <w:rPr>
          <w:rFonts w:cs="ExpertSans-Bold"/>
          <w:bCs w:val="0"/>
          <w:lang w:eastAsia="en-GB"/>
        </w:rPr>
        <w:t xml:space="preserve">Dividends </w:t>
      </w:r>
    </w:p>
    <w:p w:rsidR="00B62539" w:rsidRPr="00C7444E" w:rsidRDefault="00B62539" w:rsidP="00B62539">
      <w:pPr>
        <w:rPr>
          <w:lang w:val="en-GB"/>
        </w:rPr>
      </w:pPr>
    </w:p>
    <w:tbl>
      <w:tblPr>
        <w:tblW w:w="0" w:type="auto"/>
        <w:tblLayout w:type="fixed"/>
        <w:tblLook w:val="0000" w:firstRow="0" w:lastRow="0" w:firstColumn="0" w:lastColumn="0" w:noHBand="0" w:noVBand="0"/>
      </w:tblPr>
      <w:tblGrid>
        <w:gridCol w:w="6720"/>
        <w:gridCol w:w="975"/>
        <w:gridCol w:w="975"/>
        <w:gridCol w:w="975"/>
      </w:tblGrid>
      <w:tr w:rsidR="00B62539" w:rsidRPr="00C7444E" w:rsidTr="008C3313">
        <w:tblPrEx>
          <w:tblCellMar>
            <w:top w:w="0" w:type="dxa"/>
            <w:bottom w:w="0" w:type="dxa"/>
          </w:tblCellMar>
        </w:tblPrEx>
        <w:trPr>
          <w:trHeight w:val="720"/>
        </w:trPr>
        <w:tc>
          <w:tcPr>
            <w:tcW w:w="6720"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rPr>
                <w:lang w:val="en-GB"/>
              </w:rPr>
            </w:pPr>
            <w:r w:rsidRPr="00C7444E">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b/>
                <w:color w:val="000000"/>
                <w:sz w:val="16"/>
                <w:lang w:val="en-GB"/>
              </w:rPr>
              <w:t>Half Year Ended 30.06.12</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b/>
                <w:color w:val="000000"/>
                <w:sz w:val="16"/>
                <w:lang w:val="en-GB"/>
              </w:rPr>
            </w:pPr>
            <w:r w:rsidRPr="00C7444E">
              <w:rPr>
                <w:b/>
                <w:color w:val="000000"/>
                <w:sz w:val="16"/>
                <w:lang w:val="en-GB"/>
              </w:rPr>
              <w:t>Half Year Ended 31.12.11</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b/>
                <w:color w:val="000000"/>
                <w:sz w:val="16"/>
                <w:lang w:val="en-GB"/>
              </w:rPr>
            </w:pPr>
            <w:r w:rsidRPr="00C7444E">
              <w:rPr>
                <w:b/>
                <w:color w:val="000000"/>
                <w:sz w:val="16"/>
                <w:lang w:val="en-GB"/>
              </w:rPr>
              <w:t>Half Year Ended 30.06.11</w:t>
            </w:r>
          </w:p>
        </w:tc>
      </w:tr>
      <w:tr w:rsidR="00B62539" w:rsidRPr="00C7444E" w:rsidTr="008C3313">
        <w:tblPrEx>
          <w:tblCellMar>
            <w:top w:w="0" w:type="dxa"/>
            <w:bottom w:w="0" w:type="dxa"/>
          </w:tblCellMar>
        </w:tblPrEx>
        <w:trPr>
          <w:trHeight w:val="240"/>
        </w:trPr>
        <w:tc>
          <w:tcPr>
            <w:tcW w:w="6720"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rPr>
                <w:b/>
                <w:color w:val="000000"/>
                <w:sz w:val="16"/>
                <w:lang w:val="en-GB"/>
              </w:rPr>
            </w:pP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£m </w:t>
            </w:r>
          </w:p>
        </w:tc>
      </w:tr>
      <w:tr w:rsidR="00B62539" w:rsidRPr="00C7444E" w:rsidTr="008C3313">
        <w:tblPrEx>
          <w:tblCellMar>
            <w:top w:w="0" w:type="dxa"/>
            <w:bottom w:w="0" w:type="dxa"/>
          </w:tblCellMar>
        </w:tblPrEx>
        <w:trPr>
          <w:trHeight w:val="240"/>
        </w:trPr>
        <w:tc>
          <w:tcPr>
            <w:tcW w:w="6720" w:type="dxa"/>
            <w:tcBorders>
              <w:top w:val="single" w:sz="6" w:space="0" w:color="969696"/>
              <w:left w:val="nil"/>
              <w:bottom w:val="nil"/>
              <w:right w:val="nil"/>
            </w:tcBorders>
            <w:shd w:val="clear" w:color="auto" w:fill="FFFFFF"/>
            <w:tcMar>
              <w:left w:w="36" w:type="dxa"/>
              <w:right w:w="36" w:type="dxa"/>
            </w:tcMar>
            <w:vAlign w:val="center"/>
          </w:tcPr>
          <w:p w:rsidR="00B62539" w:rsidRPr="00C7444E" w:rsidRDefault="00B62539" w:rsidP="008C3313">
            <w:pPr>
              <w:rPr>
                <w:color w:val="000000"/>
                <w:sz w:val="16"/>
                <w:lang w:val="en-GB"/>
              </w:rPr>
            </w:pPr>
            <w:r w:rsidRPr="00C7444E">
              <w:rPr>
                <w:color w:val="000000"/>
                <w:sz w:val="16"/>
                <w:lang w:val="en-GB"/>
              </w:rPr>
              <w:t>Ordinary shares</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462 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242 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401 </w:t>
            </w:r>
          </w:p>
        </w:tc>
      </w:tr>
      <w:tr w:rsidR="00B62539" w:rsidRPr="00C7444E" w:rsidTr="008C3313">
        <w:tblPrEx>
          <w:tblCellMar>
            <w:top w:w="0" w:type="dxa"/>
            <w:bottom w:w="0" w:type="dxa"/>
          </w:tblCellMar>
        </w:tblPrEx>
        <w:trPr>
          <w:trHeight w:val="240"/>
        </w:trPr>
        <w:tc>
          <w:tcPr>
            <w:tcW w:w="6720"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rPr>
                <w:color w:val="000000"/>
                <w:sz w:val="16"/>
                <w:lang w:val="en-GB"/>
              </w:rPr>
            </w:pPr>
            <w:r w:rsidRPr="00C7444E">
              <w:rPr>
                <w:color w:val="000000"/>
                <w:sz w:val="16"/>
                <w:lang w:val="en-GB"/>
              </w:rPr>
              <w:t>Preference shares</w:t>
            </w:r>
          </w:p>
        </w:tc>
        <w:tc>
          <w:tcPr>
            <w:tcW w:w="975" w:type="dxa"/>
            <w:tcBorders>
              <w:top w:val="nil"/>
              <w:left w:val="nil"/>
              <w:bottom w:val="nil"/>
              <w:right w:val="nil"/>
            </w:tcBorders>
            <w:shd w:val="clear" w:color="auto" w:fill="EAEAEA"/>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w:t>
            </w:r>
            <w:r>
              <w:rPr>
                <w:color w:val="000000"/>
                <w:sz w:val="16"/>
                <w:lang w:val="en-GB"/>
              </w:rPr>
              <w:t>221</w:t>
            </w:r>
            <w:r w:rsidRPr="00C7444E">
              <w:rPr>
                <w:color w:val="000000"/>
                <w:sz w:val="16"/>
                <w:lang w:val="en-GB"/>
              </w:rPr>
              <w:t>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251 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216 </w:t>
            </w:r>
          </w:p>
        </w:tc>
      </w:tr>
      <w:tr w:rsidR="00B62539" w:rsidRPr="00C7444E" w:rsidTr="008C3313">
        <w:tblPrEx>
          <w:tblCellMar>
            <w:top w:w="0" w:type="dxa"/>
            <w:bottom w:w="0" w:type="dxa"/>
          </w:tblCellMar>
        </w:tblPrEx>
        <w:trPr>
          <w:trHeight w:val="240"/>
        </w:trPr>
        <w:tc>
          <w:tcPr>
            <w:tcW w:w="6720"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rPr>
                <w:color w:val="000000"/>
                <w:sz w:val="16"/>
                <w:lang w:val="en-GB"/>
              </w:rPr>
            </w:pPr>
            <w:r w:rsidRPr="00C7444E">
              <w:rPr>
                <w:color w:val="000000"/>
                <w:sz w:val="16"/>
                <w:lang w:val="en-GB"/>
              </w:rPr>
              <w:t>Other equity instruments</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20 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52 </w:t>
            </w:r>
          </w:p>
        </w:tc>
      </w:tr>
      <w:tr w:rsidR="00B62539" w:rsidRPr="00C7444E" w:rsidTr="008C3313">
        <w:tblPrEx>
          <w:tblCellMar>
            <w:top w:w="0" w:type="dxa"/>
            <w:bottom w:w="0" w:type="dxa"/>
          </w:tblCellMar>
        </w:tblPrEx>
        <w:trPr>
          <w:trHeight w:val="240"/>
        </w:trPr>
        <w:tc>
          <w:tcPr>
            <w:tcW w:w="6720" w:type="dxa"/>
            <w:tcBorders>
              <w:top w:val="single" w:sz="6" w:space="0" w:color="969696"/>
              <w:left w:val="nil"/>
              <w:bottom w:val="nil"/>
              <w:right w:val="nil"/>
            </w:tcBorders>
            <w:shd w:val="clear" w:color="auto" w:fill="FFFFFF"/>
            <w:tcMar>
              <w:left w:w="36" w:type="dxa"/>
              <w:right w:w="36" w:type="dxa"/>
            </w:tcMar>
            <w:vAlign w:val="center"/>
          </w:tcPr>
          <w:p w:rsidR="00B62539" w:rsidRPr="00C7444E" w:rsidRDefault="00B62539" w:rsidP="008C3313">
            <w:pPr>
              <w:rPr>
                <w:color w:val="000000"/>
                <w:sz w:val="16"/>
                <w:lang w:val="en-GB"/>
              </w:rPr>
            </w:pPr>
            <w:r w:rsidRPr="00C7444E">
              <w:rPr>
                <w:b/>
                <w:color w:val="000000"/>
                <w:sz w:val="16"/>
                <w:lang w:val="en-GB"/>
              </w:rPr>
              <w:t>Total</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B62539" w:rsidRPr="00C7444E" w:rsidRDefault="00B62539" w:rsidP="008C3313">
            <w:pPr>
              <w:jc w:val="right"/>
              <w:rPr>
                <w:b/>
                <w:color w:val="000000"/>
                <w:sz w:val="16"/>
                <w:lang w:val="en-GB"/>
              </w:rPr>
            </w:pPr>
            <w:r w:rsidRPr="00C7444E">
              <w:rPr>
                <w:b/>
                <w:color w:val="000000"/>
                <w:sz w:val="16"/>
                <w:lang w:val="en-GB"/>
              </w:rPr>
              <w:t xml:space="preserve"> </w:t>
            </w:r>
            <w:r>
              <w:rPr>
                <w:b/>
                <w:color w:val="000000"/>
                <w:sz w:val="16"/>
                <w:lang w:val="en-GB"/>
              </w:rPr>
              <w:t>683</w:t>
            </w:r>
            <w:r w:rsidRPr="00C7444E">
              <w:rPr>
                <w:b/>
                <w:color w:val="000000"/>
                <w:sz w:val="16"/>
                <w:lang w:val="en-GB"/>
              </w:rPr>
              <w:t>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Pr="00C7444E" w:rsidRDefault="00B62539" w:rsidP="008C3313">
            <w:pPr>
              <w:jc w:val="right"/>
              <w:rPr>
                <w:b/>
                <w:color w:val="000000"/>
                <w:sz w:val="16"/>
                <w:lang w:val="en-GB"/>
              </w:rPr>
            </w:pPr>
            <w:r w:rsidRPr="00C7444E">
              <w:rPr>
                <w:b/>
                <w:color w:val="000000"/>
                <w:sz w:val="16"/>
                <w:lang w:val="en-GB"/>
              </w:rPr>
              <w:t xml:space="preserve"> 513 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B62539" w:rsidRPr="00C7444E" w:rsidRDefault="00B62539" w:rsidP="008C3313">
            <w:pPr>
              <w:jc w:val="right"/>
              <w:rPr>
                <w:b/>
                <w:color w:val="000000"/>
                <w:sz w:val="16"/>
                <w:lang w:val="en-GB"/>
              </w:rPr>
            </w:pPr>
            <w:r w:rsidRPr="00C7444E">
              <w:rPr>
                <w:b/>
                <w:color w:val="000000"/>
                <w:sz w:val="16"/>
                <w:lang w:val="en-GB"/>
              </w:rPr>
              <w:t xml:space="preserve"> 669 </w:t>
            </w:r>
          </w:p>
        </w:tc>
      </w:tr>
      <w:tr w:rsidR="00B62539" w:rsidRPr="00C7444E" w:rsidTr="008C3313">
        <w:tblPrEx>
          <w:tblCellMar>
            <w:top w:w="0" w:type="dxa"/>
            <w:bottom w:w="0" w:type="dxa"/>
          </w:tblCellMar>
        </w:tblPrEx>
        <w:trPr>
          <w:trHeight w:hRule="exact" w:val="240"/>
        </w:trPr>
        <w:tc>
          <w:tcPr>
            <w:tcW w:w="6720"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rPr>
                <w:b/>
                <w:color w:val="000000"/>
                <w:sz w:val="16"/>
                <w:lang w:val="en-GB"/>
              </w:rPr>
            </w:pPr>
            <w:r w:rsidRPr="00C7444E">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jc w:val="right"/>
              <w:rPr>
                <w:color w:val="000000"/>
                <w:sz w:val="16"/>
                <w:lang w:val="en-GB"/>
              </w:rPr>
            </w:pPr>
            <w:r w:rsidRPr="00C7444E">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rPr>
                <w:color w:val="000000"/>
                <w:sz w:val="16"/>
                <w:lang w:val="en-GB"/>
              </w:rPr>
            </w:pPr>
            <w:r w:rsidRPr="00C7444E">
              <w:rPr>
                <w:rFonts w:ascii="Barclays Sans" w:eastAsia="Barclays Sans" w:hAnsi="Barclays Sans" w:cs="Barclays Sans"/>
                <w:color w:val="000000"/>
                <w:sz w:val="16"/>
                <w:lang w:val="en-GB"/>
              </w:rPr>
              <w:t xml:space="preserve"> </w:t>
            </w:r>
          </w:p>
        </w:tc>
      </w:tr>
      <w:tr w:rsidR="00B62539" w:rsidRPr="00C7444E" w:rsidTr="008C3313">
        <w:tblPrEx>
          <w:tblCellMar>
            <w:top w:w="0" w:type="dxa"/>
            <w:bottom w:w="0" w:type="dxa"/>
          </w:tblCellMar>
        </w:tblPrEx>
        <w:trPr>
          <w:trHeight w:val="240"/>
        </w:trPr>
        <w:tc>
          <w:tcPr>
            <w:tcW w:w="6720" w:type="dxa"/>
            <w:gridSpan w:val="3"/>
            <w:tcBorders>
              <w:top w:val="nil"/>
              <w:left w:val="nil"/>
              <w:bottom w:val="nil"/>
              <w:right w:val="nil"/>
            </w:tcBorders>
            <w:shd w:val="clear" w:color="auto" w:fill="FFFFFF"/>
            <w:tcMar>
              <w:left w:w="36" w:type="dxa"/>
              <w:right w:w="36" w:type="dxa"/>
            </w:tcMar>
            <w:vAlign w:val="bottom"/>
          </w:tcPr>
          <w:p w:rsidR="00B62539" w:rsidRPr="00C7444E" w:rsidRDefault="00B62539" w:rsidP="008C3313">
            <w:pPr>
              <w:rPr>
                <w:rFonts w:ascii="Barclays Sans" w:eastAsia="Barclays Sans" w:hAnsi="Barclays Sans" w:cs="Barclays Sans"/>
                <w:color w:val="000000"/>
                <w:sz w:val="16"/>
                <w:lang w:val="en-GB"/>
              </w:rPr>
            </w:pPr>
            <w:r w:rsidRPr="00C7444E">
              <w:rPr>
                <w:color w:val="000000"/>
                <w:sz w:val="18"/>
                <w:lang w:val="en-GB"/>
              </w:rPr>
              <w:t>Ordinary dividends were paid to enable Barclays PLC to fund its dividend to shareholders.</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rPr>
                <w:color w:val="000000"/>
                <w:sz w:val="18"/>
                <w:lang w:val="en-GB"/>
              </w:rPr>
            </w:pPr>
            <w:r w:rsidRPr="00C7444E">
              <w:rPr>
                <w:rFonts w:ascii="Barclays Sans" w:eastAsia="Barclays Sans" w:hAnsi="Barclays Sans" w:cs="Barclays Sans"/>
                <w:color w:val="000000"/>
                <w:sz w:val="16"/>
                <w:lang w:val="en-GB"/>
              </w:rPr>
              <w:t xml:space="preserve"> </w:t>
            </w:r>
          </w:p>
        </w:tc>
      </w:tr>
      <w:tr w:rsidR="00B62539" w:rsidRPr="00C7444E" w:rsidTr="008C3313">
        <w:tblPrEx>
          <w:tblCellMar>
            <w:top w:w="0" w:type="dxa"/>
            <w:bottom w:w="0" w:type="dxa"/>
          </w:tblCellMar>
        </w:tblPrEx>
        <w:trPr>
          <w:trHeight w:hRule="exact" w:val="240"/>
        </w:trPr>
        <w:tc>
          <w:tcPr>
            <w:tcW w:w="6720" w:type="dxa"/>
            <w:tcBorders>
              <w:top w:val="nil"/>
              <w:left w:val="nil"/>
              <w:bottom w:val="nil"/>
              <w:right w:val="nil"/>
            </w:tcBorders>
            <w:shd w:val="clear" w:color="auto" w:fill="FFFFFF"/>
            <w:tcMar>
              <w:left w:w="36" w:type="dxa"/>
              <w:right w:w="36" w:type="dxa"/>
            </w:tcMar>
            <w:vAlign w:val="bottom"/>
          </w:tcPr>
          <w:p w:rsidR="00B62539" w:rsidRPr="00C7444E" w:rsidRDefault="00B62539" w:rsidP="008C3313">
            <w:pPr>
              <w:rPr>
                <w:rFonts w:ascii="Barclays Sans" w:eastAsia="Barclays Sans" w:hAnsi="Barclays Sans" w:cs="Barclays Sans"/>
                <w:color w:val="000000"/>
                <w:sz w:val="16"/>
                <w:lang w:val="en-GB"/>
              </w:rPr>
            </w:pPr>
            <w:r w:rsidRPr="00C7444E">
              <w:rPr>
                <w:color w:val="000000"/>
                <w:sz w:val="18"/>
                <w:lang w:val="en-GB"/>
              </w:rPr>
              <w:t xml:space="preserve"> </w:t>
            </w:r>
          </w:p>
        </w:tc>
        <w:tc>
          <w:tcPr>
            <w:tcW w:w="975" w:type="dxa"/>
            <w:tcBorders>
              <w:top w:val="nil"/>
              <w:left w:val="nil"/>
              <w:bottom w:val="nil"/>
              <w:right w:val="nil"/>
            </w:tcBorders>
            <w:shd w:val="clear" w:color="auto" w:fill="FFFFFF"/>
            <w:tcMar>
              <w:left w:w="36" w:type="dxa"/>
              <w:right w:w="36" w:type="dxa"/>
            </w:tcMar>
            <w:vAlign w:val="bottom"/>
          </w:tcPr>
          <w:p w:rsidR="00B62539" w:rsidRPr="00C7444E" w:rsidRDefault="00B62539" w:rsidP="008C3313">
            <w:pPr>
              <w:rPr>
                <w:color w:val="000000"/>
                <w:sz w:val="18"/>
                <w:lang w:val="en-GB"/>
              </w:rPr>
            </w:pPr>
            <w:r w:rsidRPr="00C7444E">
              <w:rPr>
                <w:color w:val="000000"/>
                <w:sz w:val="18"/>
                <w:lang w:val="en-GB"/>
              </w:rPr>
              <w:t xml:space="preserve"> </w:t>
            </w:r>
          </w:p>
        </w:tc>
        <w:tc>
          <w:tcPr>
            <w:tcW w:w="975" w:type="dxa"/>
            <w:tcBorders>
              <w:top w:val="nil"/>
              <w:left w:val="nil"/>
              <w:bottom w:val="nil"/>
              <w:right w:val="nil"/>
            </w:tcBorders>
            <w:shd w:val="clear" w:color="auto" w:fill="FFFFFF"/>
            <w:tcMar>
              <w:left w:w="36" w:type="dxa"/>
              <w:right w:w="36" w:type="dxa"/>
            </w:tcMar>
            <w:vAlign w:val="bottom"/>
          </w:tcPr>
          <w:p w:rsidR="00B62539" w:rsidRPr="00C7444E" w:rsidRDefault="00B62539" w:rsidP="008C3313">
            <w:pPr>
              <w:rPr>
                <w:color w:val="000000"/>
                <w:sz w:val="18"/>
                <w:lang w:val="en-GB"/>
              </w:rPr>
            </w:pPr>
            <w:r w:rsidRPr="00C7444E">
              <w:rPr>
                <w:color w:val="000000"/>
                <w:sz w:val="18"/>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B62539" w:rsidRPr="00C7444E" w:rsidRDefault="00B62539" w:rsidP="008C3313">
            <w:pPr>
              <w:rPr>
                <w:color w:val="000000"/>
                <w:sz w:val="18"/>
                <w:lang w:val="en-GB"/>
              </w:rPr>
            </w:pPr>
            <w:r w:rsidRPr="00C7444E">
              <w:rPr>
                <w:rFonts w:ascii="Barclays Sans" w:eastAsia="Barclays Sans" w:hAnsi="Barclays Sans" w:cs="Barclays Sans"/>
                <w:color w:val="000000"/>
                <w:sz w:val="16"/>
                <w:lang w:val="en-GB"/>
              </w:rPr>
              <w:t xml:space="preserve"> </w:t>
            </w:r>
          </w:p>
        </w:tc>
      </w:tr>
    </w:tbl>
    <w:p w:rsidR="00B62539" w:rsidRPr="00C7444E" w:rsidRDefault="00B62539" w:rsidP="00B62539">
      <w:pPr>
        <w:rPr>
          <w:lang w:val="en-GB"/>
        </w:rPr>
        <w:sectPr w:rsidR="00B62539" w:rsidRPr="00C7444E">
          <w:type w:val="continuous"/>
          <w:pgSz w:w="11905" w:h="16837"/>
          <w:pgMar w:top="851" w:right="1134" w:bottom="567" w:left="1134" w:header="851" w:footer="567" w:gutter="0"/>
          <w:cols w:space="708"/>
        </w:sectPr>
      </w:pPr>
    </w:p>
    <w:p w:rsidR="00B62539" w:rsidRPr="00C7444E" w:rsidRDefault="00B62539" w:rsidP="00B62539">
      <w:pPr>
        <w:rPr>
          <w:lang w:val="en-GB"/>
        </w:rPr>
      </w:pPr>
    </w:p>
    <w:p w:rsidR="00B62539" w:rsidRDefault="00B62539" w:rsidP="00B62539">
      <w:pPr>
        <w:pStyle w:val="HeadingLevel1-BarcRA5"/>
        <w:rPr>
          <w:color w:val="auto"/>
          <w:lang w:val="en-GB"/>
        </w:rPr>
      </w:pPr>
    </w:p>
    <w:p w:rsidR="00B62539" w:rsidRPr="00ED1A26" w:rsidRDefault="00B62539" w:rsidP="00B62539">
      <w:pPr>
        <w:pStyle w:val="HeadingLevel1-BarcRA5"/>
        <w:rPr>
          <w:color w:val="auto"/>
        </w:rPr>
      </w:pPr>
      <w:r w:rsidRPr="00ED1A26">
        <w:rPr>
          <w:color w:val="auto"/>
        </w:rPr>
        <w:t>3.</w:t>
      </w:r>
      <w:r w:rsidRPr="00ED1A26">
        <w:rPr>
          <w:color w:val="auto"/>
        </w:rPr>
        <w:tab/>
        <w:t>Share Capital</w:t>
      </w:r>
    </w:p>
    <w:p w:rsidR="00B62539" w:rsidRPr="00ED1A26" w:rsidRDefault="00B62539" w:rsidP="00B62539">
      <w:pPr>
        <w:pStyle w:val="HeadingLevel2-BarcRA"/>
        <w:rPr>
          <w:color w:val="auto"/>
          <w:lang w:val="en-GB"/>
        </w:rPr>
      </w:pPr>
      <w:r w:rsidRPr="00ED1A26">
        <w:rPr>
          <w:color w:val="auto"/>
          <w:lang w:val="en-GB"/>
        </w:rPr>
        <w:t>Ordinary Shares</w:t>
      </w:r>
    </w:p>
    <w:p w:rsidR="00B62539" w:rsidRPr="00ED1A26" w:rsidRDefault="00B62539" w:rsidP="00B62539">
      <w:pPr>
        <w:pStyle w:val="BodyText-BarcRA10"/>
      </w:pPr>
      <w:r w:rsidRPr="00ED1A26">
        <w:t xml:space="preserve">At </w:t>
      </w:r>
      <w:r>
        <w:t>30 June 2012</w:t>
      </w:r>
      <w:r w:rsidRPr="00ED1A26">
        <w:t xml:space="preserve"> </w:t>
      </w:r>
      <w:r>
        <w:t xml:space="preserve">and 31 December 2011 </w:t>
      </w:r>
      <w:r w:rsidRPr="00ED1A26">
        <w:t>the issued ordinary share capital of Barclays Bank PLC, comprised 2,342 million ordinary shares of £1 each</w:t>
      </w:r>
      <w:r>
        <w:t>.</w:t>
      </w:r>
    </w:p>
    <w:p w:rsidR="00B62539" w:rsidRPr="00ED1A26" w:rsidRDefault="00B62539" w:rsidP="00B62539">
      <w:pPr>
        <w:pStyle w:val="HeadingLevel2-BarcRA"/>
        <w:rPr>
          <w:color w:val="auto"/>
          <w:lang w:val="en-GB"/>
        </w:rPr>
      </w:pPr>
      <w:r w:rsidRPr="00ED1A26">
        <w:rPr>
          <w:color w:val="auto"/>
          <w:lang w:val="en-GB"/>
        </w:rPr>
        <w:t>Preference</w:t>
      </w:r>
      <w:r w:rsidRPr="00ED1A26">
        <w:rPr>
          <w:color w:val="auto"/>
        </w:rPr>
        <w:t xml:space="preserve"> Share</w:t>
      </w:r>
      <w:r w:rsidRPr="00ED1A26">
        <w:rPr>
          <w:color w:val="auto"/>
          <w:lang w:val="en-GB"/>
        </w:rPr>
        <w:t>s</w:t>
      </w:r>
    </w:p>
    <w:p w:rsidR="00B62539" w:rsidRPr="00ED1A26" w:rsidRDefault="00B62539" w:rsidP="00B62539">
      <w:pPr>
        <w:pStyle w:val="BodyText-BarcRA10"/>
      </w:pPr>
      <w:r>
        <w:t>At 30 June 2012</w:t>
      </w:r>
      <w:r w:rsidRPr="00ED1A26">
        <w:t xml:space="preserve"> </w:t>
      </w:r>
      <w:r>
        <w:t xml:space="preserve">and 31 December 2011 </w:t>
      </w:r>
      <w:r w:rsidRPr="00ED1A26">
        <w:t>the issued preference sha</w:t>
      </w:r>
      <w:r>
        <w:t>re capital of Barclays Bank PLC</w:t>
      </w:r>
      <w:r w:rsidRPr="00ED1A26">
        <w:t xml:space="preserve"> comprised 1,000 Sterling Preference Shares of £1 each; 240,000 Euro Preference Shares of €100 each; 75,000 Sterling Preference Shares of £100 each; 100,000 US Dollar Preference Shares of US$ 100 each; and 237 million US Dollar Preference Shares of US$0.2</w:t>
      </w:r>
      <w:r>
        <w:t>5 each.</w:t>
      </w:r>
    </w:p>
    <w:p w:rsidR="00B62539" w:rsidRPr="00ED1A26" w:rsidRDefault="00B62539" w:rsidP="00B62539">
      <w:pPr>
        <w:sectPr w:rsidR="00B62539" w:rsidRPr="00ED1A26">
          <w:type w:val="continuous"/>
          <w:pgSz w:w="11905" w:h="16837"/>
          <w:pgMar w:top="851" w:right="1134" w:bottom="567" w:left="1134" w:header="851" w:footer="567" w:gutter="0"/>
          <w:cols w:space="708"/>
        </w:sect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AB0472" w:rsidRDefault="00AB0472" w:rsidP="00B62539">
      <w:pPr>
        <w:pStyle w:val="HeadingLevel1-BarcRA"/>
        <w:rPr>
          <w:lang w:val="en-GB"/>
        </w:rPr>
      </w:pPr>
    </w:p>
    <w:p w:rsidR="00B62539" w:rsidRDefault="00B62539" w:rsidP="00B62539">
      <w:pPr>
        <w:pStyle w:val="HeadingLevel1-BarcRA"/>
      </w:pPr>
      <w:r>
        <w:t>Appendix: Barclays PLC Results Announcement</w:t>
      </w:r>
    </w:p>
    <w:p w:rsidR="00B62539" w:rsidRDefault="00B62539" w:rsidP="00B62539">
      <w:pPr>
        <w:pStyle w:val="MyLastParagraph"/>
      </w:pPr>
    </w:p>
    <w:p w:rsidR="00B62539" w:rsidRDefault="00B62539" w:rsidP="005F437E">
      <w:pPr>
        <w:pStyle w:val="HeadingLevel1-BarcRA"/>
      </w:pPr>
    </w:p>
    <w:p w:rsidR="005F437E" w:rsidRDefault="00B62539" w:rsidP="00B62539">
      <w:pPr>
        <w:pStyle w:val="BodyText-BarcRA2"/>
      </w:pPr>
      <w:r>
        <w:br w:type="page"/>
      </w:r>
    </w:p>
    <w:p w:rsidR="00A12DCA" w:rsidRDefault="00A12DCA" w:rsidP="00A12DCA">
      <w:pPr>
        <w:pStyle w:val="BodyText-BarcRA0"/>
      </w:pPr>
    </w:p>
    <w:p w:rsidR="008A3040" w:rsidRDefault="008A3040" w:rsidP="00A12DCA">
      <w:pPr>
        <w:pStyle w:val="BodyText-BarcRA0"/>
      </w:pPr>
    </w:p>
    <w:p w:rsidR="008A3040" w:rsidRDefault="008A3040" w:rsidP="00A12DCA">
      <w:pPr>
        <w:pStyle w:val="BodyText-BarcRA0"/>
      </w:pPr>
    </w:p>
    <w:p w:rsidR="008A3040" w:rsidRDefault="008A3040" w:rsidP="00A12DCA">
      <w:pPr>
        <w:pStyle w:val="BodyText-BarcRA0"/>
      </w:pPr>
    </w:p>
    <w:p w:rsidR="008A3040" w:rsidRDefault="008A3040" w:rsidP="00A12DCA">
      <w:pPr>
        <w:pStyle w:val="BodyText-BarcRA0"/>
      </w:pPr>
    </w:p>
    <w:p w:rsidR="008A3040" w:rsidRDefault="008A3040" w:rsidP="00A12DCA">
      <w:pPr>
        <w:pStyle w:val="BodyText-BarcRA0"/>
      </w:pPr>
    </w:p>
    <w:p w:rsidR="008A3040" w:rsidRDefault="008A3040" w:rsidP="00A12DCA">
      <w:pPr>
        <w:pStyle w:val="BodyText-BarcRA0"/>
      </w:pPr>
    </w:p>
    <w:p w:rsidR="008A3040" w:rsidRDefault="008A3040" w:rsidP="00A12DCA">
      <w:pPr>
        <w:pStyle w:val="BodyText-BarcRA0"/>
      </w:pPr>
    </w:p>
    <w:p w:rsidR="008A3040" w:rsidRPr="00100BF5" w:rsidRDefault="008A3040" w:rsidP="00A12DCA">
      <w:pPr>
        <w:pStyle w:val="BodyText-BarcRA0"/>
      </w:pPr>
    </w:p>
    <w:p w:rsidR="00A12DCA" w:rsidRPr="00100BF5" w:rsidRDefault="00A12DCA" w:rsidP="00A12DCA">
      <w:pPr>
        <w:pStyle w:val="BodyText-BarcRA0"/>
      </w:pPr>
    </w:p>
    <w:p w:rsidR="00A12DCA" w:rsidRPr="00100BF5" w:rsidRDefault="00A12DCA" w:rsidP="00A12DCA">
      <w:pPr>
        <w:pStyle w:val="BodyText-BarcRA0"/>
      </w:pPr>
    </w:p>
    <w:p w:rsidR="00A12DCA" w:rsidRPr="00100BF5" w:rsidRDefault="00A12DCA" w:rsidP="00A12DCA">
      <w:pPr>
        <w:pStyle w:val="BodyText-BarcRA0"/>
      </w:pPr>
    </w:p>
    <w:p w:rsidR="00A12DCA" w:rsidRPr="00100BF5" w:rsidRDefault="00A12DCA" w:rsidP="00A12DCA">
      <w:pPr>
        <w:pStyle w:val="BodyText-BarcRA0"/>
      </w:pPr>
    </w:p>
    <w:p w:rsidR="00A12DCA" w:rsidRPr="00100BF5" w:rsidRDefault="00A12DCA" w:rsidP="00A12DCA">
      <w:pPr>
        <w:pStyle w:val="DocumentTitle-BarcRA"/>
      </w:pPr>
      <w:r w:rsidRPr="00100BF5">
        <w:t>Barclays PLC</w:t>
      </w:r>
    </w:p>
    <w:p w:rsidR="00A12DCA" w:rsidRPr="00100BF5" w:rsidRDefault="00A12DCA" w:rsidP="00A12DCA">
      <w:pPr>
        <w:pStyle w:val="DocumentTitle-BarcRA"/>
      </w:pPr>
      <w:r w:rsidRPr="00100BF5">
        <w:t>Results Announcement</w:t>
      </w:r>
    </w:p>
    <w:p w:rsidR="00A12DCA" w:rsidRPr="00100BF5" w:rsidRDefault="00A12DCA" w:rsidP="00A12DCA">
      <w:pPr>
        <w:pStyle w:val="DocumentTitle-BarcRA"/>
      </w:pPr>
    </w:p>
    <w:p w:rsidR="00A12DCA" w:rsidRPr="00100BF5" w:rsidRDefault="00A12DCA" w:rsidP="00A12DCA">
      <w:pPr>
        <w:pStyle w:val="DocumentTitleDetails-BarcRA"/>
      </w:pPr>
      <w:r w:rsidRPr="00100BF5">
        <w:t>30 June 2012</w:t>
      </w:r>
    </w:p>
    <w:p w:rsidR="00A12DCA" w:rsidRPr="00100BF5" w:rsidRDefault="00A12DCA" w:rsidP="00A12DCA">
      <w:pPr>
        <w:pStyle w:val="DocumentTitleDetails-BarcRA"/>
      </w:pPr>
    </w:p>
    <w:p w:rsidR="00A12DCA" w:rsidRPr="00100BF5" w:rsidRDefault="00A12DCA" w:rsidP="00A12DCA">
      <w:pPr>
        <w:pStyle w:val="DocumentTitleDetails-BarcRA"/>
      </w:pPr>
    </w:p>
    <w:p w:rsidR="00A12DCA" w:rsidRPr="00100BF5" w:rsidRDefault="00A12DCA" w:rsidP="00A12DCA">
      <w:pPr>
        <w:pStyle w:val="BarclaysBodyText"/>
        <w:rPr>
          <w:b/>
          <w:sz w:val="16"/>
          <w:szCs w:val="16"/>
          <w:u w:val="single"/>
        </w:rPr>
      </w:pPr>
    </w:p>
    <w:p w:rsidR="00A12DCA" w:rsidRPr="00100BF5" w:rsidRDefault="00A12DCA" w:rsidP="00A12DCA">
      <w:pPr>
        <w:pStyle w:val="BarclaysBodyText"/>
        <w:rPr>
          <w:b/>
          <w:sz w:val="16"/>
          <w:szCs w:val="16"/>
          <w:u w:val="single"/>
        </w:rPr>
      </w:pPr>
    </w:p>
    <w:p w:rsidR="00A12DCA" w:rsidRPr="00100BF5" w:rsidRDefault="00A12DCA" w:rsidP="00A12DCA">
      <w:pPr>
        <w:pStyle w:val="BarclaysBodyText"/>
        <w:rPr>
          <w:b/>
          <w:sz w:val="16"/>
          <w:szCs w:val="16"/>
          <w:u w:val="single"/>
        </w:rPr>
      </w:pPr>
    </w:p>
    <w:p w:rsidR="00A12DCA" w:rsidRPr="00100BF5" w:rsidRDefault="00A12DCA" w:rsidP="00A12DCA">
      <w:pPr>
        <w:pStyle w:val="BarclaysBodyText"/>
        <w:rPr>
          <w:b/>
          <w:sz w:val="16"/>
          <w:szCs w:val="16"/>
          <w:u w:val="single"/>
        </w:rPr>
      </w:pPr>
    </w:p>
    <w:p w:rsidR="00A12DCA" w:rsidRPr="00100BF5" w:rsidRDefault="00A12DCA">
      <w:pPr>
        <w:rPr>
          <w:b/>
          <w:sz w:val="16"/>
          <w:szCs w:val="16"/>
          <w:u w:val="single"/>
        </w:rPr>
        <w:sectPr w:rsidR="00A12DCA" w:rsidRPr="00100BF5" w:rsidSect="00E100EB">
          <w:type w:val="continuous"/>
          <w:pgSz w:w="11905" w:h="16837"/>
          <w:pgMar w:top="851" w:right="1134" w:bottom="567" w:left="1134" w:header="851" w:footer="567" w:gutter="0"/>
          <w:cols w:space="708"/>
        </w:sectPr>
      </w:pPr>
    </w:p>
    <w:p w:rsidR="005F437E" w:rsidRDefault="005F437E" w:rsidP="005F437E">
      <w:pPr>
        <w:pStyle w:val="HeadingLevel1-BarcRA"/>
      </w:pPr>
    </w:p>
    <w:p w:rsidR="00A12DCA" w:rsidRPr="00100BF5" w:rsidRDefault="00A12DCA" w:rsidP="00A12DCA">
      <w:pPr>
        <w:pStyle w:val="HeadingLevel1-BarcRA"/>
        <w:rPr>
          <w:color w:val="auto"/>
          <w:lang w:val="en-GB"/>
        </w:rPr>
      </w:pPr>
      <w:r w:rsidRPr="00100BF5">
        <w:rPr>
          <w:color w:val="auto"/>
        </w:rPr>
        <w:t>Table of Contents</w:t>
      </w:r>
    </w:p>
    <w:p w:rsidR="00A12DCA" w:rsidRPr="00100BF5" w:rsidRDefault="00A12DCA" w:rsidP="00A12DCA">
      <w:pPr>
        <w:pStyle w:val="HeaderSpacerwithLine-BarcRA"/>
      </w:pPr>
    </w:p>
    <w:tbl>
      <w:tblPr>
        <w:tblW w:w="0" w:type="auto"/>
        <w:tblLook w:val="04A0" w:firstRow="1" w:lastRow="0" w:firstColumn="1" w:lastColumn="0" w:noHBand="0" w:noVBand="1"/>
      </w:tblPr>
      <w:tblGrid>
        <w:gridCol w:w="7661"/>
        <w:gridCol w:w="2192"/>
      </w:tblGrid>
      <w:tr w:rsidR="00A12DCA" w:rsidRPr="00100BF5" w:rsidTr="00192AB3">
        <w:tc>
          <w:tcPr>
            <w:tcW w:w="7661" w:type="dxa"/>
          </w:tcPr>
          <w:p w:rsidR="00A12DCA" w:rsidRPr="00100BF5" w:rsidRDefault="00A12DCA" w:rsidP="0036376E">
            <w:pPr>
              <w:pStyle w:val="HeadingLevel1-BarcRA"/>
              <w:rPr>
                <w:color w:val="auto"/>
              </w:rPr>
            </w:pPr>
            <w:r w:rsidRPr="00100BF5">
              <w:rPr>
                <w:color w:val="auto"/>
                <w:lang w:val="en-GB"/>
              </w:rPr>
              <w:t>Interim</w:t>
            </w:r>
            <w:r w:rsidRPr="00100BF5">
              <w:rPr>
                <w:color w:val="auto"/>
              </w:rPr>
              <w:t xml:space="preserve"> Results Announcement</w:t>
            </w:r>
          </w:p>
        </w:tc>
        <w:tc>
          <w:tcPr>
            <w:tcW w:w="2192" w:type="dxa"/>
            <w:vAlign w:val="center"/>
          </w:tcPr>
          <w:p w:rsidR="00A12DCA" w:rsidRPr="00100BF5" w:rsidRDefault="00A12DCA" w:rsidP="0036376E">
            <w:pPr>
              <w:pStyle w:val="HeadingLevel1-BarcRA"/>
              <w:jc w:val="right"/>
              <w:rPr>
                <w:color w:val="auto"/>
              </w:rPr>
            </w:pPr>
            <w:r w:rsidRPr="00100BF5">
              <w:rPr>
                <w:color w:val="auto"/>
              </w:rPr>
              <w:t>Page</w:t>
            </w:r>
          </w:p>
        </w:tc>
      </w:tr>
      <w:tr w:rsidR="00192AB3" w:rsidRPr="00100BF5" w:rsidTr="00192AB3">
        <w:tc>
          <w:tcPr>
            <w:tcW w:w="7661" w:type="dxa"/>
            <w:vAlign w:val="center"/>
          </w:tcPr>
          <w:p w:rsidR="00192AB3" w:rsidRPr="00100BF5" w:rsidRDefault="00192AB3" w:rsidP="00483803">
            <w:pPr>
              <w:pStyle w:val="Level1Bullet-BarcRA0"/>
              <w:numPr>
                <w:ilvl w:val="0"/>
                <w:numId w:val="0"/>
              </w:numPr>
              <w:tabs>
                <w:tab w:val="left" w:pos="720"/>
              </w:tabs>
              <w:spacing w:before="96" w:after="96"/>
              <w:ind w:left="284" w:hanging="284"/>
              <w:jc w:val="left"/>
              <w:rPr>
                <w:szCs w:val="18"/>
                <w:lang w:val="en-GB"/>
              </w:rPr>
            </w:pPr>
            <w:r w:rsidRPr="00100BF5">
              <w:rPr>
                <w:szCs w:val="18"/>
                <w:lang w:val="en-GB"/>
              </w:rPr>
              <w:t>Performance Highlights</w:t>
            </w:r>
          </w:p>
        </w:tc>
        <w:tc>
          <w:tcPr>
            <w:tcW w:w="2192" w:type="dxa"/>
            <w:vAlign w:val="center"/>
          </w:tcPr>
          <w:p w:rsidR="00192AB3" w:rsidRPr="00100BF5" w:rsidRDefault="00192AB3" w:rsidP="00D518EE">
            <w:pPr>
              <w:pStyle w:val="TableFormat-BarcRA"/>
              <w:spacing w:before="96" w:after="96"/>
              <w:jc w:val="right"/>
              <w:rPr>
                <w:sz w:val="18"/>
                <w:szCs w:val="18"/>
              </w:rPr>
            </w:pPr>
            <w:r>
              <w:rPr>
                <w:sz w:val="18"/>
                <w:szCs w:val="18"/>
              </w:rPr>
              <w:t>2</w:t>
            </w:r>
          </w:p>
        </w:tc>
      </w:tr>
      <w:tr w:rsidR="00192AB3" w:rsidRPr="00100BF5" w:rsidTr="00192AB3">
        <w:tc>
          <w:tcPr>
            <w:tcW w:w="7661" w:type="dxa"/>
            <w:vAlign w:val="center"/>
          </w:tcPr>
          <w:p w:rsidR="00192AB3" w:rsidRPr="00100BF5" w:rsidRDefault="00192AB3" w:rsidP="00483803">
            <w:pPr>
              <w:pStyle w:val="Level1Bullet-BarcRA0"/>
              <w:numPr>
                <w:ilvl w:val="0"/>
                <w:numId w:val="0"/>
              </w:numPr>
              <w:tabs>
                <w:tab w:val="left" w:pos="720"/>
              </w:tabs>
              <w:spacing w:before="96" w:after="96"/>
              <w:ind w:left="284" w:hanging="284"/>
              <w:jc w:val="left"/>
              <w:rPr>
                <w:szCs w:val="18"/>
                <w:lang w:val="en-GB"/>
              </w:rPr>
            </w:pPr>
            <w:r w:rsidRPr="00100BF5">
              <w:rPr>
                <w:szCs w:val="18"/>
                <w:lang w:val="en-GB"/>
              </w:rPr>
              <w:t>Chairman’s Statement</w:t>
            </w:r>
          </w:p>
        </w:tc>
        <w:tc>
          <w:tcPr>
            <w:tcW w:w="2192" w:type="dxa"/>
            <w:vAlign w:val="center"/>
          </w:tcPr>
          <w:p w:rsidR="00192AB3" w:rsidRPr="00100BF5" w:rsidRDefault="005F1542" w:rsidP="005F1542">
            <w:pPr>
              <w:pStyle w:val="TableFormat-BarcRA"/>
              <w:spacing w:before="96" w:after="96"/>
              <w:jc w:val="right"/>
              <w:rPr>
                <w:sz w:val="18"/>
                <w:szCs w:val="18"/>
              </w:rPr>
            </w:pPr>
            <w:r>
              <w:rPr>
                <w:sz w:val="18"/>
                <w:szCs w:val="18"/>
              </w:rPr>
              <w:t>4</w:t>
            </w:r>
          </w:p>
        </w:tc>
      </w:tr>
      <w:tr w:rsidR="00192AB3" w:rsidRPr="00100BF5" w:rsidTr="00192AB3">
        <w:tc>
          <w:tcPr>
            <w:tcW w:w="7661" w:type="dxa"/>
            <w:vAlign w:val="center"/>
          </w:tcPr>
          <w:p w:rsidR="00192AB3" w:rsidRPr="00100BF5" w:rsidRDefault="00192AB3" w:rsidP="00483803">
            <w:pPr>
              <w:pStyle w:val="Level1Bullet-BarcRA0"/>
              <w:numPr>
                <w:ilvl w:val="0"/>
                <w:numId w:val="0"/>
              </w:numPr>
              <w:tabs>
                <w:tab w:val="left" w:pos="720"/>
              </w:tabs>
              <w:spacing w:before="96" w:after="96"/>
              <w:ind w:left="284" w:hanging="284"/>
              <w:jc w:val="left"/>
              <w:rPr>
                <w:szCs w:val="18"/>
                <w:lang w:val="en-GB"/>
              </w:rPr>
            </w:pPr>
            <w:r w:rsidRPr="00100BF5">
              <w:rPr>
                <w:szCs w:val="18"/>
                <w:lang w:val="en-GB"/>
              </w:rPr>
              <w:t>Group Finance Director’s Review</w:t>
            </w:r>
          </w:p>
        </w:tc>
        <w:tc>
          <w:tcPr>
            <w:tcW w:w="2192" w:type="dxa"/>
            <w:vAlign w:val="center"/>
          </w:tcPr>
          <w:p w:rsidR="00192AB3" w:rsidRPr="00100BF5" w:rsidRDefault="005F1542" w:rsidP="00D518EE">
            <w:pPr>
              <w:pStyle w:val="TableFormat-BarcRA"/>
              <w:spacing w:before="96" w:after="96"/>
              <w:jc w:val="right"/>
              <w:rPr>
                <w:sz w:val="18"/>
                <w:szCs w:val="18"/>
              </w:rPr>
            </w:pPr>
            <w:r>
              <w:rPr>
                <w:sz w:val="18"/>
                <w:szCs w:val="18"/>
              </w:rPr>
              <w:t>5</w:t>
            </w:r>
          </w:p>
        </w:tc>
      </w:tr>
      <w:tr w:rsidR="00192AB3" w:rsidRPr="00100BF5" w:rsidTr="00192AB3">
        <w:tc>
          <w:tcPr>
            <w:tcW w:w="7661" w:type="dxa"/>
            <w:vAlign w:val="center"/>
          </w:tcPr>
          <w:p w:rsidR="00192AB3" w:rsidRPr="00100BF5" w:rsidRDefault="00192AB3" w:rsidP="00483803">
            <w:pPr>
              <w:pStyle w:val="Level1Bullet-BarcRA0"/>
              <w:numPr>
                <w:ilvl w:val="0"/>
                <w:numId w:val="0"/>
              </w:numPr>
              <w:tabs>
                <w:tab w:val="left" w:pos="720"/>
              </w:tabs>
              <w:spacing w:before="96" w:after="96"/>
              <w:ind w:left="284" w:hanging="284"/>
              <w:jc w:val="left"/>
              <w:rPr>
                <w:szCs w:val="18"/>
                <w:lang w:val="en-GB"/>
              </w:rPr>
            </w:pPr>
            <w:r w:rsidRPr="00100BF5">
              <w:rPr>
                <w:szCs w:val="18"/>
                <w:lang w:val="en-GB"/>
              </w:rPr>
              <w:t>Barclays Results by Quarter</w:t>
            </w:r>
          </w:p>
        </w:tc>
        <w:tc>
          <w:tcPr>
            <w:tcW w:w="2192" w:type="dxa"/>
            <w:vAlign w:val="center"/>
          </w:tcPr>
          <w:p w:rsidR="00192AB3" w:rsidRPr="00100BF5" w:rsidRDefault="00192AB3" w:rsidP="00D518EE">
            <w:pPr>
              <w:pStyle w:val="TableFormat-BarcRA"/>
              <w:spacing w:before="96" w:after="96"/>
              <w:jc w:val="right"/>
              <w:rPr>
                <w:sz w:val="18"/>
                <w:szCs w:val="18"/>
              </w:rPr>
            </w:pPr>
            <w:r>
              <w:rPr>
                <w:sz w:val="18"/>
                <w:szCs w:val="18"/>
              </w:rPr>
              <w:t>8</w:t>
            </w:r>
          </w:p>
        </w:tc>
      </w:tr>
      <w:tr w:rsidR="00192AB3" w:rsidRPr="00100BF5" w:rsidTr="00D518EE">
        <w:tc>
          <w:tcPr>
            <w:tcW w:w="7661" w:type="dxa"/>
            <w:vAlign w:val="center"/>
          </w:tcPr>
          <w:p w:rsidR="00192AB3" w:rsidRPr="00100BF5" w:rsidRDefault="00192AB3" w:rsidP="00483803">
            <w:pPr>
              <w:pStyle w:val="Level1Bullet-BarcRA0"/>
              <w:numPr>
                <w:ilvl w:val="0"/>
                <w:numId w:val="0"/>
              </w:numPr>
              <w:tabs>
                <w:tab w:val="left" w:pos="720"/>
              </w:tabs>
              <w:spacing w:before="96" w:after="96"/>
              <w:ind w:left="284" w:hanging="284"/>
              <w:jc w:val="left"/>
              <w:rPr>
                <w:szCs w:val="18"/>
              </w:rPr>
            </w:pPr>
            <w:r w:rsidRPr="00100BF5">
              <w:rPr>
                <w:szCs w:val="18"/>
              </w:rPr>
              <w:t>Condensed Consolidated Financial Statements</w:t>
            </w:r>
          </w:p>
        </w:tc>
        <w:tc>
          <w:tcPr>
            <w:tcW w:w="2192" w:type="dxa"/>
            <w:vAlign w:val="center"/>
          </w:tcPr>
          <w:p w:rsidR="00192AB3" w:rsidRPr="00100BF5" w:rsidRDefault="00192AB3" w:rsidP="00D518EE">
            <w:pPr>
              <w:pStyle w:val="TableFormat-BarcRA"/>
              <w:spacing w:before="96" w:after="96"/>
              <w:jc w:val="right"/>
              <w:rPr>
                <w:sz w:val="18"/>
                <w:szCs w:val="18"/>
              </w:rPr>
            </w:pPr>
            <w:r>
              <w:rPr>
                <w:sz w:val="18"/>
                <w:szCs w:val="18"/>
              </w:rPr>
              <w:t>9</w:t>
            </w:r>
          </w:p>
        </w:tc>
      </w:tr>
      <w:tr w:rsidR="00192AB3" w:rsidRPr="00100BF5" w:rsidTr="00192AB3">
        <w:tc>
          <w:tcPr>
            <w:tcW w:w="7661" w:type="dxa"/>
            <w:vAlign w:val="center"/>
          </w:tcPr>
          <w:p w:rsidR="00192AB3" w:rsidRPr="00100BF5" w:rsidRDefault="00192AB3" w:rsidP="00483803">
            <w:pPr>
              <w:pStyle w:val="Level1Bullet-BarcRA0"/>
              <w:numPr>
                <w:ilvl w:val="0"/>
                <w:numId w:val="0"/>
              </w:numPr>
              <w:spacing w:before="96" w:after="96"/>
              <w:jc w:val="left"/>
              <w:rPr>
                <w:b/>
                <w:szCs w:val="18"/>
                <w:lang w:val="en-GB"/>
              </w:rPr>
            </w:pPr>
            <w:r w:rsidRPr="00100BF5">
              <w:rPr>
                <w:b/>
                <w:szCs w:val="18"/>
              </w:rPr>
              <w:t>Results by Business</w:t>
            </w:r>
          </w:p>
        </w:tc>
        <w:tc>
          <w:tcPr>
            <w:tcW w:w="2192" w:type="dxa"/>
          </w:tcPr>
          <w:p w:rsidR="00192AB3" w:rsidRPr="00100BF5" w:rsidRDefault="00192AB3" w:rsidP="00A12DCA">
            <w:pPr>
              <w:pStyle w:val="Level1Bullet-BarcRA0"/>
              <w:numPr>
                <w:ilvl w:val="0"/>
                <w:numId w:val="0"/>
              </w:numPr>
              <w:spacing w:before="96" w:after="96"/>
              <w:jc w:val="right"/>
              <w:rPr>
                <w:b/>
                <w:szCs w:val="18"/>
              </w:rPr>
            </w:pPr>
          </w:p>
        </w:tc>
      </w:tr>
      <w:tr w:rsidR="00192AB3" w:rsidRPr="00100BF5" w:rsidTr="00192AB3">
        <w:tc>
          <w:tcPr>
            <w:tcW w:w="7661" w:type="dxa"/>
            <w:vAlign w:val="center"/>
          </w:tcPr>
          <w:p w:rsidR="00192AB3" w:rsidRPr="00100BF5" w:rsidRDefault="00192AB3" w:rsidP="00483803">
            <w:pPr>
              <w:pStyle w:val="Level1Bullet-BarcRA0"/>
              <w:spacing w:before="96" w:after="96"/>
              <w:jc w:val="left"/>
            </w:pPr>
            <w:r w:rsidRPr="00100BF5">
              <w:t>Retail and Business Banking</w:t>
            </w:r>
          </w:p>
        </w:tc>
        <w:tc>
          <w:tcPr>
            <w:tcW w:w="2192" w:type="dxa"/>
          </w:tcPr>
          <w:p w:rsidR="00192AB3" w:rsidRPr="00100BF5" w:rsidRDefault="00192AB3" w:rsidP="00A12DCA">
            <w:pPr>
              <w:pStyle w:val="Level1Bullet-BarcRA0"/>
              <w:numPr>
                <w:ilvl w:val="0"/>
                <w:numId w:val="0"/>
              </w:numPr>
              <w:spacing w:before="96" w:after="96"/>
              <w:jc w:val="right"/>
              <w:rPr>
                <w:b/>
                <w:szCs w:val="18"/>
              </w:rPr>
            </w:pPr>
          </w:p>
        </w:tc>
      </w:tr>
      <w:tr w:rsidR="00192AB3" w:rsidRPr="00100BF5" w:rsidTr="00192AB3">
        <w:tc>
          <w:tcPr>
            <w:tcW w:w="7661" w:type="dxa"/>
            <w:vAlign w:val="center"/>
          </w:tcPr>
          <w:p w:rsidR="00192AB3" w:rsidRPr="00100BF5" w:rsidRDefault="00192AB3" w:rsidP="00483803">
            <w:pPr>
              <w:pStyle w:val="Level2Bullet-BarcRA"/>
              <w:spacing w:before="40" w:after="40"/>
              <w:ind w:left="1049" w:hanging="737"/>
              <w:jc w:val="left"/>
            </w:pPr>
            <w:r w:rsidRPr="00100BF5">
              <w:t>UK</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14</w:t>
            </w:r>
          </w:p>
        </w:tc>
      </w:tr>
      <w:tr w:rsidR="00192AB3" w:rsidRPr="00100BF5" w:rsidTr="00192AB3">
        <w:tc>
          <w:tcPr>
            <w:tcW w:w="7661" w:type="dxa"/>
            <w:vAlign w:val="center"/>
          </w:tcPr>
          <w:p w:rsidR="00192AB3" w:rsidRPr="00100BF5" w:rsidRDefault="00192AB3" w:rsidP="00483803">
            <w:pPr>
              <w:pStyle w:val="Level2Bullet-BarcRA"/>
              <w:spacing w:before="40" w:after="40"/>
              <w:ind w:left="1049" w:hanging="737"/>
              <w:jc w:val="left"/>
            </w:pPr>
            <w:r w:rsidRPr="00100BF5">
              <w:t>Europe</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16</w:t>
            </w:r>
          </w:p>
        </w:tc>
      </w:tr>
      <w:tr w:rsidR="00192AB3" w:rsidRPr="00100BF5" w:rsidTr="00192AB3">
        <w:tc>
          <w:tcPr>
            <w:tcW w:w="7661" w:type="dxa"/>
            <w:vAlign w:val="center"/>
          </w:tcPr>
          <w:p w:rsidR="00192AB3" w:rsidRPr="00100BF5" w:rsidRDefault="00192AB3" w:rsidP="00483803">
            <w:pPr>
              <w:pStyle w:val="Level2Bullet-BarcRA"/>
              <w:spacing w:before="40" w:after="40"/>
              <w:ind w:left="1049" w:hanging="737"/>
              <w:jc w:val="left"/>
            </w:pPr>
            <w:r w:rsidRPr="00100BF5">
              <w:t>Africa</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18</w:t>
            </w:r>
          </w:p>
        </w:tc>
      </w:tr>
      <w:tr w:rsidR="00192AB3" w:rsidRPr="00100BF5" w:rsidTr="00192AB3">
        <w:tc>
          <w:tcPr>
            <w:tcW w:w="7661" w:type="dxa"/>
            <w:vAlign w:val="center"/>
          </w:tcPr>
          <w:p w:rsidR="00192AB3" w:rsidRPr="00100BF5" w:rsidRDefault="00192AB3" w:rsidP="00483803">
            <w:pPr>
              <w:pStyle w:val="Level2Bullet-BarcRA"/>
              <w:spacing w:before="40" w:after="40"/>
              <w:ind w:left="1049" w:hanging="737"/>
              <w:jc w:val="left"/>
            </w:pPr>
            <w:r w:rsidRPr="00100BF5">
              <w:t>Barclaycard</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20</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lang w:val="en-GB"/>
              </w:rPr>
              <w:t>Corporate and Investment Banking</w:t>
            </w:r>
          </w:p>
        </w:tc>
        <w:tc>
          <w:tcPr>
            <w:tcW w:w="2192" w:type="dxa"/>
            <w:vAlign w:val="center"/>
          </w:tcPr>
          <w:p w:rsidR="00192AB3" w:rsidRPr="00100BF5" w:rsidRDefault="00192AB3" w:rsidP="00A12DCA">
            <w:pPr>
              <w:pStyle w:val="TableFormat-BarcRA"/>
              <w:spacing w:before="96" w:after="96"/>
              <w:jc w:val="right"/>
              <w:rPr>
                <w:sz w:val="18"/>
                <w:szCs w:val="18"/>
              </w:rPr>
            </w:pPr>
          </w:p>
        </w:tc>
      </w:tr>
      <w:tr w:rsidR="00192AB3" w:rsidRPr="00100BF5" w:rsidTr="00192AB3">
        <w:tc>
          <w:tcPr>
            <w:tcW w:w="7661" w:type="dxa"/>
            <w:vAlign w:val="center"/>
          </w:tcPr>
          <w:p w:rsidR="00192AB3" w:rsidRPr="00100BF5" w:rsidRDefault="00192AB3" w:rsidP="00483803">
            <w:pPr>
              <w:pStyle w:val="Level2Bullet-BarcRA"/>
              <w:spacing w:before="40" w:after="40"/>
              <w:ind w:left="1049" w:hanging="737"/>
              <w:jc w:val="left"/>
              <w:rPr>
                <w:szCs w:val="18"/>
              </w:rPr>
            </w:pPr>
            <w:r w:rsidRPr="00100BF5">
              <w:rPr>
                <w:lang w:val="en-GB"/>
              </w:rPr>
              <w:t>Investment Bank</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22</w:t>
            </w:r>
          </w:p>
        </w:tc>
      </w:tr>
      <w:tr w:rsidR="00192AB3" w:rsidRPr="00100BF5" w:rsidTr="00192AB3">
        <w:tc>
          <w:tcPr>
            <w:tcW w:w="7661" w:type="dxa"/>
            <w:vAlign w:val="center"/>
          </w:tcPr>
          <w:p w:rsidR="00192AB3" w:rsidRPr="00100BF5" w:rsidRDefault="00192AB3" w:rsidP="00483803">
            <w:pPr>
              <w:pStyle w:val="Level2Bullet-BarcRA"/>
              <w:spacing w:before="40" w:after="40"/>
              <w:ind w:left="1049" w:hanging="737"/>
              <w:jc w:val="left"/>
            </w:pPr>
            <w:r w:rsidRPr="00100BF5">
              <w:t>Corporate</w:t>
            </w:r>
            <w:r w:rsidRPr="00100BF5">
              <w:rPr>
                <w:lang w:val="en-GB"/>
              </w:rPr>
              <w:t xml:space="preserve"> Banking</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24</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rPr>
              <w:t>Wealth and Investment Management</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28</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rPr>
              <w:t>Head Office and Other Operations</w:t>
            </w:r>
          </w:p>
        </w:tc>
        <w:tc>
          <w:tcPr>
            <w:tcW w:w="2192" w:type="dxa"/>
            <w:vAlign w:val="center"/>
          </w:tcPr>
          <w:p w:rsidR="00192AB3" w:rsidRPr="00100BF5" w:rsidRDefault="00192AB3" w:rsidP="00A12DCA">
            <w:pPr>
              <w:pStyle w:val="TableFormat-BarcRA"/>
              <w:spacing w:before="96" w:after="96"/>
              <w:jc w:val="right"/>
              <w:rPr>
                <w:sz w:val="18"/>
                <w:szCs w:val="18"/>
              </w:rPr>
            </w:pPr>
            <w:r>
              <w:rPr>
                <w:sz w:val="18"/>
                <w:szCs w:val="18"/>
              </w:rPr>
              <w:t>30</w:t>
            </w:r>
          </w:p>
        </w:tc>
      </w:tr>
      <w:tr w:rsidR="00192AB3" w:rsidRPr="00100BF5" w:rsidTr="00192AB3">
        <w:tc>
          <w:tcPr>
            <w:tcW w:w="7661" w:type="dxa"/>
            <w:vAlign w:val="center"/>
          </w:tcPr>
          <w:p w:rsidR="00192AB3" w:rsidRPr="00100BF5" w:rsidRDefault="00192AB3" w:rsidP="00483803">
            <w:pPr>
              <w:pStyle w:val="TableFormat-BarcRA"/>
              <w:spacing w:before="96" w:after="96"/>
              <w:rPr>
                <w:b/>
                <w:sz w:val="18"/>
                <w:szCs w:val="18"/>
              </w:rPr>
            </w:pPr>
            <w:r w:rsidRPr="00100BF5">
              <w:rPr>
                <w:b/>
                <w:sz w:val="18"/>
                <w:szCs w:val="18"/>
              </w:rPr>
              <w:t>Business Results by Quarter</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31</w:t>
            </w:r>
          </w:p>
        </w:tc>
      </w:tr>
      <w:tr w:rsidR="00192AB3" w:rsidRPr="00100BF5" w:rsidTr="00192AB3">
        <w:tc>
          <w:tcPr>
            <w:tcW w:w="7661" w:type="dxa"/>
            <w:vAlign w:val="center"/>
          </w:tcPr>
          <w:p w:rsidR="00192AB3" w:rsidRPr="00100BF5" w:rsidRDefault="00192AB3" w:rsidP="00483803">
            <w:pPr>
              <w:pStyle w:val="TableFormat-BarcRA"/>
              <w:spacing w:before="96" w:after="96"/>
              <w:rPr>
                <w:b/>
                <w:sz w:val="18"/>
                <w:szCs w:val="18"/>
              </w:rPr>
            </w:pPr>
            <w:r w:rsidRPr="00100BF5">
              <w:rPr>
                <w:b/>
                <w:sz w:val="18"/>
                <w:szCs w:val="18"/>
              </w:rPr>
              <w:t>Performance Management</w:t>
            </w:r>
          </w:p>
        </w:tc>
        <w:tc>
          <w:tcPr>
            <w:tcW w:w="2192" w:type="dxa"/>
          </w:tcPr>
          <w:p w:rsidR="00192AB3" w:rsidRPr="00100BF5" w:rsidRDefault="00192AB3" w:rsidP="00A12DCA">
            <w:pPr>
              <w:pStyle w:val="Level1Bullet-BarcRA0"/>
              <w:numPr>
                <w:ilvl w:val="0"/>
                <w:numId w:val="0"/>
              </w:numPr>
              <w:spacing w:before="96" w:after="96"/>
              <w:jc w:val="right"/>
              <w:rPr>
                <w:b/>
                <w:szCs w:val="18"/>
              </w:rPr>
            </w:pP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rPr>
              <w:t>Returns and Equity</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33</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rPr>
              <w:t>Margins and Balances</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34</w:t>
            </w:r>
          </w:p>
        </w:tc>
      </w:tr>
      <w:tr w:rsidR="00192AB3" w:rsidRPr="00100BF5" w:rsidTr="00192AB3">
        <w:tc>
          <w:tcPr>
            <w:tcW w:w="7661" w:type="dxa"/>
            <w:vAlign w:val="center"/>
          </w:tcPr>
          <w:p w:rsidR="00192AB3" w:rsidRPr="00100BF5" w:rsidRDefault="00192AB3" w:rsidP="00483803">
            <w:pPr>
              <w:pStyle w:val="TableFormat-BarcRA"/>
              <w:spacing w:before="96" w:after="96"/>
              <w:rPr>
                <w:b/>
                <w:sz w:val="18"/>
                <w:szCs w:val="18"/>
              </w:rPr>
            </w:pPr>
            <w:r w:rsidRPr="00100BF5">
              <w:rPr>
                <w:b/>
                <w:sz w:val="18"/>
                <w:szCs w:val="18"/>
              </w:rPr>
              <w:t>Risk Management</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36</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lang w:val="en-GB"/>
              </w:rPr>
              <w:t>Funding</w:t>
            </w:r>
            <w:r w:rsidRPr="00100BF5">
              <w:rPr>
                <w:szCs w:val="18"/>
              </w:rPr>
              <w:t xml:space="preserve"> Risk</w:t>
            </w:r>
            <w:r w:rsidRPr="00100BF5">
              <w:rPr>
                <w:szCs w:val="18"/>
                <w:lang w:val="en-GB"/>
              </w:rPr>
              <w:t xml:space="preserve"> </w:t>
            </w:r>
            <w:r w:rsidRPr="00100BF5">
              <w:rPr>
                <w:szCs w:val="18"/>
              </w:rPr>
              <w:t xml:space="preserve">- </w:t>
            </w:r>
            <w:r w:rsidRPr="00100BF5">
              <w:rPr>
                <w:szCs w:val="18"/>
                <w:lang w:val="en-GB"/>
              </w:rPr>
              <w:t>Capital</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37</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lang w:val="en-GB"/>
              </w:rPr>
              <w:t>Funding</w:t>
            </w:r>
            <w:r w:rsidRPr="00100BF5">
              <w:rPr>
                <w:szCs w:val="18"/>
              </w:rPr>
              <w:t xml:space="preserve"> Risk</w:t>
            </w:r>
            <w:r w:rsidRPr="00100BF5">
              <w:rPr>
                <w:szCs w:val="18"/>
                <w:lang w:val="en-GB"/>
              </w:rPr>
              <w:t xml:space="preserve"> </w:t>
            </w:r>
            <w:r w:rsidRPr="00100BF5">
              <w:rPr>
                <w:szCs w:val="18"/>
              </w:rPr>
              <w:t>- Liquidity</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40</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rPr>
              <w:t>Credit Risk</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45</w:t>
            </w:r>
          </w:p>
        </w:tc>
      </w:tr>
      <w:tr w:rsidR="00192AB3" w:rsidRPr="00100BF5" w:rsidTr="00192AB3">
        <w:tc>
          <w:tcPr>
            <w:tcW w:w="7661" w:type="dxa"/>
            <w:vAlign w:val="center"/>
          </w:tcPr>
          <w:p w:rsidR="00192AB3" w:rsidRPr="00100BF5" w:rsidRDefault="00192AB3" w:rsidP="00483803">
            <w:pPr>
              <w:pStyle w:val="Level1Bullet-BarcRA0"/>
              <w:spacing w:before="96" w:after="96"/>
              <w:jc w:val="left"/>
              <w:rPr>
                <w:szCs w:val="18"/>
              </w:rPr>
            </w:pPr>
            <w:r w:rsidRPr="00100BF5">
              <w:rPr>
                <w:szCs w:val="18"/>
              </w:rPr>
              <w:t>Market Risk</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sidRPr="00192AB3">
              <w:rPr>
                <w:szCs w:val="18"/>
                <w:lang w:val="en-GB"/>
              </w:rPr>
              <w:t>70</w:t>
            </w:r>
          </w:p>
        </w:tc>
      </w:tr>
      <w:tr w:rsidR="00192AB3" w:rsidRPr="00100BF5" w:rsidTr="00192AB3">
        <w:tc>
          <w:tcPr>
            <w:tcW w:w="7661" w:type="dxa"/>
            <w:vAlign w:val="center"/>
          </w:tcPr>
          <w:p w:rsidR="00192AB3" w:rsidRPr="00100BF5" w:rsidRDefault="00192AB3" w:rsidP="00483803">
            <w:pPr>
              <w:pStyle w:val="TableFormat-BarcRA"/>
              <w:spacing w:before="96" w:after="96"/>
              <w:rPr>
                <w:sz w:val="18"/>
                <w:szCs w:val="18"/>
              </w:rPr>
            </w:pPr>
            <w:r w:rsidRPr="00100BF5">
              <w:rPr>
                <w:sz w:val="18"/>
                <w:szCs w:val="18"/>
              </w:rPr>
              <w:t>Statement of Directors’ Responsibilities</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Pr>
                <w:szCs w:val="18"/>
                <w:lang w:val="en-GB"/>
              </w:rPr>
              <w:t>71</w:t>
            </w:r>
          </w:p>
        </w:tc>
      </w:tr>
      <w:tr w:rsidR="00192AB3" w:rsidRPr="00100BF5" w:rsidTr="00192AB3">
        <w:tc>
          <w:tcPr>
            <w:tcW w:w="7661" w:type="dxa"/>
            <w:vAlign w:val="center"/>
          </w:tcPr>
          <w:p w:rsidR="00192AB3" w:rsidRPr="00100BF5" w:rsidRDefault="00192AB3" w:rsidP="00483803">
            <w:pPr>
              <w:pStyle w:val="TableFormat-BarcRA"/>
              <w:spacing w:before="96" w:after="96"/>
              <w:rPr>
                <w:sz w:val="18"/>
                <w:szCs w:val="18"/>
              </w:rPr>
            </w:pPr>
            <w:r w:rsidRPr="00100BF5">
              <w:rPr>
                <w:sz w:val="18"/>
                <w:szCs w:val="18"/>
              </w:rPr>
              <w:lastRenderedPageBreak/>
              <w:t>Independent Auditors’ Review Report</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Pr>
                <w:szCs w:val="18"/>
                <w:lang w:val="en-GB"/>
              </w:rPr>
              <w:t>72</w:t>
            </w:r>
          </w:p>
        </w:tc>
      </w:tr>
      <w:tr w:rsidR="00192AB3" w:rsidRPr="00100BF5" w:rsidTr="00192AB3">
        <w:tc>
          <w:tcPr>
            <w:tcW w:w="7661" w:type="dxa"/>
            <w:vAlign w:val="center"/>
          </w:tcPr>
          <w:p w:rsidR="00192AB3" w:rsidRPr="00100BF5" w:rsidRDefault="00192AB3" w:rsidP="00483803">
            <w:pPr>
              <w:pStyle w:val="TableFormat-BarcRA"/>
              <w:spacing w:before="96" w:after="96"/>
              <w:rPr>
                <w:sz w:val="18"/>
                <w:szCs w:val="18"/>
              </w:rPr>
            </w:pPr>
            <w:r w:rsidRPr="00100BF5">
              <w:rPr>
                <w:sz w:val="18"/>
                <w:szCs w:val="18"/>
              </w:rPr>
              <w:t>Financial Statement Notes</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Pr>
                <w:szCs w:val="18"/>
                <w:lang w:val="en-GB"/>
              </w:rPr>
              <w:t>73</w:t>
            </w:r>
          </w:p>
        </w:tc>
      </w:tr>
      <w:tr w:rsidR="00192AB3" w:rsidRPr="00100BF5" w:rsidTr="00192AB3">
        <w:tc>
          <w:tcPr>
            <w:tcW w:w="7661" w:type="dxa"/>
            <w:vAlign w:val="center"/>
          </w:tcPr>
          <w:p w:rsidR="00192AB3" w:rsidRPr="00100BF5" w:rsidRDefault="00192AB3" w:rsidP="00483803">
            <w:pPr>
              <w:pStyle w:val="TableFormat-BarcRA"/>
              <w:spacing w:before="96" w:after="96"/>
              <w:rPr>
                <w:sz w:val="18"/>
                <w:szCs w:val="18"/>
              </w:rPr>
            </w:pPr>
            <w:r w:rsidRPr="00100BF5">
              <w:rPr>
                <w:sz w:val="18"/>
                <w:szCs w:val="18"/>
              </w:rPr>
              <w:t>Shareholder Information</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Pr>
                <w:szCs w:val="18"/>
                <w:lang w:val="en-GB"/>
              </w:rPr>
              <w:t>91</w:t>
            </w:r>
          </w:p>
        </w:tc>
      </w:tr>
      <w:tr w:rsidR="00192AB3" w:rsidRPr="00100BF5" w:rsidTr="00192AB3">
        <w:tc>
          <w:tcPr>
            <w:tcW w:w="7661" w:type="dxa"/>
            <w:vAlign w:val="center"/>
          </w:tcPr>
          <w:p w:rsidR="00192AB3" w:rsidRPr="00100BF5" w:rsidRDefault="00192AB3" w:rsidP="00483803">
            <w:pPr>
              <w:pStyle w:val="TableFormat-BarcRA"/>
              <w:spacing w:before="96" w:after="96"/>
              <w:rPr>
                <w:sz w:val="18"/>
                <w:szCs w:val="18"/>
              </w:rPr>
            </w:pPr>
            <w:r w:rsidRPr="00100BF5">
              <w:rPr>
                <w:sz w:val="18"/>
                <w:szCs w:val="18"/>
              </w:rPr>
              <w:t>Index</w:t>
            </w:r>
          </w:p>
        </w:tc>
        <w:tc>
          <w:tcPr>
            <w:tcW w:w="2192" w:type="dxa"/>
          </w:tcPr>
          <w:p w:rsidR="00192AB3" w:rsidRPr="00192AB3" w:rsidRDefault="00192AB3" w:rsidP="00A12DCA">
            <w:pPr>
              <w:pStyle w:val="Level1Bullet-BarcRA0"/>
              <w:numPr>
                <w:ilvl w:val="0"/>
                <w:numId w:val="0"/>
              </w:numPr>
              <w:spacing w:before="96" w:after="96"/>
              <w:jc w:val="right"/>
              <w:rPr>
                <w:szCs w:val="18"/>
                <w:lang w:val="en-GB"/>
              </w:rPr>
            </w:pPr>
            <w:r>
              <w:rPr>
                <w:szCs w:val="18"/>
                <w:lang w:val="en-GB"/>
              </w:rPr>
              <w:t>92</w:t>
            </w:r>
          </w:p>
        </w:tc>
      </w:tr>
    </w:tbl>
    <w:p w:rsidR="0036376E" w:rsidRPr="00100BF5" w:rsidRDefault="0036376E" w:rsidP="00A12DCA">
      <w:pPr>
        <w:pStyle w:val="Special1-BarcRA"/>
      </w:pPr>
    </w:p>
    <w:p w:rsidR="00A12DCA" w:rsidRPr="00100BF5" w:rsidRDefault="00A12DCA" w:rsidP="00A12DCA">
      <w:pPr>
        <w:pStyle w:val="Special1-BarcRA"/>
        <w:rPr>
          <w:iCs/>
        </w:rPr>
      </w:pPr>
      <w:r w:rsidRPr="00100BF5">
        <w:t>BARCLAYS PLC, 1 CHURCHILL PLACE, LONDON, E14 5HP, UNITED KINGDOM. TELEPHONE: +44 (0) 20 7116 1000. COMPANY NO. 48839</w:t>
      </w:r>
    </w:p>
    <w:p w:rsidR="00A12DCA" w:rsidRPr="00100BF5" w:rsidRDefault="00A12DCA" w:rsidP="005F437E">
      <w:pPr>
        <w:pStyle w:val="HeadingLevel1-BarcRA"/>
      </w:pPr>
      <w:r w:rsidRPr="00100BF5">
        <w:br w:type="page"/>
      </w:r>
    </w:p>
    <w:p w:rsidR="00A12DCA" w:rsidRPr="00100BF5" w:rsidRDefault="00A12DCA" w:rsidP="00A12DCA">
      <w:pPr>
        <w:pStyle w:val="HeadingLevel1-BarcRA0"/>
        <w:rPr>
          <w:color w:val="auto"/>
        </w:rPr>
      </w:pPr>
    </w:p>
    <w:p w:rsidR="00A12DCA" w:rsidRPr="00100BF5" w:rsidRDefault="00A12DCA" w:rsidP="00A12DCA">
      <w:pPr>
        <w:pStyle w:val="HeaderSpacerwithLine-BarcRA0"/>
      </w:pPr>
    </w:p>
    <w:p w:rsidR="00A12DCA" w:rsidRPr="00100BF5" w:rsidRDefault="00A12DCA" w:rsidP="0036376E">
      <w:pPr>
        <w:pStyle w:val="ForwardCommentary-BarcRA"/>
        <w:spacing w:before="0"/>
      </w:pPr>
      <w:r w:rsidRPr="00100BF5">
        <w:rPr>
          <w:szCs w:val="16"/>
        </w:rPr>
        <w:t xml:space="preserve">The term Barclays or Group refers to Barclays PLC together with its subsidiaries. </w:t>
      </w:r>
      <w:r w:rsidRPr="00100BF5">
        <w:t xml:space="preserve">Unless otherwise stated, the income statement analyses compare the six months to 30 June 2012 to the corresponding six months of 2011 and balance sheet comparisons relate to the corresponding position at 31 December 2011. </w:t>
      </w:r>
      <w:r w:rsidRPr="00100BF5">
        <w:rPr>
          <w:szCs w:val="16"/>
        </w:rPr>
        <w:t>The abbreviations ‘£m’ and ‘£bn’ represent millions and thousands of millions of pounds Sterling respectively; the abbreviations ‘$m’ and ‘$bn’ represent millions and thousands of millions of US dollars respectively.</w:t>
      </w:r>
    </w:p>
    <w:p w:rsidR="00A12DCA" w:rsidRPr="00100BF5" w:rsidRDefault="00A12DCA" w:rsidP="00A12DCA">
      <w:pPr>
        <w:pStyle w:val="BodyText-BarcRA3"/>
        <w:rPr>
          <w:sz w:val="16"/>
        </w:rPr>
      </w:pPr>
      <w:r w:rsidRPr="00100BF5">
        <w:rPr>
          <w:sz w:val="16"/>
        </w:rPr>
        <w:t>Adjusted profit before tax and adjusted performance metrics have been presented to provide a more consistent basis for comparing business performance between periods. Adjusting items are considered to be significant and one-off in nature and hence not representative of the underlying business performance. Items excluded from the adjusted measures are: the impact of own credit; gains on debt buy-backs; impairment and disposal of the investment in BlackRock, Inc.; the provision for Payment Protection Insurance (PPI) redress; the provision for interest rate hedging products redress; goodwill impairments; and gains and losses on acquisitions and disposals. The regulatory penalties relating to the industry-wide investigation into the setting of interbank offered rates ha</w:t>
      </w:r>
      <w:r w:rsidR="008A10A2" w:rsidRPr="00100BF5">
        <w:rPr>
          <w:sz w:val="16"/>
        </w:rPr>
        <w:t>ve</w:t>
      </w:r>
      <w:r w:rsidRPr="00100BF5">
        <w:rPr>
          <w:sz w:val="16"/>
        </w:rPr>
        <w:t xml:space="preserve"> not been excluded from adjusted measures.</w:t>
      </w:r>
    </w:p>
    <w:p w:rsidR="00A12DCA" w:rsidRPr="00100BF5" w:rsidRDefault="00A12DCA" w:rsidP="00A12DCA">
      <w:pPr>
        <w:pStyle w:val="BodyText-BarcRA3"/>
        <w:rPr>
          <w:sz w:val="16"/>
        </w:rPr>
      </w:pPr>
      <w:r w:rsidRPr="00100BF5">
        <w:rPr>
          <w:sz w:val="16"/>
        </w:rPr>
        <w:t xml:space="preserve">Relevant terms that are used in this document but are not defined under applicable regulatory guidance or International Financial Reporting Standards (IFRS) are explained in the Results glossary that can be accessed at </w:t>
      </w:r>
      <w:hyperlink r:id="rId14" w:anchor="institutional-investors" w:history="1">
        <w:r w:rsidR="00930EE9" w:rsidRPr="00930EE9">
          <w:rPr>
            <w:sz w:val="16"/>
          </w:rPr>
          <w:t>http://group.barclays.com/about-barclays/investor-relations#institutional-investors</w:t>
        </w:r>
      </w:hyperlink>
      <w:r w:rsidR="00930EE9" w:rsidRPr="00930EE9">
        <w:rPr>
          <w:sz w:val="16"/>
        </w:rPr>
        <w:t>.</w:t>
      </w:r>
    </w:p>
    <w:p w:rsidR="00A12DCA" w:rsidRPr="00100BF5" w:rsidRDefault="00A12DCA" w:rsidP="00A12DCA">
      <w:pPr>
        <w:pStyle w:val="BodyText-BarcRA3"/>
        <w:rPr>
          <w:sz w:val="16"/>
        </w:rPr>
      </w:pPr>
      <w:r w:rsidRPr="00100BF5">
        <w:rPr>
          <w:sz w:val="16"/>
        </w:rPr>
        <w:t>In accordance with Barclays policy to provide meaningful disclosures that help investors and other stakeholders understand the financial position, performance and changes in the financial position of the Group, and having regard to the BBA Disclosure Code, the information provided in this report goes beyond minimum requirements. Barclays continues to develop its financial reporting considering best practice and welcomes feedback from investors, regulators and other stakeholders on the disclosures that they would find most useful.</w:t>
      </w:r>
    </w:p>
    <w:p w:rsidR="00A12DCA" w:rsidRPr="00100BF5" w:rsidRDefault="00A12DCA" w:rsidP="00A12DCA">
      <w:pPr>
        <w:pStyle w:val="BodyText-BarcRA3"/>
        <w:rPr>
          <w:sz w:val="16"/>
        </w:rPr>
      </w:pPr>
      <w:r w:rsidRPr="00100BF5">
        <w:rPr>
          <w:sz w:val="16"/>
        </w:rPr>
        <w:t>The information in this announcement, which was approved by the Board of Directors on 26 July 2012, does not comprise statutory accounts within the meaning of Section 434 of the Companies Act 2006. Statutory accounts for the year ended 31 December 2011,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A12DCA" w:rsidRPr="00100BF5" w:rsidRDefault="00A12DCA" w:rsidP="00A12DCA">
      <w:pPr>
        <w:pStyle w:val="BodyText-BarcRA30"/>
        <w:rPr>
          <w:sz w:val="16"/>
        </w:rPr>
      </w:pPr>
      <w:r w:rsidRPr="00100BF5">
        <w:rPr>
          <w:sz w:val="16"/>
        </w:rPr>
        <w:t>These results will be furnished as a Form 6-K to the SEC as soon as practicable following their publication. Once filed with the SEC, copies of the Form 6-K will also be available from the Barclays Investor Relations website www.barclays.com/investorrelations and from the SEC’s website (www.sec.gov).</w:t>
      </w:r>
    </w:p>
    <w:p w:rsidR="00A12DCA" w:rsidRPr="00100BF5" w:rsidRDefault="00A12DCA" w:rsidP="00A12DCA">
      <w:pPr>
        <w:pStyle w:val="ForwardCommentary-BarcRA"/>
        <w:rPr>
          <w:b/>
        </w:rPr>
      </w:pPr>
      <w:r w:rsidRPr="00100BF5">
        <w:rPr>
          <w:b/>
        </w:rPr>
        <w:t>Forward-looking statements</w:t>
      </w:r>
    </w:p>
    <w:p w:rsidR="00A12DCA" w:rsidRPr="00100BF5" w:rsidRDefault="00A12DCA" w:rsidP="00A12DCA">
      <w:pPr>
        <w:pStyle w:val="Normal3"/>
        <w:jc w:val="both"/>
        <w:rPr>
          <w:sz w:val="16"/>
          <w:szCs w:val="20"/>
        </w:rPr>
      </w:pPr>
      <w:r w:rsidRPr="00100BF5">
        <w:rPr>
          <w:sz w:val="16"/>
          <w:szCs w:val="20"/>
        </w:rPr>
        <w:t xml:space="preserve">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economic and business conditions, the effects of continued volatility in credit markets, market related risks such as changes in interest rates and exchange rates, effects of changes in valuation of credit market exposures, changes in valuation of issued notes, the policies and actions of governmental and regulatory authorities (including requirements regarding capital and Group structures and the </w:t>
      </w:r>
      <w:r w:rsidRPr="00100BF5">
        <w:rPr>
          <w:sz w:val="16"/>
          <w:szCs w:val="20"/>
        </w:rPr>
        <w:lastRenderedPageBreak/>
        <w:t>potential for one or more countries exiting the Euro), changes in legislation, the further development of standards and interpretations under IFRS applicable to past, current and future periods, evolving practices with regard to the interpretation and application of standards under IFRS, the outcome of current and future litigation, the success of future acquisitions and other strategic transactions and the impact of competition – a number of such factors being beyond the Group’s control. As a result, the Group’s actual future results may differ materially from the plans, goals, and expectations set forth in the Group’s forward-looking statements.</w:t>
      </w:r>
    </w:p>
    <w:p w:rsidR="00A12DCA" w:rsidRPr="00100BF5" w:rsidRDefault="00A12DCA" w:rsidP="00A12DCA">
      <w:pPr>
        <w:pStyle w:val="Normal3"/>
        <w:jc w:val="both"/>
        <w:rPr>
          <w:sz w:val="16"/>
          <w:szCs w:val="20"/>
        </w:rPr>
      </w:pPr>
    </w:p>
    <w:p w:rsidR="00A12DCA" w:rsidRPr="00100BF5" w:rsidRDefault="00A12DCA" w:rsidP="00A12DCA">
      <w:pPr>
        <w:pStyle w:val="Normal3"/>
        <w:jc w:val="both"/>
        <w:rPr>
          <w:sz w:val="16"/>
          <w:szCs w:val="20"/>
        </w:rPr>
      </w:pPr>
      <w:r w:rsidRPr="00100BF5">
        <w:rPr>
          <w:sz w:val="16"/>
          <w:szCs w:val="20"/>
        </w:rPr>
        <w:t>Any forward-looking statements made herein speak only as of the date they are made. Except as required by the UK Financial Services Authority (FSA), the London Stock Exchange plc (LSE) or applicable law, Barclays expressly disclaims any obligation or undertaking to release publicly any updates or revisions to any forward-looking statements contained in this announcement to reflect any change in Barclays expectations with regard thereto or any change in events, conditions or circumstances on which any such statement is based. The reader should, however, consult any additional disclosures that Barclays has made or may make in documents it has filed or may file with the LSE and/or the SEC.</w:t>
      </w:r>
    </w:p>
    <w:p w:rsidR="00A12DCA" w:rsidRPr="00100BF5" w:rsidRDefault="00A12DCA">
      <w:pPr>
        <w:rPr>
          <w:sz w:val="16"/>
          <w:szCs w:val="20"/>
        </w:rPr>
        <w:sectPr w:rsidR="00A12DCA" w:rsidRPr="00100BF5" w:rsidSect="00E100EB">
          <w:footerReference w:type="default" r:id="rId15"/>
          <w:pgSz w:w="11905" w:h="16837"/>
          <w:pgMar w:top="851" w:right="1134" w:bottom="567" w:left="1134" w:header="851" w:footer="567" w:gutter="0"/>
          <w:cols w:space="708"/>
        </w:sectPr>
      </w:pPr>
    </w:p>
    <w:p w:rsidR="00A12DCA" w:rsidRPr="00100BF5" w:rsidRDefault="00A12DCA">
      <w:pPr>
        <w:sectPr w:rsidR="00A12DCA" w:rsidRPr="00100BF5" w:rsidSect="00E100EB">
          <w:headerReference w:type="default" r:id="rId16"/>
          <w:type w:val="continuous"/>
          <w:pgSz w:w="11905" w:h="16837"/>
          <w:pgMar w:top="851" w:right="1134" w:bottom="567" w:left="1134" w:header="851" w:footer="567" w:gutter="0"/>
          <w:pgNumType w:start="1"/>
          <w:cols w:space="708"/>
        </w:sectPr>
      </w:pPr>
    </w:p>
    <w:p w:rsidR="00886D94" w:rsidRDefault="005F437E" w:rsidP="005F437E">
      <w:pPr>
        <w:pStyle w:val="HeadingLevel1-BarcRA"/>
        <w:rPr>
          <w:lang w:val="en-GB"/>
        </w:rPr>
      </w:pPr>
      <w:r>
        <w:lastRenderedPageBreak/>
        <w:t>Performance Highlights</w:t>
      </w:r>
    </w:p>
    <w:p w:rsidR="00A12DCA" w:rsidRPr="00100BF5" w:rsidRDefault="00A12DCA" w:rsidP="005F437E">
      <w:pPr>
        <w:pStyle w:val="HeadingLevel1-BarcRA"/>
      </w:pPr>
      <w:r w:rsidRPr="00886D94">
        <w:rPr>
          <w:b w:val="0"/>
          <w:bCs w:val="0"/>
          <w:i/>
          <w:color w:val="auto"/>
          <w:sz w:val="18"/>
          <w:lang w:val="en-GB"/>
        </w:rPr>
        <w:t xml:space="preserve">“We continue to deliver a good financial performance in the context of the current macroeconomic environment. Our competitive position continues to grow and our financial strength is serving us well in this period of uncertainty and volatility.  </w:t>
      </w:r>
    </w:p>
    <w:p w:rsidR="00A12DCA" w:rsidRPr="00100BF5" w:rsidRDefault="00A12DCA" w:rsidP="00A12DCA">
      <w:pPr>
        <w:pStyle w:val="Normal6"/>
        <w:jc w:val="both"/>
        <w:rPr>
          <w:i/>
          <w:szCs w:val="20"/>
        </w:rPr>
      </w:pPr>
      <w:r w:rsidRPr="00100BF5">
        <w:rPr>
          <w:i/>
          <w:szCs w:val="20"/>
        </w:rPr>
        <w:t>These remain challenging times for Barclays, as well as the industry, and we are sorry for what has</w:t>
      </w:r>
      <w:r w:rsidR="00CE3912">
        <w:rPr>
          <w:i/>
          <w:szCs w:val="20"/>
        </w:rPr>
        <w:t xml:space="preserve"> happened </w:t>
      </w:r>
      <w:r w:rsidR="00AE56DA">
        <w:rPr>
          <w:i/>
          <w:szCs w:val="20"/>
        </w:rPr>
        <w:t xml:space="preserve">because </w:t>
      </w:r>
      <w:r w:rsidR="00CE3912">
        <w:rPr>
          <w:i/>
          <w:szCs w:val="20"/>
        </w:rPr>
        <w:t xml:space="preserve">of </w:t>
      </w:r>
      <w:r w:rsidRPr="00100BF5">
        <w:rPr>
          <w:i/>
          <w:szCs w:val="20"/>
        </w:rPr>
        <w:t>recent events. However our leadership continues to focus on the delivery of our financial performance targets and on building a platform for sustainable long term growth. Our customers and clients are at the heart of what we do. I am confident we can and will repair the reputational damage done to our business in their eyes and those of all our stakeholders.”</w:t>
      </w:r>
    </w:p>
    <w:p w:rsidR="00A12DCA" w:rsidRPr="00100BF5" w:rsidRDefault="00A12DCA" w:rsidP="00A12DCA">
      <w:pPr>
        <w:pStyle w:val="Normal6"/>
        <w:rPr>
          <w:i/>
          <w:szCs w:val="20"/>
        </w:rPr>
      </w:pPr>
    </w:p>
    <w:p w:rsidR="00A12DCA" w:rsidRPr="00100BF5" w:rsidRDefault="00A12DCA" w:rsidP="00A12DCA">
      <w:pPr>
        <w:pStyle w:val="Normal60"/>
        <w:jc w:val="both"/>
        <w:rPr>
          <w:i/>
          <w:szCs w:val="20"/>
        </w:rPr>
      </w:pPr>
    </w:p>
    <w:p w:rsidR="00A12DCA" w:rsidRPr="00100BF5" w:rsidRDefault="00DE40FD" w:rsidP="00A12DCA">
      <w:pPr>
        <w:pStyle w:val="Normal60"/>
        <w:jc w:val="both"/>
        <w:rPr>
          <w:b/>
          <w:szCs w:val="20"/>
        </w:rPr>
      </w:pPr>
      <w:r w:rsidRPr="00100BF5">
        <w:rPr>
          <w:b/>
          <w:szCs w:val="20"/>
        </w:rPr>
        <w:t>Marcus Agius,</w:t>
      </w:r>
      <w:r w:rsidR="00A12DCA" w:rsidRPr="00100BF5">
        <w:rPr>
          <w:b/>
          <w:szCs w:val="20"/>
        </w:rPr>
        <w:t xml:space="preserve"> Chairman</w:t>
      </w:r>
    </w:p>
    <w:p w:rsidR="00A12DCA" w:rsidRPr="00100BF5" w:rsidRDefault="00A12DCA" w:rsidP="00A12DCA">
      <w:pPr>
        <w:pStyle w:val="Normal60"/>
        <w:jc w:val="both"/>
        <w:rPr>
          <w:i/>
          <w:szCs w:val="20"/>
        </w:rPr>
      </w:pPr>
    </w:p>
    <w:p w:rsidR="00A12DCA" w:rsidRPr="00100BF5" w:rsidRDefault="00A12DCA" w:rsidP="00A12DCA">
      <w:pPr>
        <w:pStyle w:val="Normal60"/>
        <w:jc w:val="both"/>
        <w:rPr>
          <w:i/>
          <w:szCs w:val="20"/>
        </w:rPr>
      </w:pPr>
    </w:p>
    <w:p w:rsidR="00A12DCA" w:rsidRPr="00EB15FE" w:rsidRDefault="00A12DCA" w:rsidP="00A12DCA">
      <w:pPr>
        <w:pStyle w:val="Level1Bullet-BarcRA1"/>
        <w:numPr>
          <w:ilvl w:val="0"/>
          <w:numId w:val="0"/>
        </w:numPr>
        <w:pBdr>
          <w:top w:val="single" w:sz="4" w:space="1" w:color="969696"/>
          <w:left w:val="single" w:sz="4" w:space="1" w:color="969696"/>
          <w:bottom w:val="single" w:sz="4" w:space="13" w:color="969696"/>
          <w:right w:val="single" w:sz="4" w:space="1" w:color="969696"/>
        </w:pBdr>
        <w:tabs>
          <w:tab w:val="left" w:pos="720"/>
        </w:tabs>
        <w:spacing w:before="0" w:after="120"/>
        <w:rPr>
          <w:b/>
          <w:sz w:val="8"/>
          <w:szCs w:val="8"/>
          <w:lang w:val="en-GB"/>
        </w:rPr>
      </w:pP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 xml:space="preserve">Adjusted profit before tax up 13% to £4,227m with improvements of 15% in Retail and Business Banking (RBB) and 11% in Corporate and Investment Banking, </w:t>
      </w:r>
      <w:r w:rsidR="004A429D">
        <w:t xml:space="preserve">and 38% in Wealth and Investment Management, </w:t>
      </w:r>
      <w:r w:rsidRPr="00100BF5">
        <w:t>demonstrating the benefits of the universal banking model</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Statutory profit before tax down 71% to £759m, including an own credit charge of £2,945m</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Adjusted return on average shareholders’ equity increased to 9.9% (2011: 9.3%) with improvements in f</w:t>
      </w:r>
      <w:r w:rsidR="00CE3912">
        <w:t xml:space="preserve">ive of seven businesses and </w:t>
      </w:r>
      <w:r w:rsidRPr="00100BF5">
        <w:t>Investment Bank achieved nearly 15% despite difficult market conditions</w:t>
      </w:r>
    </w:p>
    <w:p w:rsidR="00A12DCA" w:rsidRPr="00100BF5" w:rsidRDefault="00E50439"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Adjusted</w:t>
      </w:r>
      <w:r w:rsidR="00A12DCA" w:rsidRPr="00100BF5">
        <w:t xml:space="preserve"> income was up 1% at £15,475m despite macroeconomic challenges and the continuing low interest rate environment</w:t>
      </w:r>
    </w:p>
    <w:p w:rsidR="006C17EA" w:rsidRPr="00100BF5" w:rsidRDefault="00CE3912" w:rsidP="006C17EA">
      <w:pPr>
        <w:pStyle w:val="Level1Bullet-BarcRA11"/>
        <w:pBdr>
          <w:top w:val="single" w:sz="4" w:space="1" w:color="969696"/>
          <w:left w:val="single" w:sz="4" w:space="1" w:color="969696"/>
          <w:bottom w:val="single" w:sz="4" w:space="13" w:color="969696"/>
          <w:right w:val="single" w:sz="4" w:space="1" w:color="969696"/>
        </w:pBdr>
        <w:spacing w:before="0" w:after="360"/>
      </w:pPr>
      <w:r>
        <w:t>Income at</w:t>
      </w:r>
      <w:r w:rsidR="006C17EA" w:rsidRPr="00100BF5">
        <w:t xml:space="preserve"> Investment Bank improved </w:t>
      </w:r>
      <w:r>
        <w:t xml:space="preserve">4% to £6,496m. Q2 </w:t>
      </w:r>
      <w:r w:rsidR="00D6381B">
        <w:t xml:space="preserve">12 </w:t>
      </w:r>
      <w:r>
        <w:t xml:space="preserve">income in </w:t>
      </w:r>
      <w:r w:rsidR="006C17EA" w:rsidRPr="00100BF5">
        <w:t xml:space="preserve">Investment Bank was £3,032m, up 5% </w:t>
      </w:r>
      <w:r w:rsidR="00D6381B">
        <w:t xml:space="preserve">on Q2 11 and down 12% on Q1 </w:t>
      </w:r>
      <w:r w:rsidR="006C17EA" w:rsidRPr="00100BF5">
        <w:t>12</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Credit impairment charges were flat at £1,832m, reflecting improvements across many businesses, offset princi</w:t>
      </w:r>
      <w:r w:rsidR="00CE3912">
        <w:t>pally by increased levels at</w:t>
      </w:r>
      <w:r w:rsidRPr="00100BF5">
        <w:t xml:space="preserve"> Investment Bank where there was a net release of £111m in 2011</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Operating expenses, excluding the first quarter £300m (2011: £1,000m) provision for PPI and second quarter £450m (2011: nil) provision for interest rate hedging products redress, were down 3% to £9,491m. This reduction was achieved after absorbing regulatory penalties of £290m relating to the industry-wide investigatio</w:t>
      </w:r>
      <w:r w:rsidR="00595EC4">
        <w:t>n into the setting of inter</w:t>
      </w:r>
      <w:r w:rsidRPr="00100BF5">
        <w:t>bank offered rates</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During the first six months of 2012, sovereign exposures to Spain, Italy, Portugal, Irelan</w:t>
      </w:r>
      <w:r w:rsidR="000F7979" w:rsidRPr="00100BF5">
        <w:t>d, Greece and Cyprus reduced 22</w:t>
      </w:r>
      <w:r w:rsidRPr="00100BF5">
        <w:t>%</w:t>
      </w:r>
      <w:r w:rsidR="005E15A7" w:rsidRPr="00100BF5">
        <w:t xml:space="preserve"> to </w:t>
      </w:r>
      <w:r w:rsidRPr="00100BF5">
        <w:t>£5.</w:t>
      </w:r>
      <w:r w:rsidR="000F7979" w:rsidRPr="00100BF5">
        <w:t>6</w:t>
      </w:r>
      <w:r w:rsidRPr="00100BF5">
        <w:t>bn. In order to mitigate redenomination risk, the Group continues to reduce local funding</w:t>
      </w:r>
      <w:r w:rsidR="005E15A7" w:rsidRPr="00100BF5">
        <w:t xml:space="preserve"> mismatches</w:t>
      </w:r>
      <w:r w:rsidRPr="00100BF5">
        <w:t xml:space="preserve"> in Spain and Portugal </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t>Core Tier 1 ratio remained strong at 10.9% (31 December 2011: 11.0%)</w:t>
      </w:r>
      <w:r w:rsidR="00E56E68">
        <w:t>, having absorbed the impact of the final dividend for 2011, treasury share purchases and pension contributions. R</w:t>
      </w:r>
      <w:r w:rsidR="00E56E68" w:rsidRPr="00100BF5">
        <w:t>isk weighted assets were stable at £390bn</w:t>
      </w:r>
      <w:r w:rsidRPr="00100BF5">
        <w:t xml:space="preserve"> </w:t>
      </w:r>
    </w:p>
    <w:p w:rsidR="00A12DCA" w:rsidRPr="00100BF5" w:rsidRDefault="00A12DCA" w:rsidP="00A12DCA">
      <w:pPr>
        <w:pStyle w:val="Level1Bullet-BarcRA11"/>
        <w:pBdr>
          <w:top w:val="single" w:sz="4" w:space="1" w:color="969696"/>
          <w:left w:val="single" w:sz="4" w:space="1" w:color="969696"/>
          <w:bottom w:val="single" w:sz="4" w:space="13" w:color="969696"/>
          <w:right w:val="single" w:sz="4" w:space="1" w:color="969696"/>
        </w:pBdr>
        <w:spacing w:before="0" w:after="360"/>
      </w:pPr>
      <w:r w:rsidRPr="00100BF5">
        <w:lastRenderedPageBreak/>
        <w:t xml:space="preserve">The Group continues to access both secured and unsecured term funding markets and raised £20bn of term funding in the first half of 2012 with £27bn of </w:t>
      </w:r>
      <w:r w:rsidR="00EA5632">
        <w:t xml:space="preserve">term </w:t>
      </w:r>
      <w:r w:rsidRPr="00100BF5">
        <w:t>maturities for full year 2012. Liquidity pool increased to £170bn (31 December 2011: £152bn) and the loan to deposit ratio continued to improve to 111% (2011: 118%)</w:t>
      </w:r>
    </w:p>
    <w:p w:rsidR="00A12DCA" w:rsidRPr="00100BF5" w:rsidRDefault="00A12DCA" w:rsidP="005F437E">
      <w:pPr>
        <w:pStyle w:val="HeadingLevel1-BarcRA"/>
      </w:pPr>
      <w:r w:rsidRPr="00100BF5">
        <w:br w:type="page"/>
      </w:r>
      <w:r w:rsidR="005F437E">
        <w:lastRenderedPageBreak/>
        <w:t>Performance Highlights</w:t>
      </w:r>
    </w:p>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0810BB"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i/>
              </w:rPr>
            </w:pPr>
            <w:r w:rsidRPr="00100BF5">
              <w:rPr>
                <w:b/>
                <w:sz w:val="20"/>
              </w:rPr>
              <w:t xml:space="preserve">Barclays Unaudited Results </w:t>
            </w: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center"/>
              <w:rPr>
                <w:b/>
                <w:sz w:val="20"/>
              </w:rPr>
            </w:pPr>
            <w:r w:rsidRPr="00100BF5">
              <w:rPr>
                <w:b/>
                <w:sz w:val="16"/>
              </w:rPr>
              <w:t>Adjusted</w:t>
            </w:r>
            <w:r w:rsidRPr="00100BF5">
              <w:rPr>
                <w:b/>
                <w:sz w:val="16"/>
                <w:vertAlign w:val="superscript"/>
              </w:rPr>
              <w:t>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center"/>
              <w:rPr>
                <w:b/>
                <w:sz w:val="16"/>
                <w:vertAlign w:val="superscript"/>
              </w:rPr>
            </w:pP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center"/>
              <w:rPr>
                <w:sz w:val="16"/>
              </w:rPr>
            </w:pPr>
            <w:r w:rsidRPr="00100BF5">
              <w:rPr>
                <w:b/>
                <w:sz w:val="16"/>
              </w:rPr>
              <w:t>Statutory</w:t>
            </w:r>
          </w:p>
        </w:tc>
      </w:tr>
      <w:tr w:rsidR="00A12DCA" w:rsidRPr="00100BF5" w:rsidTr="00F60632">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20"/>
              </w:rPr>
            </w:pPr>
            <w:r w:rsidRPr="00100BF5">
              <w:rPr>
                <w:b/>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30.06.11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rPr>
            </w:pPr>
            <w:r w:rsidRPr="00100BF5">
              <w:rPr>
                <w:b/>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30.06.11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Change</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Change</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Total income net of insurance claims</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15,475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15,299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12,757 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15,330 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(17)</w:t>
            </w:r>
          </w:p>
        </w:tc>
      </w:tr>
      <w:tr w:rsidR="00A12DCA" w:rsidRPr="00100BF5" w:rsidTr="00A40504">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Credit impairment charges and other provisions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(1,832)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(1,828)</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(1,832)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(1,828)</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Net operating income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b/>
                <w:sz w:val="16"/>
              </w:rPr>
              <w:t>13,643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13,471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b/>
                <w:sz w:val="16"/>
              </w:rPr>
              <w:t>10,925 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13,502 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(19)</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Operating expenses</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(9,491)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(9,782)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(10,241)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(10,829)</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(5)</w:t>
            </w:r>
          </w:p>
        </w:tc>
      </w:tr>
      <w:tr w:rsidR="00A12DCA" w:rsidRPr="00100BF5" w:rsidTr="00A40504">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523374" w:rsidP="00523374">
            <w:pPr>
              <w:rPr>
                <w:sz w:val="16"/>
              </w:rPr>
            </w:pPr>
            <w:r>
              <w:rPr>
                <w:sz w:val="16"/>
              </w:rPr>
              <w:t>Other net</w:t>
            </w:r>
            <w:r w:rsidR="00A12DCA" w:rsidRPr="00100BF5">
              <w:rPr>
                <w:sz w:val="16"/>
              </w:rPr>
              <w:t xml:space="preserve"> income/(expense)</w:t>
            </w:r>
            <w:r w:rsidR="007D2B7A" w:rsidRPr="00100BF5">
              <w:rPr>
                <w:sz w:val="16"/>
                <w:vertAlign w:val="superscript"/>
              </w:rPr>
              <w:t>2</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75</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36</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75 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(29)</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Profit before tax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b/>
                <w:sz w:val="16"/>
              </w:rPr>
              <w:t>4,227</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3,725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13</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b/>
                <w:sz w:val="16"/>
              </w:rPr>
              <w:t>759 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2,644 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(71)</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Profit after tax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3,069</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215B0">
            <w:pPr>
              <w:jc w:val="right"/>
              <w:rPr>
                <w:sz w:val="16"/>
              </w:rPr>
            </w:pPr>
            <w:r w:rsidRPr="00100BF5">
              <w:rPr>
                <w:sz w:val="16"/>
              </w:rPr>
              <w:t>2,82</w:t>
            </w:r>
            <w:r w:rsidR="006215B0">
              <w:rPr>
                <w:sz w:val="16"/>
              </w:rPr>
              <w:t>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9</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480 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1,983 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(76)</w:t>
            </w:r>
          </w:p>
        </w:tc>
      </w:tr>
      <w:tr w:rsidR="00A12DCA" w:rsidRPr="00100BF5" w:rsidTr="00A40504">
        <w:tblPrEx>
          <w:tblCellMar>
            <w:top w:w="0" w:type="dxa"/>
            <w:bottom w:w="0" w:type="dxa"/>
          </w:tblCellMar>
        </w:tblPrEx>
        <w:trPr>
          <w:trHeight w:hRule="exac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 xml:space="preserve"> </w:t>
            </w:r>
          </w:p>
        </w:tc>
      </w:tr>
      <w:tr w:rsidR="00A12DCA" w:rsidRPr="00100BF5" w:rsidTr="00A40504">
        <w:tblPrEx>
          <w:tblCellMar>
            <w:top w:w="0" w:type="dxa"/>
            <w:bottom w:w="0" w:type="dxa"/>
          </w:tblCellMar>
        </w:tblPrEx>
        <w:trPr>
          <w:trHeight w:val="285"/>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20"/>
              </w:rPr>
              <w:t>Performance Measures</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20"/>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Return on average shareholders' equity</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9.9%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9.3%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0.3%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5.9%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Return on average tangible shareholders' equity</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11.5%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11.3%</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0.3%</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7.1%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Return on average risk weighted assets</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1.6%</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1.4%</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0.2%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Cost: income ratio</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61%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64%</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80%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71%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Loan loss rate</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71bps</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74bps</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71bps</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74bps</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hRule="exac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Basic earnings per share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21.8p</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19.6p</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rPr>
            </w:pPr>
            <w:r w:rsidRPr="00100BF5">
              <w:rPr>
                <w:sz w:val="16"/>
              </w:rPr>
              <w:t>0.6p</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12.5p</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Dividend per share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66494C">
            <w:pPr>
              <w:jc w:val="right"/>
              <w:rPr>
                <w:sz w:val="16"/>
              </w:rPr>
            </w:pPr>
            <w:r w:rsidRPr="00100BF5">
              <w:rPr>
                <w:sz w:val="16"/>
              </w:rPr>
              <w:t>2.0p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2.0p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66494C">
            <w:pPr>
              <w:jc w:val="right"/>
              <w:rPr>
                <w:b/>
                <w:sz w:val="16"/>
              </w:rPr>
            </w:pPr>
            <w:r w:rsidRPr="00100BF5">
              <w:rPr>
                <w:sz w:val="16"/>
              </w:rPr>
              <w:t>2.0p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2.0p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hRule="exac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85"/>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20"/>
              </w:rPr>
              <w:t xml:space="preserve">Capital and Balance Sheet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20"/>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r w:rsidRPr="00100BF5">
              <w:rPr>
                <w:b/>
                <w:sz w:val="16"/>
                <w:vertAlign w:val="superscript"/>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30.06.12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31.12.11</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Core Tier 1 ratio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10.9%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11.0%</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Risk weighted assets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£390bn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£391bn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7C49A8" w:rsidP="00A40504">
            <w:pPr>
              <w:jc w:val="right"/>
              <w:rPr>
                <w:sz w:val="16"/>
              </w:rPr>
            </w:pPr>
            <w:r w:rsidRPr="00100BF5">
              <w:rPr>
                <w:sz w:val="16"/>
              </w:rPr>
              <w:t>-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Adjusted gross leverage</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20x</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20x</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7C49A8" w:rsidP="00A40504">
            <w:pPr>
              <w:jc w:val="right"/>
              <w:rPr>
                <w:sz w:val="16"/>
              </w:rPr>
            </w:pPr>
            <w:r w:rsidRPr="00100BF5">
              <w:rPr>
                <w:sz w:val="16"/>
              </w:rPr>
              <w:t>- </w:t>
            </w:r>
            <w:r w:rsidR="00A12DCA" w:rsidRPr="00100BF5">
              <w:rPr>
                <w:sz w:val="16"/>
              </w:rPr>
              <w:t xml:space="preserve">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Group liquidity pool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£170bn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£152bn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12 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Net asset value per share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FC3138" w:rsidP="00A40504">
            <w:pPr>
              <w:jc w:val="right"/>
              <w:rPr>
                <w:sz w:val="16"/>
              </w:rPr>
            </w:pPr>
            <w:r w:rsidRPr="00100BF5">
              <w:rPr>
                <w:sz w:val="16"/>
              </w:rPr>
              <w:t>443</w:t>
            </w:r>
            <w:r w:rsidR="00A12DCA" w:rsidRPr="00100BF5">
              <w:rPr>
                <w:sz w:val="16"/>
              </w:rPr>
              <w:t>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456p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Net tangible asset value per share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379p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391p</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Loan: deposit ratio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rPr>
            </w:pPr>
            <w:r w:rsidRPr="00100BF5">
              <w:rPr>
                <w:sz w:val="16"/>
              </w:rPr>
              <w:t>111%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118%</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p>
        </w:tc>
      </w:tr>
    </w:tbl>
    <w:p w:rsidR="00A12DCA" w:rsidRPr="00100BF5" w:rsidRDefault="00A12DCA">
      <w:pPr>
        <w:rPr>
          <w:i/>
        </w:rPr>
      </w:pPr>
    </w:p>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0810BB"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i/>
              </w:rPr>
            </w:pPr>
            <w:r w:rsidRPr="00100BF5">
              <w:rPr>
                <w:sz w:val="16"/>
              </w:rPr>
              <w:t xml:space="preserve"> </w:t>
            </w:r>
          </w:p>
        </w:tc>
        <w:tc>
          <w:tcPr>
            <w:tcW w:w="96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center"/>
              <w:rPr>
                <w:sz w:val="16"/>
              </w:rPr>
            </w:pPr>
            <w:r w:rsidRPr="00100BF5">
              <w:rPr>
                <w:b/>
                <w:sz w:val="16"/>
              </w:rPr>
              <w:t>Adjusted</w:t>
            </w:r>
            <w:r w:rsidRPr="00100BF5">
              <w:rPr>
                <w:b/>
                <w:sz w:val="16"/>
                <w:vertAlign w:val="superscript"/>
              </w:rPr>
              <w:t>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center"/>
              <w:rPr>
                <w:b/>
                <w:sz w:val="16"/>
                <w:vertAlign w:val="superscript"/>
              </w:rPr>
            </w:pPr>
          </w:p>
        </w:tc>
        <w:tc>
          <w:tcPr>
            <w:tcW w:w="96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center"/>
              <w:rPr>
                <w:sz w:val="16"/>
              </w:rPr>
            </w:pPr>
            <w:r w:rsidRPr="00100BF5">
              <w:rPr>
                <w:b/>
                <w:sz w:val="16"/>
              </w:rPr>
              <w:t>Statutory</w:t>
            </w:r>
          </w:p>
        </w:tc>
      </w:tr>
      <w:tr w:rsidR="00A12DCA" w:rsidRPr="00100BF5">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Profit/(Loss) Before Tax by Business</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20"/>
              </w:rPr>
            </w:pPr>
            <w:r w:rsidRPr="00100BF5">
              <w:rPr>
                <w:b/>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Change</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Change</w:t>
            </w:r>
          </w:p>
        </w:tc>
      </w:tr>
      <w:tr w:rsidR="00A12DCA" w:rsidRPr="00100BF5">
        <w:tblPrEx>
          <w:tblCellMar>
            <w:top w:w="0" w:type="dxa"/>
            <w:bottom w:w="0" w:type="dxa"/>
          </w:tblCellMar>
        </w:tblPrEx>
        <w:trPr>
          <w:trHeight w:val="255"/>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UK</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746 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704 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446 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47 </w:t>
            </w:r>
          </w:p>
        </w:tc>
      </w:tr>
      <w:tr w:rsidR="00A12DCA" w:rsidRPr="00100BF5">
        <w:tblPrEx>
          <w:tblCellMar>
            <w:top w:w="0" w:type="dxa"/>
            <w:bottom w:w="0" w:type="dxa"/>
          </w:tblCellMar>
        </w:tblPrEx>
        <w:trPr>
          <w:trHeight w:val="255"/>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Europe</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(92)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(92)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w:t>
            </w:r>
          </w:p>
        </w:tc>
      </w:tr>
      <w:tr w:rsidR="00A12DCA" w:rsidRPr="00100BF5">
        <w:tblPrEx>
          <w:tblCellMar>
            <w:top w:w="0" w:type="dxa"/>
            <w:bottom w:w="0" w:type="dxa"/>
          </w:tblCellMar>
        </w:tblPrEx>
        <w:trPr>
          <w:trHeight w:val="255"/>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Africa</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274 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w:t>
            </w:r>
          </w:p>
        </w:tc>
      </w:tr>
      <w:tr w:rsidR="00A12DCA" w:rsidRPr="00100BF5">
        <w:tblPrEx>
          <w:tblCellMar>
            <w:top w:w="0" w:type="dxa"/>
            <w:bottom w:w="0" w:type="dxa"/>
          </w:tblCellMar>
        </w:tblPrEx>
        <w:trPr>
          <w:trHeight w:val="255"/>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Barclaycard</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753 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571 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753 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(76)</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Retail and Business Banking</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1,681 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1,456 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15 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1,381 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409 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238 </w:t>
            </w:r>
          </w:p>
        </w:tc>
      </w:tr>
      <w:tr w:rsidR="00A12DCA" w:rsidRPr="00100BF5">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Investment Bank</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2,268 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2,310 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2,268 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2,310 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w:t>
            </w:r>
          </w:p>
        </w:tc>
      </w:tr>
      <w:tr w:rsidR="00A12DCA" w:rsidRPr="00100BF5">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 Banking</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346 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54 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(104)</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Corporate and Investment Banking</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2,614 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2,364 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2,164 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2,300 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w:t>
            </w:r>
          </w:p>
        </w:tc>
      </w:tr>
      <w:tr w:rsidR="00A12DCA" w:rsidRPr="00100BF5">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Wealth and Investment Management</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38 </w:t>
            </w:r>
          </w:p>
        </w:tc>
      </w:tr>
      <w:tr w:rsidR="00A12DCA" w:rsidRPr="00100BF5">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Head Office and Other Operations</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(189)</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(183)</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(2,907)</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(153)</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profit before tax</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4,227 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3,725 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13 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759 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2,644 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(71)</w:t>
            </w:r>
          </w:p>
        </w:tc>
      </w:tr>
      <w:tr w:rsidR="00A12DCA" w:rsidRPr="00100BF5">
        <w:tblPrEx>
          <w:tblCellMar>
            <w:top w:w="0" w:type="dxa"/>
            <w:bottom w:w="0" w:type="dxa"/>
          </w:tblCellMar>
        </w:tblPrEx>
        <w:trPr>
          <w:trHeight w:hRule="exact" w:val="18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bl>
    <w:p w:rsidR="00A12DCA" w:rsidRPr="00100BF5" w:rsidRDefault="00A12DCA">
      <w:pPr>
        <w:rPr>
          <w:i/>
        </w:rPr>
      </w:pPr>
    </w:p>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A12DCA" w:rsidRPr="00100BF5" w:rsidTr="00A40504">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rPr>
                <w:i/>
              </w:rPr>
            </w:pPr>
            <w:r w:rsidRPr="00100BF5">
              <w:rPr>
                <w:b/>
                <w:sz w:val="16"/>
              </w:rPr>
              <w:t>Income by Geographic Region</w:t>
            </w:r>
            <w:r w:rsidR="007D2B7A" w:rsidRPr="00100BF5">
              <w:rPr>
                <w:sz w:val="16"/>
                <w:vertAlign w:val="superscript"/>
              </w:rPr>
              <w:t>3</w:t>
            </w:r>
            <w:r w:rsidRPr="00100BF5">
              <w:rPr>
                <w:sz w:val="16"/>
                <w:vertAlign w:val="superscript"/>
              </w:rPr>
              <w:t>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vertAlign w:val="superscript"/>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r>
      <w:tr w:rsidR="00A12DCA" w:rsidRPr="00100BF5" w:rsidTr="00A40504">
        <w:tblPrEx>
          <w:tblCellMar>
            <w:top w:w="0" w:type="dxa"/>
            <w:bottom w:w="0" w:type="dxa"/>
          </w:tblCellMar>
        </w:tblPrEx>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rPr>
                <w:b/>
                <w:sz w:val="16"/>
              </w:rPr>
            </w:pPr>
            <w:r w:rsidRPr="00100BF5">
              <w:rPr>
                <w:sz w:val="16"/>
              </w:rPr>
              <w:t>UK</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vertAlign w:val="superscript"/>
              </w:rPr>
            </w:pPr>
            <w:r w:rsidRPr="00100BF5">
              <w:rPr>
                <w:sz w:val="16"/>
              </w:rPr>
              <w:t>6,571 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6,266 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3,626 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6,279 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(42)</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rPr>
                <w:sz w:val="16"/>
              </w:rPr>
            </w:pPr>
            <w:r w:rsidRPr="00100BF5">
              <w:rPr>
                <w:sz w:val="16"/>
              </w:rPr>
              <w:t>Europe</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2,190 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2,189 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08033F" w:rsidP="0008033F">
            <w:pPr>
              <w:jc w:val="right"/>
              <w:rPr>
                <w:sz w:val="16"/>
              </w:rPr>
            </w:pPr>
            <w:r w:rsidRPr="00100BF5">
              <w:rPr>
                <w:sz w:val="16"/>
              </w:rPr>
              <w:t xml:space="preserve">-  </w:t>
            </w:r>
            <w:r w:rsidR="00A12DCA"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2,190 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2,226 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rPr>
                <w:sz w:val="16"/>
              </w:rPr>
            </w:pPr>
            <w:r w:rsidRPr="00100BF5">
              <w:rPr>
                <w:sz w:val="16"/>
              </w:rPr>
              <w:t>Americas</w:t>
            </w:r>
            <w:r w:rsidRPr="00100BF5">
              <w:rPr>
                <w:b/>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vertAlign w:val="superscript"/>
              </w:rPr>
            </w:pPr>
            <w:r w:rsidRPr="00100BF5">
              <w:rPr>
                <w:sz w:val="16"/>
              </w:rPr>
              <w:t>3,797 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3,720 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4,024 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3,687 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9 </w:t>
            </w:r>
          </w:p>
        </w:tc>
      </w:tr>
      <w:tr w:rsidR="00A12DCA" w:rsidRPr="00100BF5" w:rsidTr="00A40504">
        <w:tblPrEx>
          <w:tblCellMar>
            <w:top w:w="0" w:type="dxa"/>
            <w:bottom w:w="0" w:type="dxa"/>
          </w:tblCellMar>
        </w:tblPrEx>
        <w:trPr>
          <w:trHeight w:val="240"/>
        </w:trPr>
        <w:tc>
          <w:tcPr>
            <w:tcW w:w="372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rPr>
                <w:sz w:val="16"/>
              </w:rPr>
            </w:pPr>
            <w:r w:rsidRPr="00100BF5">
              <w:rPr>
                <w:sz w:val="16"/>
              </w:rPr>
              <w:t>Africa and Middle East</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2,303 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2,501 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(8)</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2,303 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2,501 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(8)</w:t>
            </w:r>
          </w:p>
        </w:tc>
      </w:tr>
      <w:tr w:rsidR="00A12DCA" w:rsidRPr="00100BF5" w:rsidTr="00A40504">
        <w:tblPrEx>
          <w:tblCellMar>
            <w:top w:w="0" w:type="dxa"/>
            <w:bottom w:w="0" w:type="dxa"/>
          </w:tblCellMar>
        </w:tblPrEx>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rPr>
                <w:sz w:val="16"/>
              </w:rPr>
            </w:pPr>
            <w:r w:rsidRPr="00100BF5">
              <w:rPr>
                <w:sz w:val="16"/>
              </w:rPr>
              <w:t>Asia</w:t>
            </w:r>
            <w:r w:rsidRPr="00100BF5">
              <w:rPr>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614 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623 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 xml:space="preserve"> </w:t>
            </w:r>
            <w:r w:rsidRPr="00100BF5">
              <w:rPr>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40504">
            <w:pPr>
              <w:jc w:val="right"/>
              <w:rPr>
                <w:sz w:val="16"/>
                <w:vertAlign w:val="superscript"/>
              </w:rPr>
            </w:pPr>
            <w:r w:rsidRPr="00100BF5">
              <w:rPr>
                <w:sz w:val="16"/>
              </w:rPr>
              <w:t>614 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637 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40504">
            <w:pPr>
              <w:jc w:val="right"/>
              <w:rPr>
                <w:sz w:val="16"/>
              </w:rPr>
            </w:pPr>
            <w:r w:rsidRPr="00100BF5">
              <w:rPr>
                <w:sz w:val="16"/>
              </w:rPr>
              <w:t>(4)</w:t>
            </w:r>
          </w:p>
        </w:tc>
      </w:tr>
      <w:tr w:rsidR="00A12DCA" w:rsidRPr="00100BF5" w:rsidTr="00A40504">
        <w:tblPrEx>
          <w:tblCellMar>
            <w:top w:w="0" w:type="dxa"/>
            <w:bottom w:w="0" w:type="dxa"/>
          </w:tblCellMar>
        </w:tblPrEx>
        <w:trPr>
          <w:trHeight w:val="255"/>
        </w:trPr>
        <w:tc>
          <w:tcPr>
            <w:tcW w:w="3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rPr>
                <w:sz w:val="16"/>
              </w:rPr>
            </w:pPr>
            <w:r w:rsidRPr="00100BF5">
              <w:rPr>
                <w:b/>
                <w:sz w:val="16"/>
              </w:rPr>
              <w:t xml:space="preserve">Total  </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vertAlign w:val="superscript"/>
              </w:rPr>
            </w:pPr>
            <w:r w:rsidRPr="00100BF5">
              <w:rPr>
                <w:b/>
                <w:sz w:val="16"/>
              </w:rPr>
              <w:t>15,475 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15,299 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40504">
            <w:pPr>
              <w:jc w:val="right"/>
              <w:rPr>
                <w:b/>
                <w:sz w:val="16"/>
                <w:vertAlign w:val="superscript"/>
              </w:rPr>
            </w:pPr>
            <w:r w:rsidRPr="00100BF5">
              <w:rPr>
                <w:b/>
                <w:sz w:val="16"/>
              </w:rPr>
              <w:t>12,757 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 xml:space="preserve"> 15,330 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40504">
            <w:pPr>
              <w:jc w:val="right"/>
              <w:rPr>
                <w:b/>
                <w:sz w:val="16"/>
              </w:rPr>
            </w:pPr>
            <w:r w:rsidRPr="00100BF5">
              <w:rPr>
                <w:b/>
                <w:sz w:val="16"/>
              </w:rPr>
              <w:t>(17)</w:t>
            </w:r>
          </w:p>
        </w:tc>
      </w:tr>
    </w:tbl>
    <w:p w:rsidR="00E50439" w:rsidRPr="00100BF5" w:rsidRDefault="00E50439" w:rsidP="00A12DCA">
      <w:pPr>
        <w:pStyle w:val="Normal7"/>
        <w:ind w:left="284" w:hanging="284"/>
        <w:rPr>
          <w:rFonts w:ascii="Expert Sans Regular" w:hAnsi="Expert Sans Regular"/>
          <w:i/>
          <w:sz w:val="2"/>
          <w:szCs w:val="2"/>
        </w:rPr>
      </w:pPr>
    </w:p>
    <w:p w:rsidR="00E50439" w:rsidRPr="00100BF5" w:rsidRDefault="00E50439" w:rsidP="00A12DCA">
      <w:pPr>
        <w:pStyle w:val="Normal7"/>
        <w:ind w:left="284" w:hanging="284"/>
        <w:rPr>
          <w:rFonts w:ascii="Expert Sans Regular" w:hAnsi="Expert Sans Regular"/>
          <w:i/>
          <w:sz w:val="2"/>
          <w:szCs w:val="2"/>
        </w:rPr>
      </w:pPr>
    </w:p>
    <w:p w:rsidR="00A12DCA" w:rsidRPr="00100BF5" w:rsidRDefault="00A12DCA" w:rsidP="00450A2A">
      <w:pPr>
        <w:pStyle w:val="Normal7"/>
        <w:numPr>
          <w:ilvl w:val="0"/>
          <w:numId w:val="145"/>
        </w:numPr>
        <w:tabs>
          <w:tab w:val="left" w:pos="284"/>
        </w:tabs>
        <w:ind w:left="284" w:hanging="284"/>
        <w:jc w:val="both"/>
        <w:rPr>
          <w:rFonts w:ascii="Expert Sans Regular" w:hAnsi="Expert Sans Regular"/>
          <w:i/>
          <w:sz w:val="14"/>
        </w:rPr>
      </w:pPr>
      <w:r w:rsidRPr="00100BF5">
        <w:rPr>
          <w:rFonts w:ascii="Expert Sans Regular" w:hAnsi="Expert Sans Regular"/>
          <w:i/>
          <w:sz w:val="14"/>
        </w:rPr>
        <w:lastRenderedPageBreak/>
        <w:t xml:space="preserve">Adjusted performance measures, income by geography and profit before tax exclude the impact of £2,945m (2011: gain of £89m) own credit loss, £227m (2011: loss of £58m) gain on disposal of strategic investment in BlackRock, Inc. Adjusted performance measures and profit before tax also exclude £300m (2011: £1,000m) provision for PPI redress, £450m (2011: £nil) provision for interest rate hedging products redress, £nil (2011: loss of £65m) gains on acquisitions and disposals and  £nil (2011: £47m) goodwill impairment. </w:t>
      </w:r>
    </w:p>
    <w:p w:rsidR="007D2B7A" w:rsidRPr="00100BF5" w:rsidRDefault="007D2B7A" w:rsidP="00450A2A">
      <w:pPr>
        <w:pStyle w:val="NoteandSourceText-BarcRA17"/>
        <w:numPr>
          <w:ilvl w:val="0"/>
          <w:numId w:val="145"/>
        </w:numPr>
        <w:ind w:left="284" w:hanging="284"/>
      </w:pPr>
      <w:r w:rsidRPr="00100BF5">
        <w:t>Othe</w:t>
      </w:r>
      <w:r w:rsidR="0053171D">
        <w:t>r net income/(expense</w:t>
      </w:r>
      <w:r w:rsidRPr="00100BF5">
        <w:t>) represents: share of post-tax results of associates and joint ventures; profit or (loss) on disposal of subsidiaries, associates and joint ventures; and gains on acquisitions.</w:t>
      </w:r>
    </w:p>
    <w:p w:rsidR="00A12DCA" w:rsidRPr="00100BF5" w:rsidRDefault="00A12DCA" w:rsidP="00450A2A">
      <w:pPr>
        <w:pStyle w:val="Normal7"/>
        <w:numPr>
          <w:ilvl w:val="0"/>
          <w:numId w:val="145"/>
        </w:numPr>
        <w:tabs>
          <w:tab w:val="left" w:pos="284"/>
        </w:tabs>
        <w:ind w:left="284" w:hanging="284"/>
        <w:jc w:val="both"/>
        <w:rPr>
          <w:rFonts w:ascii="Expert Sans Regular" w:hAnsi="Expert Sans Regular"/>
          <w:i/>
          <w:sz w:val="14"/>
        </w:rPr>
      </w:pPr>
      <w:r w:rsidRPr="00100BF5">
        <w:rPr>
          <w:rFonts w:ascii="Expert Sans Regular" w:hAnsi="Expert Sans Regular"/>
          <w:i/>
          <w:sz w:val="14"/>
        </w:rPr>
        <w:t>Total income net of insurance claims based on counterparty location.</w:t>
      </w:r>
    </w:p>
    <w:p w:rsidR="00A12DCA" w:rsidRPr="00100BF5" w:rsidRDefault="00A12DCA">
      <w:pPr>
        <w:rPr>
          <w:i/>
          <w:sz w:val="14"/>
        </w:rPr>
        <w:sectPr w:rsidR="00A12DCA" w:rsidRPr="00100BF5" w:rsidSect="00E100EB">
          <w:footerReference w:type="default" r:id="rId17"/>
          <w:pgSz w:w="11905" w:h="16837"/>
          <w:pgMar w:top="851" w:right="1134" w:bottom="567" w:left="1134" w:header="851" w:footer="567" w:gutter="0"/>
          <w:cols w:space="708"/>
        </w:sectPr>
      </w:pPr>
    </w:p>
    <w:p w:rsidR="005F437E" w:rsidRDefault="005F437E" w:rsidP="005F437E">
      <w:pPr>
        <w:pStyle w:val="HeadingLevel1-BarcRA"/>
      </w:pPr>
      <w:r>
        <w:lastRenderedPageBreak/>
        <w:t>Chairman’s Statement</w:t>
      </w:r>
    </w:p>
    <w:p w:rsidR="00EB15FE" w:rsidRPr="00EB15FE" w:rsidRDefault="00E75094" w:rsidP="00E75094">
      <w:pPr>
        <w:pStyle w:val="BodyText-BarcRA91"/>
        <w:spacing w:before="0"/>
      </w:pPr>
      <w:r>
        <w:t>We are</w:t>
      </w:r>
      <w:r w:rsidR="00EB15FE" w:rsidRPr="00EB15FE">
        <w:t xml:space="preserve"> pleased to report a good set of results to 30 June 2012, as they reflect our continued hard work in supporting our customers and clients, delivering our financial objectives and managing risk. We continue to improve our market position across many of our key products and segments and our financial strength is serving us well in today’s challenging environment. Our commitment to maintain Barclays position as a leading global universal bank, underpinned by a diverse set of businesses, remains unchanged.</w:t>
      </w:r>
    </w:p>
    <w:p w:rsidR="00EB15FE" w:rsidRPr="00EB15FE" w:rsidRDefault="00AE56DA" w:rsidP="00E75094">
      <w:pPr>
        <w:pStyle w:val="BodyText-BarcRA91"/>
        <w:spacing w:before="0"/>
      </w:pPr>
      <w:r>
        <w:t>The recent events have been</w:t>
      </w:r>
      <w:r w:rsidR="00EB15FE" w:rsidRPr="00EB15FE">
        <w:t xml:space="preserve"> challenging for Barclays and all those who work for the Group. We continue to address the operational and control issues raised in connection with our LIBOR settlement with the US and UK authorities, many of which have been resolved over the course of the investigation. However, as a consequence of recent events, the Board of Directors is now focused on identifying and recruiting a new Chief Executive as well as a Chairman of the Board. During this interim period, my role as Chairman of the Executive Committee is to provide stability and continuity for our customers and stakeholders. We have a mandate from the Board that goes beyond a simple caretaking role.    </w:t>
      </w:r>
    </w:p>
    <w:p w:rsidR="00EB15FE" w:rsidRPr="00EB15FE" w:rsidRDefault="00EB15FE" w:rsidP="00E75094">
      <w:pPr>
        <w:pStyle w:val="BodyText-BarcRA91"/>
        <w:spacing w:before="0"/>
      </w:pPr>
      <w:r w:rsidRPr="00EB15FE">
        <w:t>Barclays has proven itself as a strong business that delivers resilient performance. The solid divisional leadership and customer focus of Antony Jenkins, Rich Ricci, Tom Kalaris and Maria Ramos continues. The depth of the Barclays management team, our relentless focus on customers and clients, and our steady financial performance gives me confidence in our ability to achieve continued growth in our businesses in difficult times. Our commitment to building a strong franchise over time based on the prudent management of our resources and delivering 13% Return on Equity remains unchanged.</w:t>
      </w:r>
    </w:p>
    <w:p w:rsidR="00E75094" w:rsidRDefault="001E40F5" w:rsidP="00E75094">
      <w:pPr>
        <w:pStyle w:val="BodyText-BarcRA91"/>
        <w:spacing w:before="0"/>
      </w:pPr>
      <w:r w:rsidRPr="001E40F5">
        <w:t>Our Citizenship agenda is now more important than ever; we have ambitious commitments that we must deliver and continue to evolve to address the issues that matter most to those we serve</w:t>
      </w:r>
      <w:r>
        <w:t xml:space="preserve">. </w:t>
      </w:r>
      <w:r w:rsidR="00EB15FE" w:rsidRPr="00EB15FE">
        <w:t xml:space="preserve">We must focus on getting the fundamentals right – serving our customers and clients with integrity and maintaining the highest standards of service – while reviewing our business values and working to become more transparent. In this regard, the Board has asked Anthony Salz to lead an independent, third party, review of business practices, engaging all Barclays stakeholders and with the intention of publishing the review findings and recommendations. This global review will 1) assess the bank’s current values, principles and standard of operation; 2) test how well these are reflected in the bank’s decision-making processes; 3) assess whether or not the appropriate training, development, incentives, and disciplinary processes are in place; and 4) determine to what extent each of these aspects need to change. We understand that we will be judged on our deeds and not our words. </w:t>
      </w:r>
    </w:p>
    <w:p w:rsidR="00EB15FE" w:rsidRPr="00EB15FE" w:rsidRDefault="00EB15FE" w:rsidP="00E75094">
      <w:pPr>
        <w:pStyle w:val="BodyText-BarcRA91"/>
        <w:spacing w:before="0"/>
      </w:pPr>
      <w:r w:rsidRPr="00EB15FE">
        <w:t>The talent and hard work of our colleagues will play a vital role in achieving this. In the first half of 2012, they helped us deliver</w:t>
      </w:r>
      <w:r w:rsidR="00050022">
        <w:t xml:space="preserve"> £20</w:t>
      </w:r>
      <w:r w:rsidR="007671BC">
        <w:t>.5</w:t>
      </w:r>
      <w:r w:rsidR="00050022">
        <w:t>bn in gross new lending to UK households and businesses</w:t>
      </w:r>
      <w:r w:rsidRPr="00EB15FE">
        <w:t xml:space="preserve">. Recognising the importance of helping new entrepreneurs, we launched an initiative to support up to 24,000 start-up businesses in the UK over the next three years. We also raised over £450bn in financing for businesses and governments globally. In the UK, our apprenticeship scheme is supporting young people into employment, we have already welcomed 120 new apprentices and are on track to recruit over </w:t>
      </w:r>
      <w:r w:rsidR="00541389">
        <w:t>450 by the end of the year. Around</w:t>
      </w:r>
      <w:r w:rsidRPr="00EB15FE">
        <w:t xml:space="preserve"> half of our colleagues are actively involved in community investment programmes and, in the first half of 2012 alone, over 44,000 provided their time, skills and money to help disadvantaged people. This resulted in 160,000 of volunteering hours in local communities and £12.3m raised for charity.</w:t>
      </w:r>
    </w:p>
    <w:p w:rsidR="00EB15FE" w:rsidRPr="00EB15FE" w:rsidRDefault="00EB15FE" w:rsidP="00E75094">
      <w:pPr>
        <w:pStyle w:val="BodyText-BarcRA91"/>
        <w:spacing w:before="0"/>
      </w:pPr>
      <w:r w:rsidRPr="00EB15FE">
        <w:t>We are sorry for the issues that have emerged over recent weeks and recognise that we have disappointed our customers and shareholders. I speak for all of Barclays people when I say how determined we are to regain the full confidence of all our stakeholders; customers and clients, investors, regulators and staff alike.</w:t>
      </w:r>
    </w:p>
    <w:p w:rsidR="00EB15FE" w:rsidRDefault="00EB15FE" w:rsidP="00A12DCA">
      <w:pPr>
        <w:pStyle w:val="Normal400"/>
        <w:jc w:val="both"/>
      </w:pPr>
    </w:p>
    <w:p w:rsidR="00A12DCA" w:rsidRPr="00100BF5" w:rsidRDefault="00A12DCA" w:rsidP="00A12DCA">
      <w:pPr>
        <w:pStyle w:val="BodyText-BarcRA6"/>
        <w:rPr>
          <w:rFonts w:eastAsia="Times New Roman" w:cs="Times New Roman"/>
          <w:b/>
          <w:bCs/>
          <w:sz w:val="20"/>
          <w:szCs w:val="20"/>
          <w:lang w:val="la-Latn"/>
        </w:rPr>
      </w:pPr>
      <w:r w:rsidRPr="00100BF5">
        <w:rPr>
          <w:rFonts w:eastAsia="Times New Roman" w:cs="Times New Roman"/>
          <w:b/>
          <w:bCs/>
          <w:sz w:val="20"/>
          <w:szCs w:val="20"/>
          <w:lang w:val="la-Latn"/>
        </w:rPr>
        <w:t>Marcus Agius, Chairman</w:t>
      </w:r>
    </w:p>
    <w:p w:rsidR="00A12DCA" w:rsidRPr="00100BF5" w:rsidRDefault="00A12DCA">
      <w:pPr>
        <w:sectPr w:rsidR="00A12DCA" w:rsidRPr="00100BF5" w:rsidSect="00E100EB">
          <w:headerReference w:type="default" r:id="rId18"/>
          <w:pgSz w:w="11905" w:h="16837"/>
          <w:pgMar w:top="851" w:right="1134" w:bottom="567" w:left="1134" w:header="851" w:footer="567" w:gutter="0"/>
          <w:cols w:space="708"/>
        </w:sectPr>
      </w:pPr>
    </w:p>
    <w:p w:rsidR="005F437E" w:rsidRDefault="005F437E" w:rsidP="005F437E">
      <w:pPr>
        <w:pStyle w:val="HeadingLevel1-BarcRA"/>
      </w:pPr>
      <w:r>
        <w:lastRenderedPageBreak/>
        <w:t>Group Finance Director’s Review</w:t>
      </w:r>
    </w:p>
    <w:p w:rsidR="00A12DCA" w:rsidRPr="00100BF5" w:rsidRDefault="00A12DCA" w:rsidP="0036376E">
      <w:pPr>
        <w:pStyle w:val="BodyText-BarcRA91"/>
        <w:spacing w:before="0"/>
      </w:pPr>
      <w:r w:rsidRPr="00100BF5">
        <w:t>For the first six months of 2012 we reported a good performance as adjusted profits increased 13% year on year, despite continuing difficult market conditions. Our Core Tier 1 ratio was robust at 10.9%, while funding and liquidity remained strong.</w:t>
      </w:r>
    </w:p>
    <w:p w:rsidR="00A12DCA" w:rsidRPr="00100BF5" w:rsidRDefault="00A12DCA" w:rsidP="00A12DCA">
      <w:pPr>
        <w:pStyle w:val="HeadingLevel1-BarcRA7"/>
        <w:rPr>
          <w:color w:val="auto"/>
        </w:rPr>
      </w:pPr>
      <w:r w:rsidRPr="00100BF5">
        <w:rPr>
          <w:color w:val="auto"/>
        </w:rPr>
        <w:t>Income Statement</w:t>
      </w:r>
    </w:p>
    <w:p w:rsidR="00A12DCA" w:rsidRPr="00100BF5" w:rsidRDefault="00A12DCA" w:rsidP="00A12DCA">
      <w:pPr>
        <w:pStyle w:val="Level1Bullet-BarcRA03"/>
      </w:pPr>
      <w:r w:rsidRPr="00100BF5">
        <w:t>Statutory profit before tax was £759m (2011: £2,644m), including an own credit charge of £2,945m (2011: gain of £89m). Adjusted profit before tax increased 13% to £4,227m. Adjusted results provide a more consistent basis for comparing business performance between periods</w:t>
      </w:r>
    </w:p>
    <w:p w:rsidR="00A12DCA" w:rsidRPr="00100BF5" w:rsidRDefault="00A12DCA" w:rsidP="00A12DCA">
      <w:pPr>
        <w:pStyle w:val="Level1Bullet-BarcRA03"/>
      </w:pPr>
      <w:r w:rsidRPr="00100BF5">
        <w:t>Adjusted return on average shareholders’ equity increased to 9.9% (2011: 9.3%) with improvements in</w:t>
      </w:r>
      <w:r w:rsidR="00CE3912">
        <w:t xml:space="preserve"> five of seven businesses and</w:t>
      </w:r>
      <w:r w:rsidRPr="00100BF5">
        <w:t xml:space="preserve"> Investment Bank achieved nearly 15%, an encouraging performance in difficult market conditions</w:t>
      </w:r>
    </w:p>
    <w:p w:rsidR="00A12DCA" w:rsidRPr="00100BF5" w:rsidRDefault="00A12DCA" w:rsidP="00A12DCA">
      <w:pPr>
        <w:pStyle w:val="Level1Bullet-BarcRA03"/>
      </w:pPr>
      <w:r w:rsidRPr="00100BF5">
        <w:t>Adjusted income increased 1% to £15,475m, despite continued low interest rates and continuing difficult macroeconomic conditions</w:t>
      </w:r>
    </w:p>
    <w:p w:rsidR="00A12DCA" w:rsidRPr="00100BF5" w:rsidRDefault="00A12DCA" w:rsidP="00A12DCA">
      <w:pPr>
        <w:pStyle w:val="Level1Bullet-BarcRA03"/>
      </w:pPr>
      <w:r w:rsidRPr="00100BF5">
        <w:t>Customer net interest income from RBB, Corporate Banking</w:t>
      </w:r>
      <w:r w:rsidR="00CE3912">
        <w:rPr>
          <w:lang w:val="en-GB"/>
        </w:rPr>
        <w:t xml:space="preserve"> and</w:t>
      </w:r>
      <w:r w:rsidRPr="00100BF5">
        <w:t xml:space="preserve"> Wealth and Investment Management increased 2% to £4.9bn. The net interest margin declined 8bps to 189bps, driven by a 7bps decrease in non-customer margin reflecting reduced contributions from structural hedges. Average customer assets for these businesses increased 1% to £317.9bn and average customer liabilities increased 4% to £277.4bn</w:t>
      </w:r>
    </w:p>
    <w:p w:rsidR="00A12DCA" w:rsidRPr="00100BF5" w:rsidRDefault="00A12DCA" w:rsidP="00A12DCA">
      <w:pPr>
        <w:pStyle w:val="Level1Bullet-BarcRA03"/>
      </w:pPr>
      <w:r w:rsidRPr="00100BF5">
        <w:t>Total income in Investment Bank increased 4% to £6,496m driven by improved performances in Rates and Commodities, partially offset by declines in market volumes and lower corporate deal activity</w:t>
      </w:r>
    </w:p>
    <w:p w:rsidR="00A12DCA" w:rsidRPr="00100BF5" w:rsidRDefault="00A12DCA" w:rsidP="00A12DCA">
      <w:pPr>
        <w:pStyle w:val="Level1Bullet-BarcRA03"/>
      </w:pPr>
      <w:r w:rsidRPr="00100BF5">
        <w:t>Credit impairment charges were flat at £1,832m, reflecting improvements across many businesses, offset principally by increased levels at the Investment Bank where there was a net release of £111m in 2011</w:t>
      </w:r>
    </w:p>
    <w:p w:rsidR="00A12DCA" w:rsidRPr="00100BF5" w:rsidRDefault="00A12DCA" w:rsidP="00A12DCA">
      <w:pPr>
        <w:pStyle w:val="Level2Bullet-BarcRA2"/>
        <w:numPr>
          <w:ilvl w:val="2"/>
          <w:numId w:val="9"/>
        </w:numPr>
        <w:tabs>
          <w:tab w:val="num" w:pos="567"/>
        </w:tabs>
        <w:ind w:left="567" w:hanging="283"/>
        <w:rPr>
          <w:lang w:val="en-GB"/>
        </w:rPr>
      </w:pPr>
      <w:r w:rsidRPr="00100BF5">
        <w:rPr>
          <w:lang w:val="en-GB"/>
        </w:rPr>
        <w:t>Loans and advances balances were up 5% and the annualised loan loss rate red</w:t>
      </w:r>
      <w:r w:rsidR="00882E4A">
        <w:rPr>
          <w:lang w:val="en-GB"/>
        </w:rPr>
        <w:t>uced to 71bps (Full Y</w:t>
      </w:r>
      <w:r w:rsidR="00882E4A" w:rsidRPr="00100BF5">
        <w:rPr>
          <w:lang w:val="en-GB"/>
        </w:rPr>
        <w:t>ear 2011: 77bps</w:t>
      </w:r>
      <w:r w:rsidR="00882E4A">
        <w:rPr>
          <w:lang w:val="en-GB"/>
        </w:rPr>
        <w:t>; Half Year 2011: 74bps</w:t>
      </w:r>
      <w:r w:rsidRPr="00100BF5">
        <w:rPr>
          <w:lang w:val="en-GB"/>
        </w:rPr>
        <w:t xml:space="preserve">). While delinquency trends improved in cards portfolios and UK unsecured lending during 2012, home loans in Europe experienced some deterioration as a result of the adverse credit conditions. South Africa home loans impairment increased reflecting focus on reducing the recoveries portfolio during the first six months of 2012 which led to higher write offs. Credit metrics in the wholesale portfolios have remained generally stable, however, the Investment Bank experienced higher charges primarily relating to ABS CDO Super Senior positions and </w:t>
      </w:r>
      <w:r w:rsidR="00763FA1" w:rsidRPr="00B75665">
        <w:rPr>
          <w:lang w:val="en-GB"/>
        </w:rPr>
        <w:t>higher losses on single name exposures</w:t>
      </w:r>
    </w:p>
    <w:p w:rsidR="00A12DCA" w:rsidRPr="00100BF5" w:rsidRDefault="00A12DCA" w:rsidP="00A12DCA">
      <w:pPr>
        <w:pStyle w:val="Level2Bullet-BarcRA2"/>
        <w:numPr>
          <w:ilvl w:val="2"/>
          <w:numId w:val="9"/>
        </w:numPr>
        <w:tabs>
          <w:tab w:val="num" w:pos="567"/>
        </w:tabs>
        <w:ind w:left="567" w:hanging="283"/>
        <w:rPr>
          <w:lang w:val="en-GB"/>
        </w:rPr>
      </w:pPr>
      <w:r w:rsidRPr="00100BF5">
        <w:rPr>
          <w:lang w:val="en-GB"/>
        </w:rPr>
        <w:t xml:space="preserve">The credit risk loans (CRL) coverage ratio increased slightly as CRL balances </w:t>
      </w:r>
      <w:r w:rsidR="00BE2E36" w:rsidRPr="00100BF5">
        <w:rPr>
          <w:lang w:val="en-GB"/>
        </w:rPr>
        <w:t>and impairment allowances fell 8% and 6</w:t>
      </w:r>
      <w:r w:rsidRPr="00100BF5">
        <w:rPr>
          <w:lang w:val="en-GB"/>
        </w:rPr>
        <w:t>%, respectively</w:t>
      </w:r>
    </w:p>
    <w:p w:rsidR="00A12DCA" w:rsidRPr="00100BF5" w:rsidRDefault="00A12DCA" w:rsidP="00A12DCA">
      <w:pPr>
        <w:pStyle w:val="Level1Bullet-BarcRA03"/>
      </w:pPr>
      <w:r w:rsidRPr="00100BF5">
        <w:t>Operating expenses, excluding the £300m (2011: £1,000m) provision for PPI and £450m (2011: nil) provision for interest rate hedging products redress, were down 3% to £9,491m</w:t>
      </w:r>
    </w:p>
    <w:p w:rsidR="00A12DCA" w:rsidRPr="00100BF5" w:rsidRDefault="00A12DCA" w:rsidP="00A12DCA">
      <w:pPr>
        <w:pStyle w:val="Level2Bullet-BarcRA2"/>
        <w:numPr>
          <w:ilvl w:val="2"/>
          <w:numId w:val="9"/>
        </w:numPr>
        <w:tabs>
          <w:tab w:val="num" w:pos="567"/>
        </w:tabs>
        <w:ind w:left="567" w:hanging="283"/>
        <w:rPr>
          <w:lang w:val="en-GB"/>
        </w:rPr>
      </w:pPr>
      <w:r w:rsidRPr="00100BF5">
        <w:rPr>
          <w:lang w:val="en-GB"/>
        </w:rPr>
        <w:t>Performance costs reduced by 14% to £1,422m despite a deferred bonus charge of £655m (2011: £458m). Investment Bank performance costs reduced 19% to £1,028m, compared to a 2% decrease in profit before tax and the compensation: income ratio reduced to 39% (2011: 45%)</w:t>
      </w:r>
    </w:p>
    <w:p w:rsidR="00A12DCA" w:rsidRPr="00100BF5" w:rsidRDefault="00A12DCA" w:rsidP="00A12DCA">
      <w:pPr>
        <w:pStyle w:val="Level2Bullet-BarcRA2"/>
        <w:numPr>
          <w:ilvl w:val="2"/>
          <w:numId w:val="9"/>
        </w:numPr>
        <w:tabs>
          <w:tab w:val="num" w:pos="567"/>
        </w:tabs>
        <w:ind w:left="567" w:hanging="283"/>
        <w:rPr>
          <w:lang w:val="en-GB"/>
        </w:rPr>
      </w:pPr>
      <w:r w:rsidRPr="00100BF5">
        <w:rPr>
          <w:lang w:val="en-GB"/>
        </w:rPr>
        <w:t xml:space="preserve">Non-performance costs decreased by 1% to £8,069m after absorbing regulatory penalties of £290m in the Investment Bank and Head Office and Other Operations relating to the industry-wide investigation into the setting of interbank offered rates. Overall increases in regulatory and legal costs, continued business investment and the impact of acquisitions in 2011, were more than offset by reductions in other non-performance costs, in line with the Group’s cost saving initiatives </w:t>
      </w:r>
    </w:p>
    <w:p w:rsidR="00A12DCA" w:rsidRPr="00100BF5" w:rsidRDefault="00A12DCA" w:rsidP="00A12DCA">
      <w:pPr>
        <w:pStyle w:val="Level1Bullet-BarcRA03"/>
        <w:rPr>
          <w:lang w:val="en-GB"/>
        </w:rPr>
      </w:pPr>
      <w:r w:rsidRPr="00100BF5">
        <w:rPr>
          <w:lang w:val="en-GB"/>
        </w:rPr>
        <w:lastRenderedPageBreak/>
        <w:t>The adjusted cost: income ratio decreased to 61% (2011: 64%). At the Investment Bank the cost: net operating income ratio was flat at 64%</w:t>
      </w:r>
    </w:p>
    <w:p w:rsidR="00A12DCA" w:rsidRPr="00100BF5" w:rsidRDefault="00A12DCA" w:rsidP="00A12DCA">
      <w:pPr>
        <w:pStyle w:val="Level1Bullet-BarcRA03"/>
        <w:rPr>
          <w:lang w:val="en-GB"/>
        </w:rPr>
      </w:pPr>
      <w:r w:rsidRPr="00100BF5">
        <w:rPr>
          <w:lang w:val="en-GB"/>
        </w:rPr>
        <w:t>The effective tax rate on statutory pr</w:t>
      </w:r>
      <w:r w:rsidR="00882E4A">
        <w:rPr>
          <w:lang w:val="en-GB"/>
        </w:rPr>
        <w:t xml:space="preserve">ofit before tax was 36.8% (H1 </w:t>
      </w:r>
      <w:r w:rsidRPr="00100BF5">
        <w:rPr>
          <w:lang w:val="en-GB"/>
        </w:rPr>
        <w:t>11: 25.0%), principally due to profits taxed in countries with high local tax rates and non-deductible expenses. The increase in the t</w:t>
      </w:r>
      <w:r w:rsidR="00882E4A">
        <w:rPr>
          <w:lang w:val="en-GB"/>
        </w:rPr>
        <w:t xml:space="preserve">ax rate compared to H1 </w:t>
      </w:r>
      <w:r w:rsidR="009666B3" w:rsidRPr="00100BF5">
        <w:rPr>
          <w:lang w:val="en-GB"/>
        </w:rPr>
        <w:t>11</w:t>
      </w:r>
      <w:r w:rsidRPr="00100BF5">
        <w:rPr>
          <w:lang w:val="en-GB"/>
        </w:rPr>
        <w:t xml:space="preserve"> reflects the recognition in 2011 of previously unrecognised deferred tax assets in the US branch of Barclays Bank PLC. The effective tax rate on adjusted profit before tax was </w:t>
      </w:r>
      <w:r w:rsidR="00FC3138" w:rsidRPr="00100BF5">
        <w:rPr>
          <w:lang w:val="en-GB"/>
        </w:rPr>
        <w:t>27.4</w:t>
      </w:r>
      <w:r w:rsidR="00882E4A">
        <w:rPr>
          <w:lang w:val="en-GB"/>
        </w:rPr>
        <w:t xml:space="preserve">% (H1 </w:t>
      </w:r>
      <w:r w:rsidRPr="00100BF5">
        <w:rPr>
          <w:lang w:val="en-GB"/>
        </w:rPr>
        <w:t>11: 24.2%)</w:t>
      </w:r>
    </w:p>
    <w:p w:rsidR="00A12DCA" w:rsidRPr="00100BF5" w:rsidRDefault="00A12DCA">
      <w:pPr>
        <w:rPr>
          <w:lang w:val="en-GB"/>
        </w:rPr>
      </w:pPr>
    </w:p>
    <w:p w:rsidR="005F437E" w:rsidRDefault="006C17EA" w:rsidP="005F437E">
      <w:pPr>
        <w:pStyle w:val="HeadingLevel1-BarcRA"/>
      </w:pPr>
      <w:r w:rsidRPr="00100BF5">
        <w:br w:type="page"/>
      </w:r>
      <w:r w:rsidR="005F437E">
        <w:lastRenderedPageBreak/>
        <w:t>Group Finance Director’s Review</w:t>
      </w:r>
    </w:p>
    <w:p w:rsidR="00A12DCA" w:rsidRPr="00100BF5" w:rsidRDefault="00A12DCA" w:rsidP="0036376E">
      <w:pPr>
        <w:pStyle w:val="HeadingLevel1-BarcRA4"/>
        <w:rPr>
          <w:color w:val="auto"/>
        </w:rPr>
      </w:pPr>
      <w:r w:rsidRPr="00100BF5">
        <w:rPr>
          <w:color w:val="auto"/>
        </w:rPr>
        <w:t>Balance Sheet</w:t>
      </w:r>
    </w:p>
    <w:p w:rsidR="00A12DCA" w:rsidRPr="00100BF5" w:rsidRDefault="00807610" w:rsidP="004E2636">
      <w:pPr>
        <w:pStyle w:val="Level1Bullet-BarcRA03"/>
      </w:pPr>
      <w:r w:rsidRPr="00100BF5">
        <w:t>Total assets increased to £1,631bn (2011: £1,564bn), reflecting increases across a number of asset categories, notably a £19bn increase in cash and balances at central banks, a</w:t>
      </w:r>
      <w:r w:rsidR="002254D5">
        <w:rPr>
          <w:lang w:val="en-GB"/>
        </w:rPr>
        <w:t xml:space="preserve"> </w:t>
      </w:r>
      <w:r w:rsidRPr="00100BF5">
        <w:t>£23bn increase in loans and advances to customers (primarily in relation to settlement balances) and a £21bn increase in reverse repurchase agreements.  These were partially offset by a £21bn reduction in derivative financial instrument assets</w:t>
      </w:r>
    </w:p>
    <w:p w:rsidR="006C17EA" w:rsidRPr="00100BF5" w:rsidRDefault="006C17EA" w:rsidP="004E2636">
      <w:pPr>
        <w:pStyle w:val="Level1Bullet-BarcRA03"/>
      </w:pPr>
      <w:r w:rsidRPr="00100BF5">
        <w:t>Total customer accounts increased 12% to £409bn primarily in relation to settlement balances</w:t>
      </w:r>
    </w:p>
    <w:p w:rsidR="00A12DCA" w:rsidRPr="00100BF5" w:rsidRDefault="00A12DCA" w:rsidP="004E2636">
      <w:pPr>
        <w:pStyle w:val="Level1Bullet-BarcRA03"/>
      </w:pPr>
      <w:r w:rsidRPr="00100BF5">
        <w:t>The Group’s loan to deposit ratio continued to improve to 111% (2011: 118%)</w:t>
      </w:r>
    </w:p>
    <w:p w:rsidR="00A12DCA" w:rsidRPr="00100BF5" w:rsidRDefault="00A12DCA" w:rsidP="004E2636">
      <w:pPr>
        <w:pStyle w:val="Level1Bullet-BarcRA03"/>
      </w:pPr>
      <w:r w:rsidRPr="00100BF5">
        <w:t>Total shareholders’ equity (including non-controlling inte</w:t>
      </w:r>
      <w:r w:rsidR="009C5A7D">
        <w:t>rests) at 30 June 2012 was £63.</w:t>
      </w:r>
      <w:r w:rsidR="009C5A7D">
        <w:rPr>
          <w:lang w:val="en-GB"/>
        </w:rPr>
        <w:t>7</w:t>
      </w:r>
      <w:r w:rsidRPr="00100BF5">
        <w:t>bn (2011: £65.2bn). Excluding non-controlling interests, sha</w:t>
      </w:r>
      <w:r w:rsidR="009C5A7D">
        <w:t>reholders’ equity decreased £1.</w:t>
      </w:r>
      <w:r w:rsidR="009C5A7D">
        <w:rPr>
          <w:lang w:val="en-GB"/>
        </w:rPr>
        <w:t>4</w:t>
      </w:r>
      <w:r w:rsidRPr="00100BF5">
        <w:t>bn t</w:t>
      </w:r>
      <w:r w:rsidR="009C5A7D">
        <w:t>o £54.</w:t>
      </w:r>
      <w:r w:rsidR="009C5A7D">
        <w:rPr>
          <w:lang w:val="en-GB"/>
        </w:rPr>
        <w:t>2</w:t>
      </w:r>
      <w:r w:rsidRPr="00100BF5">
        <w:t>bn, principally reflecting negative reserve movements, notably the £1</w:t>
      </w:r>
      <w:r w:rsidR="007A2FF8" w:rsidRPr="00100BF5">
        <w:t>.0</w:t>
      </w:r>
      <w:r w:rsidRPr="00100BF5">
        <w:t xml:space="preserve">bn net purchase of treasury shares for </w:t>
      </w:r>
      <w:r w:rsidR="007216E7">
        <w:t>deferred compensation awards</w:t>
      </w:r>
      <w:r w:rsidR="007216E7">
        <w:rPr>
          <w:lang w:val="en-GB"/>
        </w:rPr>
        <w:t>,</w:t>
      </w:r>
      <w:r w:rsidRPr="00100BF5">
        <w:t xml:space="preserve"> £0.5bn of dividends paid</w:t>
      </w:r>
      <w:r w:rsidR="007216E7">
        <w:rPr>
          <w:lang w:val="en-GB"/>
        </w:rPr>
        <w:t xml:space="preserve"> and £0.5bn currency reserve movements</w:t>
      </w:r>
      <w:r w:rsidRPr="00100BF5">
        <w:t>, partially offset by profit after tax</w:t>
      </w:r>
    </w:p>
    <w:p w:rsidR="00A12DCA" w:rsidRPr="00100BF5" w:rsidRDefault="00A12DCA" w:rsidP="004E2636">
      <w:pPr>
        <w:pStyle w:val="Level1Bullet-BarcRA03"/>
      </w:pPr>
      <w:r w:rsidRPr="00100BF5">
        <w:t>Net asset value per share decreased 3% to 44</w:t>
      </w:r>
      <w:r w:rsidR="009C5A7D">
        <w:rPr>
          <w:lang w:val="en-GB"/>
        </w:rPr>
        <w:t>3</w:t>
      </w:r>
      <w:r w:rsidRPr="00100BF5">
        <w:t>p and the net tangible asset value per share decreased 3% to 379p</w:t>
      </w:r>
    </w:p>
    <w:p w:rsidR="00A12DCA" w:rsidRPr="00100BF5" w:rsidRDefault="00A12DCA" w:rsidP="004E2636">
      <w:pPr>
        <w:pStyle w:val="Level1Bullet-BarcRA03"/>
      </w:pPr>
      <w:r w:rsidRPr="00100BF5">
        <w:t>Adjusted gross leverage remained stable at 20x and moved within a month end range of 20x to 23x. Excluding the liquidity pool, adjusted gross leverage remained flat at 17x</w:t>
      </w:r>
    </w:p>
    <w:p w:rsidR="00A12DCA" w:rsidRPr="00100BF5" w:rsidRDefault="00A12DCA">
      <w:pPr>
        <w:rPr>
          <w:lang w:val="en-GB"/>
        </w:rPr>
      </w:pPr>
    </w:p>
    <w:p w:rsidR="00A12DCA" w:rsidRPr="00100BF5" w:rsidRDefault="00A12DCA" w:rsidP="00A12DCA">
      <w:pPr>
        <w:pStyle w:val="HeadingLevel1-BarcRA5"/>
        <w:rPr>
          <w:color w:val="auto"/>
        </w:rPr>
      </w:pPr>
      <w:r w:rsidRPr="00100BF5">
        <w:rPr>
          <w:color w:val="auto"/>
        </w:rPr>
        <w:t>Capital Management</w:t>
      </w:r>
    </w:p>
    <w:p w:rsidR="00A12DCA" w:rsidRPr="00100BF5" w:rsidRDefault="00A12DCA" w:rsidP="004E2636">
      <w:pPr>
        <w:pStyle w:val="Level1Bullet-BarcRA03"/>
      </w:pPr>
      <w:r w:rsidRPr="00100BF5">
        <w:t xml:space="preserve">As at 30 June 2012, the Group’s Core Tier 1 ratio was 10.9% (31 December 2011: 11.0%) after absorbing a </w:t>
      </w:r>
      <w:r w:rsidR="008A10A2" w:rsidRPr="00100BF5">
        <w:t>26bps</w:t>
      </w:r>
      <w:r w:rsidRPr="00100BF5">
        <w:t xml:space="preserve"> impact from pensions, principally reflecting the additional pension contributions made in April 2012 and</w:t>
      </w:r>
      <w:r w:rsidR="00040D32">
        <w:rPr>
          <w:lang w:val="en-GB"/>
        </w:rPr>
        <w:t xml:space="preserve"> deducting f</w:t>
      </w:r>
      <w:r w:rsidRPr="00100BF5">
        <w:t>uture contributions</w:t>
      </w:r>
      <w:r w:rsidR="00040D32">
        <w:rPr>
          <w:lang w:val="en-GB"/>
        </w:rPr>
        <w:t xml:space="preserve"> expected over the next 5 years</w:t>
      </w:r>
    </w:p>
    <w:p w:rsidR="00A12DCA" w:rsidRPr="00100BF5" w:rsidRDefault="00A12DCA" w:rsidP="004E2636">
      <w:pPr>
        <w:pStyle w:val="Level1Bullet-BarcRA03"/>
      </w:pPr>
      <w:r w:rsidRPr="00100BF5">
        <w:t>The Group continued to generate Core Tier 1 capital from retained earnings (excluding own credit, which is added back for regulatory capital purposes). Retained earnings of £2.</w:t>
      </w:r>
      <w:r w:rsidR="00050022">
        <w:rPr>
          <w:lang w:val="en-GB"/>
        </w:rPr>
        <w:t>3</w:t>
      </w:r>
      <w:r w:rsidRPr="00100BF5">
        <w:t>bn were more than offset by other movements in Core Tier 1 capital including pension movements, share pu</w:t>
      </w:r>
      <w:r w:rsidR="0019307E">
        <w:t>rchases, dividends and currency</w:t>
      </w:r>
      <w:r w:rsidR="0019307E">
        <w:rPr>
          <w:lang w:val="en-GB"/>
        </w:rPr>
        <w:t xml:space="preserve"> </w:t>
      </w:r>
      <w:r w:rsidRPr="00100BF5">
        <w:t>reserve movements</w:t>
      </w:r>
    </w:p>
    <w:p w:rsidR="00A12DCA" w:rsidRPr="00100BF5" w:rsidRDefault="00A12DCA" w:rsidP="004E2636">
      <w:pPr>
        <w:pStyle w:val="Level1Bullet-BarcRA03"/>
      </w:pPr>
      <w:r w:rsidRPr="00100BF5">
        <w:t xml:space="preserve">Risk weighted assets remained stable at £390bn (2011: £391bn), principally reflecting increases in operational </w:t>
      </w:r>
      <w:r w:rsidR="00E50439" w:rsidRPr="00100BF5">
        <w:t xml:space="preserve">and </w:t>
      </w:r>
      <w:r w:rsidRPr="00100BF5">
        <w:t>market risk, offset by reductions in</w:t>
      </w:r>
      <w:r w:rsidR="00E50439" w:rsidRPr="00100BF5">
        <w:t xml:space="preserve"> counterparty risk and credit </w:t>
      </w:r>
      <w:r w:rsidR="002461E7" w:rsidRPr="00100BF5">
        <w:t>risk</w:t>
      </w:r>
    </w:p>
    <w:p w:rsidR="00A12DCA" w:rsidRPr="00100BF5" w:rsidRDefault="00A12DCA" w:rsidP="004E2636">
      <w:pPr>
        <w:pStyle w:val="Level1Bullet-BarcRA03"/>
      </w:pPr>
      <w:r w:rsidRPr="00100BF5">
        <w:t xml:space="preserve">In May 2012, the investment in BlackRock, Inc. was sold for net proceeds of £3.5bn, recognising a gain on sale of £227m. This holding would have resulted in a negative </w:t>
      </w:r>
      <w:r w:rsidR="00E50439" w:rsidRPr="00100BF5">
        <w:t xml:space="preserve">Core Tier 1 </w:t>
      </w:r>
      <w:r w:rsidRPr="00100BF5">
        <w:t>c</w:t>
      </w:r>
      <w:r w:rsidR="00050022">
        <w:t>apital impact under</w:t>
      </w:r>
      <w:r w:rsidRPr="00100BF5">
        <w:t xml:space="preserve"> Basel 3</w:t>
      </w:r>
    </w:p>
    <w:p w:rsidR="00A12DCA" w:rsidRPr="00100BF5" w:rsidRDefault="00A12DCA"/>
    <w:p w:rsidR="00A12DCA" w:rsidRPr="00100BF5" w:rsidRDefault="00A12DCA" w:rsidP="00A12DCA">
      <w:pPr>
        <w:pStyle w:val="HeadingLevel1-BarcRA6"/>
        <w:rPr>
          <w:color w:val="auto"/>
        </w:rPr>
      </w:pPr>
      <w:r w:rsidRPr="00100BF5">
        <w:rPr>
          <w:color w:val="auto"/>
        </w:rPr>
        <w:t>Funding and Liquidity</w:t>
      </w:r>
    </w:p>
    <w:p w:rsidR="00A12DCA" w:rsidRPr="00100BF5" w:rsidRDefault="00A12DCA" w:rsidP="00A12DCA">
      <w:pPr>
        <w:pStyle w:val="BodyText-BarcRA100"/>
      </w:pPr>
      <w:r w:rsidRPr="00100BF5">
        <w:t xml:space="preserve">The liquidity pool as at 30 June 2012 was £170bn (31 December 2011: £152bn) which is towards the top of the month-end range for the period </w:t>
      </w:r>
      <w:r w:rsidR="00175856">
        <w:t xml:space="preserve">of </w:t>
      </w:r>
      <w:r w:rsidRPr="00100BF5">
        <w:t>£152bn to £173bn (</w:t>
      </w:r>
      <w:r w:rsidR="00E75094">
        <w:t xml:space="preserve">Full Year </w:t>
      </w:r>
      <w:r w:rsidRPr="00100BF5">
        <w:t>2011: £140bn to £167bn). The liquidity pool is held unencumbered and is not used to support payment or clearing requirements, which are treated as part of our regular business funding. It is intended to offset stress outflows and comprises the following cash and unencumbered assets.</w:t>
      </w:r>
    </w:p>
    <w:p w:rsidR="00A12DCA" w:rsidRPr="00100BF5" w:rsidRDefault="00A12DCA"/>
    <w:tbl>
      <w:tblPr>
        <w:tblW w:w="0" w:type="auto"/>
        <w:tblLayout w:type="fixed"/>
        <w:tblLook w:val="0000" w:firstRow="0" w:lastRow="0" w:firstColumn="0" w:lastColumn="0" w:noHBand="0" w:noVBand="0"/>
      </w:tblPr>
      <w:tblGrid>
        <w:gridCol w:w="4500"/>
        <w:gridCol w:w="1290"/>
        <w:gridCol w:w="1290"/>
        <w:gridCol w:w="1290"/>
        <w:gridCol w:w="1290"/>
      </w:tblGrid>
      <w:tr w:rsidR="00A12DCA" w:rsidRPr="00100BF5" w:rsidTr="00F60632">
        <w:tblPrEx>
          <w:tblCellMar>
            <w:top w:w="0" w:type="dxa"/>
            <w:bottom w:w="0" w:type="dxa"/>
          </w:tblCellMar>
        </w:tblPrEx>
        <w:trPr>
          <w:trHeight w:val="425"/>
        </w:trPr>
        <w:tc>
          <w:tcPr>
            <w:tcW w:w="4500"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sz w:val="16"/>
              </w:rPr>
              <w:t xml:space="preserve"> </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rsidP="00F60632">
            <w:pPr>
              <w:jc w:val="right"/>
              <w:rPr>
                <w:sz w:val="16"/>
              </w:rPr>
            </w:pPr>
            <w:r w:rsidRPr="00100BF5">
              <w:rPr>
                <w:b/>
                <w:sz w:val="16"/>
              </w:rPr>
              <w:t>Cash and Deposits with Central Banks</w:t>
            </w:r>
            <w:r w:rsidRPr="00100BF5">
              <w:rPr>
                <w:b/>
                <w:sz w:val="16"/>
                <w:vertAlign w:val="superscript"/>
              </w:rPr>
              <w:t>1 </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rsidP="00F60632">
            <w:pPr>
              <w:jc w:val="right"/>
              <w:rPr>
                <w:b/>
                <w:sz w:val="16"/>
                <w:vertAlign w:val="superscript"/>
              </w:rPr>
            </w:pPr>
            <w:r w:rsidRPr="00100BF5">
              <w:rPr>
                <w:b/>
                <w:sz w:val="16"/>
              </w:rPr>
              <w:t>Government Bonds</w:t>
            </w:r>
            <w:r w:rsidRPr="00100BF5">
              <w:rPr>
                <w:b/>
                <w:sz w:val="16"/>
                <w:vertAlign w:val="superscript"/>
              </w:rPr>
              <w:t>2 </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rsidP="00F60632">
            <w:pPr>
              <w:jc w:val="right"/>
              <w:rPr>
                <w:b/>
                <w:sz w:val="16"/>
                <w:vertAlign w:val="superscript"/>
              </w:rPr>
            </w:pPr>
            <w:r w:rsidRPr="00100BF5">
              <w:rPr>
                <w:b/>
                <w:sz w:val="16"/>
              </w:rPr>
              <w:t>Other Available Liquidity</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rsidP="00F60632">
            <w:pPr>
              <w:jc w:val="right"/>
              <w:rPr>
                <w:b/>
                <w:sz w:val="16"/>
              </w:rPr>
            </w:pPr>
            <w:r w:rsidRPr="00100BF5">
              <w:rPr>
                <w:b/>
                <w:sz w:val="16"/>
              </w:rPr>
              <w:t>Total</w:t>
            </w:r>
            <w:r w:rsidRPr="00100BF5">
              <w:rPr>
                <w:b/>
                <w:sz w:val="16"/>
                <w:vertAlign w:val="superscript"/>
              </w:rPr>
              <w:t>3 </w:t>
            </w:r>
          </w:p>
        </w:tc>
      </w:tr>
      <w:tr w:rsidR="00A12DCA" w:rsidRPr="00100BF5" w:rsidTr="000C3F6A">
        <w:tblPrEx>
          <w:tblCellMar>
            <w:top w:w="0" w:type="dxa"/>
            <w:bottom w:w="0" w:type="dxa"/>
          </w:tblCellMar>
        </w:tblPrEx>
        <w:trPr>
          <w:trHeight w:val="117"/>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b/>
                <w:sz w:val="16"/>
                <w:vertAlign w:val="superscript"/>
              </w:rPr>
            </w:pPr>
            <w:r w:rsidRPr="00100BF5">
              <w:rPr>
                <w:b/>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rPr>
            </w:pPr>
            <w:r w:rsidRPr="00100BF5">
              <w:rPr>
                <w:sz w:val="16"/>
              </w:rPr>
              <w:t>£bn</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rPr>
            </w:pPr>
            <w:r w:rsidRPr="00100BF5">
              <w:rPr>
                <w:sz w:val="16"/>
              </w:rPr>
              <w:t>£bn</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rPr>
            </w:pPr>
            <w:r w:rsidRPr="00100BF5">
              <w:rPr>
                <w:sz w:val="16"/>
              </w:rPr>
              <w:t>£bn</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rPr>
            </w:pPr>
            <w:r w:rsidRPr="00100BF5">
              <w:rPr>
                <w:sz w:val="16"/>
              </w:rPr>
              <w:t>£bn</w:t>
            </w:r>
            <w:r w:rsidRPr="00100BF5">
              <w:rPr>
                <w:sz w:val="16"/>
                <w:vertAlign w:val="superscript"/>
              </w:rPr>
              <w:t xml:space="preserve"> </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rPr>
                <w:sz w:val="16"/>
                <w:vertAlign w:val="superscript"/>
              </w:rPr>
            </w:pPr>
            <w:r w:rsidRPr="00100BF5">
              <w:rPr>
                <w:b/>
                <w:sz w:val="16"/>
              </w:rPr>
              <w:t>As at 30.06.12</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A81991">
            <w:pPr>
              <w:jc w:val="right"/>
              <w:rPr>
                <w:b/>
                <w:sz w:val="16"/>
              </w:rPr>
            </w:pPr>
            <w:r w:rsidRPr="00100BF5">
              <w:rPr>
                <w:b/>
                <w:sz w:val="16"/>
              </w:rPr>
              <w:t>12</w:t>
            </w:r>
            <w:r w:rsidR="001A77E4" w:rsidRPr="00100BF5">
              <w:rPr>
                <w:b/>
                <w:sz w:val="16"/>
              </w:rPr>
              <w:t>4</w:t>
            </w:r>
            <w:r w:rsidRPr="00100BF5">
              <w:rPr>
                <w:b/>
                <w:sz w:val="16"/>
              </w:rPr>
              <w:t> </w:t>
            </w:r>
            <w:r w:rsidRPr="00100BF5">
              <w:rPr>
                <w:b/>
                <w:sz w:val="16"/>
                <w:vertAlign w:val="superscript"/>
              </w:rPr>
              <w:t xml:space="preserve"> </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rPr>
            </w:pPr>
            <w:r w:rsidRPr="00100BF5">
              <w:rPr>
                <w:b/>
                <w:sz w:val="16"/>
              </w:rPr>
              <w:t>32 </w:t>
            </w:r>
            <w:r w:rsidRPr="00100BF5">
              <w:rPr>
                <w:b/>
                <w:sz w:val="16"/>
                <w:vertAlign w:val="superscript"/>
              </w:rPr>
              <w:t xml:space="preserve"> </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rPr>
            </w:pPr>
            <w:r w:rsidRPr="00100BF5">
              <w:rPr>
                <w:b/>
                <w:sz w:val="16"/>
              </w:rPr>
              <w:t>1</w:t>
            </w:r>
            <w:r w:rsidR="003B1B94" w:rsidRPr="00100BF5">
              <w:rPr>
                <w:b/>
                <w:sz w:val="16"/>
              </w:rPr>
              <w:t>4</w:t>
            </w:r>
            <w:r w:rsidRPr="00100BF5">
              <w:rPr>
                <w:b/>
                <w:sz w:val="16"/>
              </w:rPr>
              <w:t> </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A81991">
            <w:pPr>
              <w:jc w:val="right"/>
              <w:rPr>
                <w:b/>
                <w:sz w:val="16"/>
              </w:rPr>
            </w:pPr>
            <w:r w:rsidRPr="00100BF5">
              <w:rPr>
                <w:b/>
                <w:sz w:val="16"/>
              </w:rPr>
              <w:t>170 </w:t>
            </w:r>
            <w:r w:rsidRPr="00100BF5">
              <w:rPr>
                <w:b/>
                <w:sz w:val="16"/>
                <w:vertAlign w:val="superscript"/>
              </w:rPr>
              <w:t xml:space="preserve">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b/>
                <w:sz w:val="16"/>
                <w:vertAlign w:val="superscript"/>
              </w:rPr>
            </w:pPr>
            <w:r w:rsidRPr="00100BF5">
              <w:rPr>
                <w:sz w:val="16"/>
              </w:rPr>
              <w:lastRenderedPageBreak/>
              <w:t>As at 31.12.11</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A81991">
            <w:pPr>
              <w:jc w:val="right"/>
              <w:rPr>
                <w:sz w:val="16"/>
              </w:rPr>
            </w:pPr>
            <w:r w:rsidRPr="00100BF5">
              <w:rPr>
                <w:sz w:val="16"/>
              </w:rPr>
              <w:t>105 </w:t>
            </w:r>
            <w:r w:rsidRPr="00100BF5">
              <w:rPr>
                <w:sz w:val="16"/>
                <w:vertAlign w:val="superscript"/>
              </w:rPr>
              <w:t xml:space="preserve"> </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rPr>
            </w:pPr>
            <w:r w:rsidRPr="00100BF5">
              <w:rPr>
                <w:sz w:val="16"/>
              </w:rPr>
              <w:t>36 </w:t>
            </w:r>
            <w:r w:rsidRPr="00100BF5">
              <w:rPr>
                <w:sz w:val="16"/>
                <w:vertAlign w:val="superscript"/>
              </w:rPr>
              <w:t xml:space="preserve"> </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rPr>
            </w:pPr>
            <w:r w:rsidRPr="00100BF5">
              <w:rPr>
                <w:sz w:val="16"/>
              </w:rPr>
              <w:t>11 </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A81991">
            <w:pPr>
              <w:jc w:val="right"/>
              <w:rPr>
                <w:sz w:val="16"/>
              </w:rPr>
            </w:pPr>
            <w:r w:rsidRPr="00100BF5">
              <w:rPr>
                <w:sz w:val="16"/>
              </w:rPr>
              <w:t>152 </w:t>
            </w:r>
            <w:r w:rsidRPr="00100BF5">
              <w:rPr>
                <w:sz w:val="16"/>
                <w:vertAlign w:val="superscript"/>
              </w:rPr>
              <w:t xml:space="preserve"> </w:t>
            </w:r>
          </w:p>
        </w:tc>
      </w:tr>
    </w:tbl>
    <w:p w:rsidR="00A12DCA" w:rsidRPr="00100BF5" w:rsidRDefault="00A12DCA"/>
    <w:p w:rsidR="00A12DCA" w:rsidRPr="00050022" w:rsidRDefault="00A12DCA" w:rsidP="00F26CB3">
      <w:pPr>
        <w:pStyle w:val="Level1Bullet-BarcRA03"/>
        <w:spacing w:after="0"/>
      </w:pPr>
      <w:r w:rsidRPr="00100BF5">
        <w:t>RBB, Corporate Banking and Wealth and Investment Management activities are largely funded by customer deposits with the remainder covered by funding secured against customer loans and advances.  As at 30 June 2012, the loan to deposit ratio for these businesses was 106% (31 December 2011: 111%) and the loan to deposit and secured funding ratio was 94% (31 December 2011: 101%)</w:t>
      </w:r>
    </w:p>
    <w:p w:rsidR="00050022" w:rsidRPr="00100BF5" w:rsidRDefault="00050022" w:rsidP="00050022">
      <w:pPr>
        <w:pStyle w:val="Level1Bullet-BarcRA03"/>
      </w:pPr>
      <w:r w:rsidRPr="00100BF5">
        <w:t>The Investment Bank’s activities are primarily funded through wholesale markets. As at 30 June 2012 total wholesale funding outstanding (excluding repurchase agreements) was £263bn (31 December 2011: £265bn). £118bn of wholesale funding matures in less than one year (31 December 2011: £130bn)</w:t>
      </w:r>
    </w:p>
    <w:p w:rsidR="000C3F6A" w:rsidRPr="00F26CB3" w:rsidRDefault="000C3F6A" w:rsidP="00F26CB3">
      <w:pPr>
        <w:pStyle w:val="Normal7"/>
        <w:tabs>
          <w:tab w:val="left" w:pos="284"/>
        </w:tabs>
        <w:ind w:left="284" w:hanging="284"/>
        <w:jc w:val="both"/>
        <w:rPr>
          <w:rFonts w:ascii="Expert Sans Regular" w:hAnsi="Expert Sans Regular"/>
          <w:i/>
          <w:sz w:val="2"/>
          <w:szCs w:val="2"/>
        </w:rPr>
      </w:pPr>
    </w:p>
    <w:p w:rsidR="006C17EA" w:rsidRDefault="00F26CB3" w:rsidP="00F26CB3">
      <w:pPr>
        <w:pStyle w:val="Normal7"/>
        <w:tabs>
          <w:tab w:val="left" w:pos="284"/>
        </w:tabs>
        <w:ind w:left="284" w:hanging="284"/>
        <w:jc w:val="both"/>
        <w:rPr>
          <w:rFonts w:ascii="Expert Sans Regular" w:hAnsi="Expert Sans Regular"/>
          <w:i/>
          <w:sz w:val="14"/>
        </w:rPr>
      </w:pPr>
      <w:r>
        <w:rPr>
          <w:rFonts w:ascii="Expert Sans Regular" w:hAnsi="Expert Sans Regular"/>
          <w:i/>
          <w:sz w:val="14"/>
        </w:rPr>
        <w:t>1</w:t>
      </w:r>
      <w:r>
        <w:rPr>
          <w:rFonts w:ascii="Expert Sans Regular" w:hAnsi="Expert Sans Regular"/>
          <w:i/>
          <w:sz w:val="14"/>
        </w:rPr>
        <w:tab/>
        <w:t>Of</w:t>
      </w:r>
      <w:r w:rsidRPr="00100BF5">
        <w:rPr>
          <w:rFonts w:ascii="Expert Sans Regular" w:hAnsi="Expert Sans Regular"/>
          <w:i/>
          <w:sz w:val="14"/>
        </w:rPr>
        <w:t xml:space="preserve"> which over 95% (31 December 2011: over 95%) is placed with the Bank of England, US Federal Reserve, European Central Bank, Bank of Japan and Swiss National Bank.</w:t>
      </w:r>
    </w:p>
    <w:p w:rsidR="00F26CB3" w:rsidRPr="00100BF5" w:rsidRDefault="00F26CB3" w:rsidP="00F26CB3">
      <w:pPr>
        <w:pStyle w:val="Normal7"/>
        <w:tabs>
          <w:tab w:val="left" w:pos="284"/>
        </w:tabs>
        <w:jc w:val="both"/>
        <w:rPr>
          <w:rFonts w:ascii="Expert Sans Regular" w:hAnsi="Expert Sans Regular"/>
          <w:i/>
          <w:sz w:val="14"/>
        </w:rPr>
      </w:pPr>
      <w:r w:rsidRPr="00100BF5">
        <w:rPr>
          <w:rFonts w:ascii="Expert Sans Regular" w:hAnsi="Expert Sans Regular"/>
          <w:i/>
          <w:sz w:val="14"/>
        </w:rPr>
        <w:t>2</w:t>
      </w:r>
      <w:r w:rsidRPr="00100BF5">
        <w:rPr>
          <w:rFonts w:ascii="Expert Sans Regular" w:hAnsi="Expert Sans Regular"/>
          <w:i/>
          <w:sz w:val="14"/>
        </w:rPr>
        <w:tab/>
        <w:t>Of which over 70% (31 December 2011: over 80%) are comprised of UK, US, Japanese, French, German, Danish and Dutch securities.</w:t>
      </w:r>
    </w:p>
    <w:p w:rsidR="006C17EA" w:rsidRPr="00100BF5" w:rsidRDefault="006C17EA" w:rsidP="008A10A2">
      <w:pPr>
        <w:pStyle w:val="Normal7"/>
        <w:tabs>
          <w:tab w:val="left" w:pos="284"/>
        </w:tabs>
        <w:jc w:val="both"/>
        <w:rPr>
          <w:rFonts w:ascii="Expert Sans Regular" w:hAnsi="Expert Sans Regular"/>
          <w:i/>
          <w:sz w:val="14"/>
        </w:rPr>
      </w:pPr>
      <w:r w:rsidRPr="00100BF5">
        <w:rPr>
          <w:rFonts w:ascii="Expert Sans Regular" w:hAnsi="Expert Sans Regular"/>
          <w:i/>
          <w:sz w:val="14"/>
        </w:rPr>
        <w:t>3</w:t>
      </w:r>
      <w:r w:rsidRPr="00100BF5">
        <w:rPr>
          <w:rFonts w:ascii="Expert Sans Regular" w:hAnsi="Expert Sans Regular"/>
          <w:i/>
          <w:sz w:val="14"/>
        </w:rPr>
        <w:tab/>
        <w:t>£149bn</w:t>
      </w:r>
      <w:r w:rsidR="00911600" w:rsidRPr="00100BF5">
        <w:rPr>
          <w:rFonts w:ascii="Expert Sans Regular" w:hAnsi="Expert Sans Regular"/>
          <w:i/>
          <w:sz w:val="14"/>
        </w:rPr>
        <w:t xml:space="preserve"> </w:t>
      </w:r>
      <w:r w:rsidR="008A10A2" w:rsidRPr="00100BF5">
        <w:rPr>
          <w:rFonts w:ascii="Expert Sans Regular" w:hAnsi="Expert Sans Regular"/>
          <w:i/>
          <w:sz w:val="14"/>
        </w:rPr>
        <w:t>(31 December 2011: £140bn)</w:t>
      </w:r>
      <w:r w:rsidRPr="00100BF5">
        <w:rPr>
          <w:rFonts w:ascii="Expert Sans Regular" w:hAnsi="Expert Sans Regular"/>
          <w:i/>
          <w:sz w:val="14"/>
        </w:rPr>
        <w:t xml:space="preserve"> of which is FSA eligible.</w:t>
      </w:r>
    </w:p>
    <w:p w:rsidR="005F437E" w:rsidRDefault="00886D94" w:rsidP="00886D94">
      <w:pPr>
        <w:pStyle w:val="HeadingLevel1-BarcRA"/>
      </w:pPr>
      <w:r>
        <w:br w:type="page"/>
      </w:r>
      <w:r w:rsidR="005F437E">
        <w:lastRenderedPageBreak/>
        <w:t>Group Finance Director’s Review</w:t>
      </w:r>
    </w:p>
    <w:p w:rsidR="00573A79" w:rsidRPr="00100BF5" w:rsidRDefault="00573A79" w:rsidP="004E2636">
      <w:pPr>
        <w:pStyle w:val="Level1Bullet-BarcRA03"/>
      </w:pPr>
      <w:r w:rsidRPr="00100BF5">
        <w:t>Barclays continues to attract deposits in unsecured money markets and to raise additional secured and unsecured term funding in a variety of markets. Durin</w:t>
      </w:r>
      <w:r w:rsidR="00882E4A">
        <w:t xml:space="preserve">g H1 </w:t>
      </w:r>
      <w:r w:rsidR="008A10A2" w:rsidRPr="00100BF5">
        <w:t>12, the Group raised £</w:t>
      </w:r>
      <w:r w:rsidR="00C119D2" w:rsidRPr="00100BF5">
        <w:t>19.9</w:t>
      </w:r>
      <w:r w:rsidRPr="00100BF5">
        <w:t>bn of term funding, including £10.</w:t>
      </w:r>
      <w:r w:rsidR="00651A81" w:rsidRPr="00100BF5">
        <w:t>2</w:t>
      </w:r>
      <w:r w:rsidRPr="00100BF5">
        <w:t xml:space="preserve">bn of senior </w:t>
      </w:r>
      <w:r w:rsidR="008A10A2" w:rsidRPr="00100BF5">
        <w:t xml:space="preserve">unsecured and </w:t>
      </w:r>
      <w:r w:rsidRPr="00100BF5">
        <w:t>£</w:t>
      </w:r>
      <w:r w:rsidR="00651A81" w:rsidRPr="00100BF5">
        <w:t>9</w:t>
      </w:r>
      <w:r w:rsidRPr="00100BF5">
        <w:t>.</w:t>
      </w:r>
      <w:r w:rsidR="00651A81" w:rsidRPr="00100BF5">
        <w:t>7</w:t>
      </w:r>
      <w:r w:rsidRPr="00100BF5">
        <w:t>bn of secured term funding</w:t>
      </w:r>
    </w:p>
    <w:p w:rsidR="00A12DCA" w:rsidRPr="00100BF5" w:rsidRDefault="00A12DCA" w:rsidP="004E2636">
      <w:pPr>
        <w:pStyle w:val="Level1Bullet-BarcRA03"/>
      </w:pPr>
      <w:r w:rsidRPr="00100BF5">
        <w:t xml:space="preserve">The Group has </w:t>
      </w:r>
      <w:r w:rsidR="008A10A2" w:rsidRPr="00100BF5">
        <w:t>£1</w:t>
      </w:r>
      <w:r w:rsidR="00494936">
        <w:rPr>
          <w:lang w:val="en-GB"/>
        </w:rPr>
        <w:t>1</w:t>
      </w:r>
      <w:r w:rsidR="008A10A2" w:rsidRPr="00100BF5">
        <w:t>bn of term funding maturing in the remainder of 2012 (31 December 2011: £27bn), and a</w:t>
      </w:r>
      <w:r w:rsidR="00911600" w:rsidRPr="00100BF5">
        <w:t xml:space="preserve"> further £1</w:t>
      </w:r>
      <w:r w:rsidR="00494936">
        <w:rPr>
          <w:lang w:val="en-GB"/>
        </w:rPr>
        <w:t>8</w:t>
      </w:r>
      <w:r w:rsidR="00911600" w:rsidRPr="00100BF5">
        <w:t>bn maturing in 2013</w:t>
      </w:r>
    </w:p>
    <w:p w:rsidR="00A12DCA" w:rsidRPr="00100BF5" w:rsidRDefault="00A12DCA" w:rsidP="004E2636">
      <w:pPr>
        <w:pStyle w:val="Level1Bullet-BarcRA03"/>
      </w:pPr>
      <w:r w:rsidRPr="00100BF5">
        <w:t>The Group’s liquidity pool and wholesale funds continue to be well diversified across major currencies</w:t>
      </w:r>
    </w:p>
    <w:p w:rsidR="00A12DCA" w:rsidRPr="00100BF5" w:rsidRDefault="00A12DCA" w:rsidP="00A12DCA">
      <w:pPr>
        <w:pStyle w:val="Level1Bullet-BarcRA04"/>
        <w:tabs>
          <w:tab w:val="clear" w:pos="284"/>
          <w:tab w:val="left" w:pos="720"/>
        </w:tabs>
        <w:spacing w:before="0" w:after="0"/>
        <w:ind w:left="0" w:firstLine="0"/>
        <w:rPr>
          <w:sz w:val="2"/>
          <w:szCs w:val="2"/>
          <w:lang w:val="en-GB"/>
        </w:rPr>
      </w:pPr>
    </w:p>
    <w:p w:rsidR="00A12DCA" w:rsidRPr="00100BF5" w:rsidRDefault="00A12DCA" w:rsidP="00A12DCA">
      <w:pPr>
        <w:pStyle w:val="Level1Bullet-BarcRA04"/>
        <w:tabs>
          <w:tab w:val="clear" w:pos="284"/>
          <w:tab w:val="left" w:pos="720"/>
        </w:tabs>
        <w:spacing w:before="0" w:after="0"/>
        <w:ind w:left="0" w:firstLine="0"/>
        <w:rPr>
          <w:sz w:val="2"/>
          <w:szCs w:val="2"/>
          <w:lang w:val="en-GB"/>
        </w:rPr>
      </w:pPr>
    </w:p>
    <w:p w:rsidR="00A12DCA" w:rsidRPr="00100BF5" w:rsidRDefault="00A12DCA" w:rsidP="00A12DCA">
      <w:pPr>
        <w:pStyle w:val="Level1Bullet-BarcRA04"/>
        <w:tabs>
          <w:tab w:val="clear" w:pos="284"/>
          <w:tab w:val="left" w:pos="720"/>
        </w:tabs>
        <w:spacing w:before="0" w:after="0"/>
        <w:ind w:left="0" w:firstLine="0"/>
        <w:rPr>
          <w:sz w:val="2"/>
          <w:szCs w:val="2"/>
          <w:lang w:val="en-GB"/>
        </w:rPr>
      </w:pPr>
    </w:p>
    <w:p w:rsidR="00A12DCA" w:rsidRPr="00100BF5" w:rsidRDefault="00A12DCA" w:rsidP="00A12DCA">
      <w:pPr>
        <w:pStyle w:val="Level1Bullet-BarcRA04"/>
        <w:tabs>
          <w:tab w:val="clear" w:pos="284"/>
          <w:tab w:val="left" w:pos="720"/>
        </w:tabs>
        <w:spacing w:before="0" w:after="0"/>
        <w:ind w:left="0" w:firstLine="0"/>
        <w:rPr>
          <w:sz w:val="2"/>
          <w:szCs w:val="2"/>
          <w:lang w:val="en-GB"/>
        </w:rPr>
      </w:pPr>
    </w:p>
    <w:p w:rsidR="00A12DCA" w:rsidRPr="00100BF5" w:rsidRDefault="00A12DCA" w:rsidP="00A12DCA">
      <w:pPr>
        <w:pStyle w:val="HeadingLevel1-BarcRA8"/>
        <w:spacing w:after="120"/>
        <w:rPr>
          <w:color w:val="auto"/>
          <w:lang w:val="en-GB"/>
        </w:rPr>
      </w:pPr>
      <w:r w:rsidRPr="00100BF5">
        <w:rPr>
          <w:color w:val="auto"/>
          <w:lang w:val="en-GB"/>
        </w:rPr>
        <w:t>Exposures to Selected Eurozone Countries</w:t>
      </w:r>
    </w:p>
    <w:p w:rsidR="00A12DCA" w:rsidRPr="00100BF5" w:rsidRDefault="00882E4A" w:rsidP="004E2636">
      <w:pPr>
        <w:pStyle w:val="Level1Bullet-BarcRA03"/>
      </w:pPr>
      <w:r>
        <w:t xml:space="preserve">During H1 </w:t>
      </w:r>
      <w:r w:rsidR="00A12DCA" w:rsidRPr="00100BF5">
        <w:t>12, sovereign exposures to Spain, Italy, Portugal, Ireland,</w:t>
      </w:r>
      <w:r w:rsidR="00197647" w:rsidRPr="00100BF5">
        <w:t xml:space="preserve"> Greece and Cyprus reduced by 22% to £5.6</w:t>
      </w:r>
      <w:r w:rsidR="00A12DCA" w:rsidRPr="00100BF5">
        <w:t>bn</w:t>
      </w:r>
    </w:p>
    <w:p w:rsidR="00A12DCA" w:rsidRPr="00100BF5" w:rsidRDefault="00A12DCA" w:rsidP="004E2636">
      <w:pPr>
        <w:pStyle w:val="Level2Bullet-BarcRA2"/>
        <w:numPr>
          <w:ilvl w:val="2"/>
          <w:numId w:val="9"/>
        </w:numPr>
        <w:tabs>
          <w:tab w:val="num" w:pos="567"/>
        </w:tabs>
        <w:ind w:left="567" w:hanging="283"/>
        <w:rPr>
          <w:lang w:val="en-GB"/>
        </w:rPr>
      </w:pPr>
      <w:r w:rsidRPr="00100BF5">
        <w:rPr>
          <w:lang w:val="en-GB"/>
        </w:rPr>
        <w:t xml:space="preserve">Spanish and Portuguese sovereign exposures reduced </w:t>
      </w:r>
      <w:r w:rsidR="000F7979" w:rsidRPr="00100BF5">
        <w:rPr>
          <w:lang w:val="en-GB"/>
        </w:rPr>
        <w:t>13</w:t>
      </w:r>
      <w:r w:rsidRPr="00100BF5">
        <w:rPr>
          <w:lang w:val="en-GB"/>
        </w:rPr>
        <w:t>% to £</w:t>
      </w:r>
      <w:r w:rsidR="000F7979" w:rsidRPr="00100BF5">
        <w:rPr>
          <w:lang w:val="en-GB"/>
        </w:rPr>
        <w:t>2.2</w:t>
      </w:r>
      <w:r w:rsidRPr="00100BF5">
        <w:rPr>
          <w:lang w:val="en-GB"/>
        </w:rPr>
        <w:t xml:space="preserve">bn and </w:t>
      </w:r>
      <w:r w:rsidR="000F7979" w:rsidRPr="00100BF5">
        <w:rPr>
          <w:lang w:val="en-GB"/>
        </w:rPr>
        <w:t>27</w:t>
      </w:r>
      <w:r w:rsidRPr="00100BF5">
        <w:rPr>
          <w:lang w:val="en-GB"/>
        </w:rPr>
        <w:t>% to £0.6bn respectively due to the disposal of available for sale government bonds held for the purpose of interest rate hedging and liquidity, that have been replaced by interest rate swaps with alternative counterparties</w:t>
      </w:r>
    </w:p>
    <w:p w:rsidR="00A12DCA" w:rsidRPr="00100BF5" w:rsidRDefault="00A12DCA" w:rsidP="004E2636">
      <w:pPr>
        <w:pStyle w:val="Level2Bullet-BarcRA2"/>
        <w:numPr>
          <w:ilvl w:val="2"/>
          <w:numId w:val="9"/>
        </w:numPr>
        <w:tabs>
          <w:tab w:val="num" w:pos="567"/>
        </w:tabs>
        <w:ind w:left="567" w:hanging="283"/>
        <w:rPr>
          <w:lang w:val="en-GB"/>
        </w:rPr>
      </w:pPr>
      <w:r w:rsidRPr="00100BF5">
        <w:rPr>
          <w:lang w:val="en-GB"/>
        </w:rPr>
        <w:t>Italian sovereign</w:t>
      </w:r>
      <w:r w:rsidR="000F7979" w:rsidRPr="00100BF5">
        <w:rPr>
          <w:lang w:val="en-GB"/>
        </w:rPr>
        <w:t xml:space="preserve"> exposures decreased 27% to £2.6</w:t>
      </w:r>
      <w:r w:rsidRPr="00100BF5">
        <w:rPr>
          <w:lang w:val="en-GB"/>
        </w:rPr>
        <w:t>bn principally due to a redemption in government bonds held for trading</w:t>
      </w:r>
    </w:p>
    <w:p w:rsidR="00A12DCA" w:rsidRPr="00100BF5" w:rsidRDefault="007A2FF8" w:rsidP="004E2636">
      <w:pPr>
        <w:pStyle w:val="Level1Bullet-BarcRA03"/>
      </w:pPr>
      <w:r w:rsidRPr="00100BF5">
        <w:t>Retail loans and advances</w:t>
      </w:r>
      <w:r w:rsidR="00A12DCA" w:rsidRPr="00100BF5">
        <w:t xml:space="preserve"> in Spain, Italy and Portugal decreased 5% to £39.6bn, while lending to corporates decreased 13% to £10.0bn reflecting continued prudent risk management of portfolios. CRL coverage ratios in the retail and wholesale portfolios for Spain, Italy and Portugal have remained broadly stable</w:t>
      </w:r>
    </w:p>
    <w:p w:rsidR="00A12DCA" w:rsidRPr="00100BF5" w:rsidRDefault="00573A79" w:rsidP="004E2636">
      <w:pPr>
        <w:pStyle w:val="Level1Bullet-BarcRA03"/>
      </w:pPr>
      <w:r w:rsidRPr="00100BF5">
        <w:t xml:space="preserve">During 2012, </w:t>
      </w:r>
      <w:r w:rsidR="00A12DCA" w:rsidRPr="00100BF5">
        <w:t>mitigating actions have been taken to reduce</w:t>
      </w:r>
      <w:r w:rsidRPr="00100BF5">
        <w:t xml:space="preserve"> the</w:t>
      </w:r>
      <w:r w:rsidR="00A12DCA" w:rsidRPr="00100BF5">
        <w:t xml:space="preserve"> local net funding </w:t>
      </w:r>
      <w:r w:rsidRPr="00100BF5">
        <w:t xml:space="preserve">mismatch </w:t>
      </w:r>
      <w:r w:rsidR="00BE2E36" w:rsidRPr="00100BF5">
        <w:t xml:space="preserve">including the drawdown of </w:t>
      </w:r>
      <w:r w:rsidR="00197647" w:rsidRPr="00100BF5">
        <w:t>€8.2</w:t>
      </w:r>
      <w:r w:rsidR="00A12DCA" w:rsidRPr="00100BF5">
        <w:t xml:space="preserve">bn in the European Central Bank's </w:t>
      </w:r>
      <w:r w:rsidR="00BE2E36" w:rsidRPr="00100BF5">
        <w:t>three</w:t>
      </w:r>
      <w:r w:rsidR="00A12DCA" w:rsidRPr="00100BF5">
        <w:t xml:space="preserve"> year LTRO in Spain and Portugal and additional deposit taking in Spain. As a </w:t>
      </w:r>
      <w:r w:rsidRPr="00100BF5">
        <w:t>result,</w:t>
      </w:r>
      <w:r w:rsidR="00A12DCA" w:rsidRPr="00100BF5">
        <w:t xml:space="preserve"> the Group reduced the aggregate net </w:t>
      </w:r>
      <w:r w:rsidRPr="00100BF5">
        <w:t>local balance sheet funding mismatch</w:t>
      </w:r>
      <w:r w:rsidR="00A12DCA" w:rsidRPr="00100BF5">
        <w:t xml:space="preserve"> from £</w:t>
      </w:r>
      <w:r w:rsidR="00BE2E36" w:rsidRPr="00100BF5">
        <w:t>12.1</w:t>
      </w:r>
      <w:r w:rsidR="00A12DCA" w:rsidRPr="00100BF5">
        <w:t>bn to £</w:t>
      </w:r>
      <w:r w:rsidR="00BE2E36" w:rsidRPr="00100BF5">
        <w:t>2.5</w:t>
      </w:r>
      <w:r w:rsidR="00A12DCA" w:rsidRPr="00100BF5">
        <w:t>bn in Spain and from £</w:t>
      </w:r>
      <w:r w:rsidR="00BE2E36" w:rsidRPr="00100BF5">
        <w:t>6.9</w:t>
      </w:r>
      <w:r w:rsidR="00A12DCA" w:rsidRPr="00100BF5">
        <w:t>bn to £</w:t>
      </w:r>
      <w:r w:rsidR="00BE2E36" w:rsidRPr="00100BF5">
        <w:t>3.7</w:t>
      </w:r>
      <w:r w:rsidR="00A12DCA" w:rsidRPr="00100BF5">
        <w:t>bn in Portugal during the six months to 30 June 2012</w:t>
      </w:r>
    </w:p>
    <w:p w:rsidR="00A12DCA" w:rsidRPr="00100BF5" w:rsidRDefault="00A12DCA"/>
    <w:p w:rsidR="00A12DCA" w:rsidRPr="00100BF5" w:rsidRDefault="00A12DCA" w:rsidP="00A12DCA">
      <w:pPr>
        <w:pStyle w:val="HeadingLevel2-BarcRA"/>
        <w:spacing w:before="0" w:after="120"/>
        <w:rPr>
          <w:color w:val="auto"/>
          <w:sz w:val="24"/>
          <w:szCs w:val="24"/>
        </w:rPr>
      </w:pPr>
      <w:r w:rsidRPr="00100BF5">
        <w:rPr>
          <w:color w:val="auto"/>
          <w:sz w:val="24"/>
          <w:szCs w:val="24"/>
          <w:lang w:val="en-GB"/>
        </w:rPr>
        <w:t>Other Matters</w:t>
      </w:r>
    </w:p>
    <w:p w:rsidR="00A12DCA" w:rsidRPr="00100BF5" w:rsidRDefault="00A12DCA" w:rsidP="004E2636">
      <w:pPr>
        <w:pStyle w:val="Level1Bullet-BarcRA03"/>
        <w:rPr>
          <w:lang w:val="en-GB"/>
        </w:rPr>
      </w:pPr>
      <w:r w:rsidRPr="00100BF5">
        <w:rPr>
          <w:lang w:val="en-GB"/>
        </w:rPr>
        <w:t xml:space="preserve">In June 2012, Barclays reached settlement with the FSA and US authorities regarding investigations into submissions made by Barclays and other </w:t>
      </w:r>
      <w:r w:rsidR="005877FF" w:rsidRPr="00100BF5">
        <w:rPr>
          <w:lang w:val="en-GB"/>
        </w:rPr>
        <w:t>panel members</w:t>
      </w:r>
      <w:r w:rsidRPr="00100BF5">
        <w:rPr>
          <w:lang w:val="en-GB"/>
        </w:rPr>
        <w:t xml:space="preserve"> to the bodies that set various interbank offered rates. Barclays agreed to pay total penalties of £290m</w:t>
      </w:r>
    </w:p>
    <w:p w:rsidR="00A12DCA" w:rsidRPr="00100BF5" w:rsidRDefault="00A12DCA" w:rsidP="004E2636">
      <w:pPr>
        <w:pStyle w:val="Level1Bullet-BarcRA03"/>
        <w:rPr>
          <w:lang w:val="en-GB"/>
        </w:rPr>
      </w:pPr>
      <w:r w:rsidRPr="00100BF5">
        <w:rPr>
          <w:lang w:val="en-GB"/>
        </w:rPr>
        <w:t>Following an increase in PPI claim volumes, the PPI provision was increased by £300m in the first quarter of 2012, bringing the cumulative charge to £1,300m. Claims volumes remain unpredictable, although have recently been trending downwards. As at 30 June 2012, £894m of the total £1,300m provision had been utilised</w:t>
      </w:r>
    </w:p>
    <w:p w:rsidR="00A12DCA" w:rsidRPr="00100BF5" w:rsidRDefault="00A12DCA" w:rsidP="004E2636">
      <w:pPr>
        <w:pStyle w:val="Level1Bullet-BarcRA03"/>
        <w:rPr>
          <w:lang w:val="en-GB"/>
        </w:rPr>
      </w:pPr>
      <w:r w:rsidRPr="00100BF5">
        <w:rPr>
          <w:lang w:val="en-GB"/>
        </w:rPr>
        <w:t>On 29 June</w:t>
      </w:r>
      <w:r w:rsidR="00615370">
        <w:rPr>
          <w:lang w:val="en-GB"/>
        </w:rPr>
        <w:t xml:space="preserve"> 2012</w:t>
      </w:r>
      <w:r w:rsidRPr="00100BF5">
        <w:rPr>
          <w:lang w:val="en-GB"/>
        </w:rPr>
        <w:t>, the FSA announced that it had reached agreement with a number of UK banks (including Barclays) in relation to a review and redress exercise to be carried out in respect of interest rate hedging products sold to small and medium sized enterprises. A provision of £450m has been recognised based on initial estimates relating to the appropriate implementation of the agreement, although the ultimate cost of this exercise is uncertain</w:t>
      </w:r>
    </w:p>
    <w:p w:rsidR="00A12DCA" w:rsidRPr="00100BF5" w:rsidRDefault="00A12DCA" w:rsidP="00A12DCA">
      <w:pPr>
        <w:pStyle w:val="HeadingLevel2-BarcRA"/>
        <w:spacing w:before="180" w:after="180"/>
        <w:rPr>
          <w:color w:val="auto"/>
          <w:sz w:val="24"/>
          <w:szCs w:val="24"/>
        </w:rPr>
      </w:pPr>
      <w:r w:rsidRPr="00100BF5">
        <w:rPr>
          <w:color w:val="auto"/>
          <w:sz w:val="24"/>
          <w:szCs w:val="24"/>
        </w:rPr>
        <w:t>Dividends</w:t>
      </w:r>
    </w:p>
    <w:p w:rsidR="00A12DCA" w:rsidRPr="00100BF5" w:rsidRDefault="00A12DCA" w:rsidP="004E2636">
      <w:pPr>
        <w:pStyle w:val="Level1Bullet-BarcRA03"/>
      </w:pPr>
      <w:r w:rsidRPr="00100BF5">
        <w:t>It is our policy to declare and pay dividends on a quarterly basis. We will pay a second interim cash dividend for 2012 of 1p per share on 7 September 2012</w:t>
      </w:r>
    </w:p>
    <w:p w:rsidR="00A12DCA" w:rsidRPr="00100BF5" w:rsidRDefault="00A12DCA"/>
    <w:p w:rsidR="00A12DCA" w:rsidRPr="00100BF5" w:rsidRDefault="00A12DCA" w:rsidP="00964760">
      <w:pPr>
        <w:pStyle w:val="HeadingLevel2-BarcRA0"/>
        <w:spacing w:before="0"/>
        <w:rPr>
          <w:color w:val="auto"/>
          <w:sz w:val="24"/>
          <w:szCs w:val="24"/>
        </w:rPr>
      </w:pPr>
      <w:r w:rsidRPr="00100BF5">
        <w:rPr>
          <w:color w:val="auto"/>
          <w:sz w:val="24"/>
          <w:szCs w:val="24"/>
        </w:rPr>
        <w:lastRenderedPageBreak/>
        <w:t>Outlook</w:t>
      </w:r>
    </w:p>
    <w:p w:rsidR="0095469A" w:rsidRPr="00100BF5" w:rsidRDefault="0095469A" w:rsidP="0095469A">
      <w:pPr>
        <w:pStyle w:val="Level1Bullet-BarcRA03"/>
      </w:pPr>
      <w:r w:rsidRPr="00100BF5">
        <w:t>Performance during July</w:t>
      </w:r>
      <w:r>
        <w:rPr>
          <w:lang w:val="en-GB"/>
        </w:rPr>
        <w:t xml:space="preserve"> continues to be ahead of the prior year. Nevertheless, we</w:t>
      </w:r>
      <w:r w:rsidRPr="00100BF5">
        <w:t xml:space="preserve"> continue to be cautious about the environment in which</w:t>
      </w:r>
      <w:r>
        <w:t xml:space="preserve"> we operate and will</w:t>
      </w:r>
      <w:r w:rsidRPr="00100BF5">
        <w:t xml:space="preserve"> maintain the Group’s strong capital, </w:t>
      </w:r>
      <w:r>
        <w:t>leverage and liquidity positions</w:t>
      </w:r>
    </w:p>
    <w:p w:rsidR="002461E7" w:rsidRPr="00100BF5" w:rsidRDefault="002461E7" w:rsidP="00EB15FE">
      <w:pPr>
        <w:pStyle w:val="Normal400"/>
        <w:jc w:val="both"/>
      </w:pPr>
    </w:p>
    <w:p w:rsidR="00A12DCA" w:rsidRPr="00EB15FE" w:rsidRDefault="00A12DCA" w:rsidP="00EB15FE">
      <w:pPr>
        <w:pStyle w:val="Normal400"/>
        <w:jc w:val="both"/>
        <w:rPr>
          <w:b/>
          <w:bCs/>
          <w:sz w:val="20"/>
          <w:szCs w:val="20"/>
          <w:lang w:val="la-Latn"/>
        </w:rPr>
      </w:pPr>
      <w:r w:rsidRPr="00EB15FE">
        <w:rPr>
          <w:b/>
          <w:bCs/>
          <w:sz w:val="20"/>
          <w:szCs w:val="20"/>
          <w:lang w:val="la-Latn"/>
        </w:rPr>
        <w:t>Chris Lucas, Group Finance Director</w:t>
      </w:r>
    </w:p>
    <w:p w:rsidR="00A12DCA" w:rsidRPr="00100BF5" w:rsidRDefault="00A12DCA">
      <w:pPr>
        <w:rPr>
          <w:lang w:val="en-GB"/>
        </w:rPr>
        <w:sectPr w:rsidR="00A12DCA" w:rsidRPr="00100BF5" w:rsidSect="00E100EB">
          <w:headerReference w:type="default" r:id="rId19"/>
          <w:pgSz w:w="11905" w:h="16837"/>
          <w:pgMar w:top="851" w:right="1134" w:bottom="567" w:left="1134" w:header="851" w:footer="567" w:gutter="0"/>
          <w:cols w:space="708"/>
        </w:sectPr>
      </w:pPr>
    </w:p>
    <w:p w:rsidR="005F437E" w:rsidRPr="005F437E" w:rsidRDefault="005F437E" w:rsidP="005F437E">
      <w:pPr>
        <w:pStyle w:val="HeadingLevel1-BarcRA"/>
      </w:pPr>
      <w:r>
        <w:lastRenderedPageBreak/>
        <w:t>Barclays Results by Quarter</w:t>
      </w:r>
    </w:p>
    <w:tbl>
      <w:tblPr>
        <w:tblW w:w="0" w:type="auto"/>
        <w:tblLayout w:type="fixed"/>
        <w:tblLook w:val="0000" w:firstRow="0" w:lastRow="0" w:firstColumn="0" w:lastColumn="0" w:noHBand="0" w:noVBand="0"/>
      </w:tblPr>
      <w:tblGrid>
        <w:gridCol w:w="4500"/>
        <w:gridCol w:w="840"/>
        <w:gridCol w:w="840"/>
        <w:gridCol w:w="135"/>
        <w:gridCol w:w="840"/>
        <w:gridCol w:w="840"/>
        <w:gridCol w:w="840"/>
        <w:gridCol w:w="840"/>
      </w:tblGrid>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lang w:val="en-GB"/>
              </w:rPr>
            </w:pPr>
            <w:r w:rsidRPr="00100BF5">
              <w:rPr>
                <w:b/>
                <w:sz w:val="20"/>
                <w:lang w:val="en-GB"/>
              </w:rPr>
              <w:t>Barclays Results by Quarter</w:t>
            </w:r>
            <w:r w:rsidRPr="00100BF5">
              <w:rPr>
                <w:sz w:val="20"/>
                <w:vertAlign w:val="superscript"/>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20"/>
                <w:vertAlign w:val="superscript"/>
                <w:lang w:val="en-GB"/>
              </w:rPr>
            </w:pPr>
            <w:r w:rsidRPr="00100BF5">
              <w:rPr>
                <w:b/>
                <w:sz w:val="16"/>
                <w:lang w:val="en-GB"/>
              </w:rPr>
              <w:t>Q212</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Q112</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Q411</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Q311</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Q211</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Q111</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sz w:val="16"/>
                <w:lang w:val="en-GB"/>
              </w:rPr>
              <w:t xml:space="preserve"> </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 xml:space="preserve">Adjusted basis </w:t>
            </w:r>
            <w:r w:rsidRPr="00100BF5">
              <w:rPr>
                <w:sz w:val="16"/>
                <w:vertAlign w:val="superscript"/>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Total income net of insurance claims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7,337 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8,138 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6,212 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7,001 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7,549 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7,750 </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Credit impairment charges and other provisions </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(1,054)</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(778)</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(951)</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(1,023)</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(907)</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(921)</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 xml:space="preserve">Net operating income </w:t>
            </w:r>
            <w:r w:rsidRPr="00100BF5">
              <w:rPr>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6,283 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7,360 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5,261 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5,978 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6,642 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6,829 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Operating expenses (excluding UK bank levy)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(4,542)</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(4,949)</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(4,414)</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(4,659)</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(4,940)</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(4,842)</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UK bank levy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(325)</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Other net income</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41 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34 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18 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19 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17 </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 xml:space="preserve">Adjusted profit before tax </w:t>
            </w:r>
            <w:r w:rsidRPr="00100BF5">
              <w:rPr>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1,782 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2,445 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528 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1,337 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1,721 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2,004 </w:t>
            </w:r>
          </w:p>
        </w:tc>
      </w:tr>
      <w:tr w:rsidR="00A12DCA" w:rsidRPr="00100BF5" w:rsidTr="00A81991">
        <w:tblPrEx>
          <w:tblCellMar>
            <w:top w:w="0" w:type="dxa"/>
            <w:bottom w:w="0" w:type="dxa"/>
          </w:tblCellMar>
        </w:tblPrEx>
        <w:trPr>
          <w:trHeight w:hRule="exac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sz w:val="16"/>
                <w:vertAlign w:val="superscript"/>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Adjusting items </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Own credit </w:t>
            </w:r>
            <w:r w:rsidRPr="00100BF5">
              <w:rPr>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(325)</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(2,620)</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(263)</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2,882 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440 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(351)</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Gains on debt buy-backs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1,130 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Impairment and gain/(loss) on disposal of BlackRock investment</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227 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(1,800)</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(58)</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55"/>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Provision for PPI redress</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(300)</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(1,000)</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55"/>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Provision for interest rate hedging products redress</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(450)</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Goodwill impairment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(550)</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(47)</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(Losses)/gains on acquisitions and disposals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(32)</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(67)</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2 </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Statutory profit/(loss) before tax</w:t>
            </w:r>
            <w:r w:rsidRPr="00100BF5">
              <w:rPr>
                <w:b/>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1,234 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(475)</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813 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2,422 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989 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1,655 </w:t>
            </w:r>
          </w:p>
        </w:tc>
      </w:tr>
      <w:tr w:rsidR="00A12DCA" w:rsidRPr="00100BF5" w:rsidTr="00A81991">
        <w:tblPrEx>
          <w:tblCellMar>
            <w:top w:w="0" w:type="dxa"/>
            <w:bottom w:w="0" w:type="dxa"/>
          </w:tblCellMar>
        </w:tblPrEx>
        <w:trPr>
          <w:trHeight w:hRule="exac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r w:rsidRPr="00100BF5">
              <w:rPr>
                <w:sz w:val="16"/>
                <w:vertAlign w:val="superscript"/>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Adjusted basic earnings per share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8.2p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13.6p</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1.2p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6.9p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8.9p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10.7p</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Adjusted cost: income ratio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62%</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61%</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76%</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67%</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65%</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62%</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Basic earnings per share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5.1p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(4.5p)</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2.9p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9.7p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4.0p</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8.5p</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Cost: income ratio </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69%</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95%</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75%</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47%</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75%</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65%</w:t>
            </w:r>
          </w:p>
        </w:tc>
      </w:tr>
      <w:tr w:rsidR="00A12DCA" w:rsidRPr="00100BF5">
        <w:tblPrEx>
          <w:tblCellMar>
            <w:top w:w="0" w:type="dxa"/>
            <w:bottom w:w="0" w:type="dxa"/>
          </w:tblCellMar>
        </w:tblPrEx>
        <w:trPr>
          <w:trHeight w:hRule="exac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r>
    </w:tbl>
    <w:p w:rsidR="00A12DCA" w:rsidRPr="00100BF5" w:rsidRDefault="00A12DCA">
      <w:pPr>
        <w:rPr>
          <w:lang w:val="en-GB"/>
        </w:rPr>
      </w:pPr>
    </w:p>
    <w:tbl>
      <w:tblPr>
        <w:tblW w:w="0" w:type="auto"/>
        <w:tblLayout w:type="fixed"/>
        <w:tblLook w:val="0000" w:firstRow="0" w:lastRow="0" w:firstColumn="0" w:lastColumn="0" w:noHBand="0" w:noVBand="0"/>
      </w:tblPr>
      <w:tblGrid>
        <w:gridCol w:w="4500"/>
        <w:gridCol w:w="840"/>
        <w:gridCol w:w="840"/>
        <w:gridCol w:w="135"/>
        <w:gridCol w:w="840"/>
        <w:gridCol w:w="840"/>
        <w:gridCol w:w="840"/>
        <w:gridCol w:w="840"/>
      </w:tblGrid>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lang w:val="en-GB"/>
              </w:rPr>
            </w:pPr>
            <w:r w:rsidRPr="00100BF5">
              <w:rPr>
                <w:b/>
                <w:sz w:val="20"/>
                <w:lang w:val="en-GB"/>
              </w:rPr>
              <w:t>Adjusted Profit/(Loss) Before Tax by Business</w:t>
            </w:r>
            <w:r w:rsidRPr="00100BF5">
              <w:rPr>
                <w:sz w:val="16"/>
                <w:vertAlign w:val="superscript"/>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Q212</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Q112</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Q411</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Q311</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Q211</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Q111</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20"/>
                <w:lang w:val="en-GB"/>
              </w:rPr>
              <w:t xml:space="preserve"> </w:t>
            </w:r>
            <w:r w:rsidRPr="00100BF5">
              <w:rPr>
                <w:b/>
                <w:sz w:val="18"/>
                <w:vertAlign w:val="superscript"/>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8"/>
                <w:vertAlign w:val="superscript"/>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r>
      <w:tr w:rsidR="00A12DCA" w:rsidRPr="00100BF5" w:rsidTr="00A81991">
        <w:tblPrEx>
          <w:tblCellMar>
            <w:top w:w="0" w:type="dxa"/>
            <w:bottom w:w="0" w:type="dxa"/>
          </w:tblCellMar>
        </w:tblPrEx>
        <w:trPr>
          <w:trHeight w:val="255"/>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UK</w:t>
            </w:r>
            <w:r w:rsidRPr="00100BF5">
              <w:rPr>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412 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334 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222 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494 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416 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288 </w:t>
            </w:r>
          </w:p>
        </w:tc>
      </w:tr>
      <w:tr w:rsidR="00A12DCA" w:rsidRPr="00100BF5" w:rsidTr="00A81991">
        <w:tblPrEx>
          <w:tblCellMar>
            <w:top w:w="0" w:type="dxa"/>
            <w:bottom w:w="0" w:type="dxa"/>
          </w:tblCellMar>
        </w:tblPrEx>
        <w:trPr>
          <w:trHeight w:val="255"/>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Europe</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(49)</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(43)</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(125)</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52 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(102)</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(59)</w:t>
            </w:r>
          </w:p>
        </w:tc>
      </w:tr>
      <w:tr w:rsidR="00A12DCA" w:rsidRPr="00100BF5" w:rsidTr="00A81991">
        <w:tblPrEx>
          <w:tblCellMar>
            <w:top w:w="0" w:type="dxa"/>
            <w:bottom w:w="0" w:type="dxa"/>
          </w:tblCellMar>
        </w:tblPrEx>
        <w:trPr>
          <w:trHeight w:val="255"/>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Africa</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97 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177 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269 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219 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195 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147 </w:t>
            </w:r>
          </w:p>
        </w:tc>
      </w:tr>
      <w:tr w:rsidR="00A12DCA" w:rsidRPr="00100BF5" w:rsidTr="00A81991">
        <w:tblPrEx>
          <w:tblCellMar>
            <w:top w:w="0" w:type="dxa"/>
            <w:bottom w:w="0" w:type="dxa"/>
          </w:tblCellMar>
        </w:tblPrEx>
        <w:trPr>
          <w:trHeight w:val="255"/>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Barclaycard</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404 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349 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b/>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sz w:val="16"/>
                <w:lang w:val="en-GB"/>
              </w:rPr>
              <w:t>259 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378 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275 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296 </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Retail and Business Banking</w:t>
            </w:r>
            <w:r w:rsidRPr="00100BF5">
              <w:rPr>
                <w:b/>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864 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817 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625 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1,143 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784 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672 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Investment Bank</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1,002 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1,266 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267 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388 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977 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1,333 </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Corporate Banking</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127 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219 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37 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113 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33 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21 </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Corporate and Investment Banking</w:t>
            </w:r>
            <w:r w:rsidRPr="00100BF5">
              <w:rPr>
                <w:b/>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1,129 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1,485 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304 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501 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1,010 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1,354 </w:t>
            </w:r>
          </w:p>
        </w:tc>
      </w:tr>
      <w:tr w:rsidR="00A12DCA" w:rsidRPr="00100BF5" w:rsidTr="00A81991">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Wealth and Investment Management</w:t>
            </w:r>
            <w:r w:rsidRPr="00100BF5">
              <w:rPr>
                <w:sz w:val="16"/>
                <w:vertAlign w:val="superscript"/>
                <w:lang w:val="en-GB"/>
              </w:rPr>
              <w:t xml:space="preserve"> </w:t>
            </w:r>
          </w:p>
        </w:tc>
        <w:tc>
          <w:tcPr>
            <w:tcW w:w="84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61 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60 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54 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65 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42 </w:t>
            </w:r>
          </w:p>
        </w:tc>
        <w:tc>
          <w:tcPr>
            <w:tcW w:w="84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46 </w:t>
            </w:r>
          </w:p>
        </w:tc>
      </w:tr>
      <w:tr w:rsidR="00A12DCA" w:rsidRPr="00100BF5" w:rsidTr="00A81991">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Head Office and Other Operations</w:t>
            </w:r>
            <w:r w:rsidRPr="00100BF5">
              <w:rPr>
                <w:sz w:val="16"/>
                <w:vertAlign w:val="superscript"/>
                <w:lang w:val="en-GB"/>
              </w:rPr>
              <w:t xml:space="preserve"> </w:t>
            </w:r>
          </w:p>
        </w:tc>
        <w:tc>
          <w:tcPr>
            <w:tcW w:w="84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(272)</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83 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(455)</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(372)</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(115)</w:t>
            </w:r>
          </w:p>
        </w:tc>
        <w:tc>
          <w:tcPr>
            <w:tcW w:w="8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(68)</w:t>
            </w:r>
          </w:p>
        </w:tc>
      </w:tr>
      <w:tr w:rsidR="00A12DCA" w:rsidRPr="00100BF5" w:rsidTr="00A81991">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Total profit before tax</w:t>
            </w:r>
            <w:r w:rsidRPr="00100BF5">
              <w:rPr>
                <w:b/>
                <w:sz w:val="16"/>
                <w:vertAlign w:val="superscript"/>
                <w:lang w:val="en-GB"/>
              </w:rPr>
              <w:t xml:space="preserve"> </w:t>
            </w:r>
          </w:p>
        </w:tc>
        <w:tc>
          <w:tcPr>
            <w:tcW w:w="8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1,782 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2,445 </w:t>
            </w:r>
          </w:p>
        </w:tc>
        <w:tc>
          <w:tcPr>
            <w:tcW w:w="13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528 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1,337 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1,721 </w:t>
            </w:r>
          </w:p>
        </w:tc>
        <w:tc>
          <w:tcPr>
            <w:tcW w:w="8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2,004 </w:t>
            </w:r>
          </w:p>
        </w:tc>
      </w:tr>
    </w:tbl>
    <w:p w:rsidR="00A12DCA" w:rsidRPr="00100BF5" w:rsidRDefault="00A12DCA">
      <w:pPr>
        <w:rPr>
          <w:lang w:val="en-GB"/>
        </w:rPr>
        <w:sectPr w:rsidR="00A12DCA" w:rsidRPr="00100BF5" w:rsidSect="00E100EB">
          <w:headerReference w:type="default" r:id="rId20"/>
          <w:pgSz w:w="11905" w:h="16837"/>
          <w:pgMar w:top="851" w:right="1134" w:bottom="567" w:left="1134" w:header="851" w:footer="567" w:gutter="0"/>
          <w:cols w:space="708"/>
        </w:sectPr>
      </w:pPr>
    </w:p>
    <w:p w:rsidR="005F437E" w:rsidRPr="005F437E" w:rsidRDefault="005F437E" w:rsidP="005F437E">
      <w:pPr>
        <w:pStyle w:val="HeadingLevel1-BarcRA"/>
      </w:pPr>
      <w:r>
        <w:lastRenderedPageBreak/>
        <w:t>Condensed Consolidated Financial Statements</w:t>
      </w:r>
    </w:p>
    <w:tbl>
      <w:tblPr>
        <w:tblW w:w="0" w:type="auto"/>
        <w:tblLayout w:type="fixed"/>
        <w:tblLook w:val="0000" w:firstRow="0" w:lastRow="0" w:firstColumn="0" w:lastColumn="0" w:noHBand="0" w:noVBand="0"/>
      </w:tblPr>
      <w:tblGrid>
        <w:gridCol w:w="5715"/>
        <w:gridCol w:w="600"/>
        <w:gridCol w:w="1110"/>
        <w:gridCol w:w="1110"/>
        <w:gridCol w:w="1110"/>
      </w:tblGrid>
      <w:tr w:rsidR="000810BB" w:rsidRPr="00100BF5" w:rsidTr="00D6745F">
        <w:tblPrEx>
          <w:tblCellMar>
            <w:top w:w="0" w:type="dxa"/>
            <w:bottom w:w="0" w:type="dxa"/>
          </w:tblCellMar>
        </w:tblPrEx>
        <w:trPr>
          <w:trHeight w:val="315"/>
        </w:trPr>
        <w:tc>
          <w:tcPr>
            <w:tcW w:w="9645" w:type="dxa"/>
            <w:gridSpan w:val="5"/>
            <w:tcBorders>
              <w:top w:val="nil"/>
              <w:left w:val="nil"/>
              <w:bottom w:val="nil"/>
              <w:right w:val="nil"/>
            </w:tcBorders>
            <w:shd w:val="clear" w:color="auto" w:fill="FFFFFF"/>
            <w:tcMar>
              <w:left w:w="36" w:type="dxa"/>
              <w:right w:w="36" w:type="dxa"/>
            </w:tcMar>
            <w:vAlign w:val="center"/>
          </w:tcPr>
          <w:p w:rsidR="00A12DCA" w:rsidRPr="00100BF5" w:rsidRDefault="00A12DCA">
            <w:pPr>
              <w:rPr>
                <w:lang w:val="en-GB"/>
              </w:rPr>
            </w:pPr>
            <w:r w:rsidRPr="00100BF5">
              <w:rPr>
                <w:b/>
                <w:sz w:val="24"/>
                <w:lang w:val="en-GB"/>
              </w:rPr>
              <w:t>Condensed Consolidated Income Statement (Unaudited)</w:t>
            </w:r>
          </w:p>
        </w:tc>
      </w:tr>
      <w:tr w:rsidR="00A12DCA" w:rsidRPr="00100BF5">
        <w:tblPrEx>
          <w:tblCellMar>
            <w:top w:w="0" w:type="dxa"/>
            <w:bottom w:w="0" w:type="dxa"/>
          </w:tblCellMar>
        </w:tblPrEx>
        <w:trPr>
          <w:trHeight w:val="51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lang w:val="en-GB"/>
              </w:rPr>
            </w:pPr>
            <w:r w:rsidRPr="00100BF5">
              <w:rPr>
                <w:b/>
                <w:sz w:val="16"/>
                <w:lang w:val="en-GB"/>
              </w:rPr>
              <w:t xml:space="preserve"> </w:t>
            </w:r>
            <w:r w:rsidRPr="00100BF5">
              <w:rPr>
                <w:b/>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b/>
                <w:sz w:val="16"/>
                <w:lang w:val="en-GB"/>
              </w:rPr>
              <w:t>Half Year Ended</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Half Year Ended</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Half Year Ended</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b/>
                <w:sz w:val="16"/>
                <w:lang w:val="en-GB"/>
              </w:rPr>
            </w:pPr>
            <w:r w:rsidRPr="00100BF5">
              <w:rPr>
                <w:b/>
                <w:sz w:val="16"/>
                <w:lang w:val="en-GB"/>
              </w:rPr>
              <w:t>Continuing Operations</w:t>
            </w:r>
            <w:r w:rsidRPr="00100BF5">
              <w:rPr>
                <w:b/>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30.06.12</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31.12.11</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30.06.11</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b/>
                <w:sz w:val="16"/>
                <w:lang w:val="en-GB"/>
              </w:rPr>
            </w:pPr>
            <w:r w:rsidRPr="00100BF5">
              <w:rPr>
                <w:sz w:val="16"/>
                <w:lang w:val="en-GB"/>
              </w:rPr>
              <w:t xml:space="preserve"> </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Notes</w:t>
            </w:r>
            <w:r w:rsidRPr="00100BF5">
              <w:rPr>
                <w:sz w:val="16"/>
                <w:vertAlign w:val="superscript"/>
                <w:lang w:val="en-GB"/>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£m</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Net interest income</w:t>
            </w:r>
            <w:r w:rsidRPr="00100BF5">
              <w:rPr>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2</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6,112 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6,012 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6,189 </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Net fee and commission income</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4,249 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4,203 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4,419 </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Net trading income</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7C49A8">
            <w:pPr>
              <w:jc w:val="right"/>
              <w:rPr>
                <w:sz w:val="16"/>
                <w:vertAlign w:val="superscript"/>
                <w:lang w:val="en-GB"/>
              </w:rPr>
            </w:pPr>
            <w:r w:rsidRPr="00100BF5">
              <w:rPr>
                <w:sz w:val="16"/>
                <w:lang w:val="en-GB"/>
              </w:rPr>
              <w:t>1,</w:t>
            </w:r>
            <w:r w:rsidR="00A82944" w:rsidRPr="00100BF5">
              <w:rPr>
                <w:sz w:val="16"/>
                <w:lang w:val="en-GB"/>
              </w:rPr>
              <w:t>58</w:t>
            </w:r>
            <w:r w:rsidR="007C49A8" w:rsidRPr="00100BF5">
              <w:rPr>
                <w:sz w:val="16"/>
                <w:lang w:val="en-GB"/>
              </w:rPr>
              <w:t>4</w:t>
            </w:r>
            <w:r w:rsidRPr="00100BF5">
              <w:rPr>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3,764 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3,896 </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Net investment income</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371 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1,711 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652 </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Net premiums from insurance contracts</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516 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507 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569 </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Net gain/(loss) on disposal of investment in BlackRock, Inc.</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227 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(58)</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Gains on debt buy-backs and extinguishments</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1,130 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lang w:val="en-GB"/>
              </w:rPr>
            </w:pPr>
            <w:r w:rsidRPr="00100BF5">
              <w:rPr>
                <w:sz w:val="16"/>
                <w:lang w:val="en-GB"/>
              </w:rPr>
              <w:t>Other income/(expense)</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82944" w:rsidP="007C49A8">
            <w:pPr>
              <w:jc w:val="right"/>
              <w:rPr>
                <w:sz w:val="16"/>
                <w:vertAlign w:val="superscript"/>
                <w:lang w:val="en-GB"/>
              </w:rPr>
            </w:pPr>
            <w:r w:rsidRPr="00100BF5">
              <w:rPr>
                <w:sz w:val="16"/>
                <w:lang w:val="en-GB"/>
              </w:rPr>
              <w:t>6</w:t>
            </w:r>
            <w:r w:rsidR="007C49A8" w:rsidRPr="00100BF5">
              <w:rPr>
                <w:sz w:val="16"/>
                <w:lang w:val="en-GB"/>
              </w:rPr>
              <w:t>1</w:t>
            </w:r>
            <w:r w:rsidR="00A12DCA" w:rsidRPr="00100BF5">
              <w:rPr>
                <w:sz w:val="16"/>
                <w:lang w:val="en-GB"/>
              </w:rPr>
              <w:t>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(21)</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60 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b/>
                <w:sz w:val="16"/>
                <w:lang w:val="en-GB"/>
              </w:rPr>
              <w:t xml:space="preserve">Total income </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13,120 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17,306 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15,727 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b/>
                <w:sz w:val="16"/>
                <w:lang w:val="en-GB"/>
              </w:rPr>
            </w:pPr>
            <w:r w:rsidRPr="00100BF5">
              <w:rPr>
                <w:sz w:val="16"/>
                <w:lang w:val="en-GB"/>
              </w:rPr>
              <w:t>Net claims and benefits incurred on insurance contracts</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(363)</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(344)</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(397)</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b/>
                <w:sz w:val="16"/>
                <w:lang w:val="en-GB"/>
              </w:rPr>
              <w:t>Total income net of insurance claims</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12,757 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16,962 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15,330 </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b/>
                <w:sz w:val="16"/>
                <w:lang w:val="en-GB"/>
              </w:rPr>
            </w:pPr>
            <w:r w:rsidRPr="00100BF5">
              <w:rPr>
                <w:sz w:val="16"/>
                <w:lang w:val="en-GB"/>
              </w:rPr>
              <w:t>Credit impairment charges and other provisions</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(1,832)</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(1,974)</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(1,828)</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sz w:val="16"/>
                <w:lang w:val="en-GB"/>
              </w:rPr>
              <w:t>Impairment of investment in BlackRock, Inc.</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(1,800)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lang w:val="en-GB"/>
              </w:rPr>
            </w:pPr>
            <w:r w:rsidRPr="00100BF5">
              <w:rPr>
                <w:b/>
                <w:sz w:val="16"/>
                <w:lang w:val="en-GB"/>
              </w:rPr>
              <w:t>Net operating income</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10,925 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13,188 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13,502 </w:t>
            </w:r>
          </w:p>
        </w:tc>
      </w:tr>
      <w:tr w:rsidR="00A12DCA" w:rsidRPr="00100BF5" w:rsidTr="00A81991">
        <w:tblPrEx>
          <w:tblCellMar>
            <w:top w:w="0" w:type="dxa"/>
            <w:bottom w:w="0" w:type="dxa"/>
          </w:tblCellMar>
        </w:tblPrEx>
        <w:trPr>
          <w:trHeight w:hRule="exac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Staff costs</w:t>
            </w:r>
            <w:r w:rsidRPr="00100BF5">
              <w:rPr>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3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(5,469)</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(5,297)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(6,110)</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Administration and general expenses</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4</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(3,474)</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(3,232)</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(3,124)</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Depreciation of property, plant and equipment</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(337)</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(322)</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(351)</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Amortisation of intangible assets</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(211)</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(222)</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(197)</w:t>
            </w:r>
          </w:p>
        </w:tc>
      </w:tr>
      <w:tr w:rsidR="00A12DCA" w:rsidRPr="00100BF5" w:rsidTr="00A81991">
        <w:tblPrEx>
          <w:tblCellMar>
            <w:top w:w="0" w:type="dxa"/>
            <w:bottom w:w="0" w:type="dxa"/>
          </w:tblCellMar>
        </w:tblPrEx>
        <w:trPr>
          <w:trHeight w:val="48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Operating expenses excluding goodwill impairment, UK bank levy and provisions for PPI and interest rate hedging products redress</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(9,491)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(9,073)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(9,782)</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Goodwill impairment</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(550)</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(47)</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Provision for PPI redress</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(300)</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(1,000)</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Provision for interest rate hedging products redress</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(450)</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UK bank levy</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(325)</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Operating expenses</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b/>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(10,241)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(9,948)</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(10,829)</w:t>
            </w:r>
          </w:p>
        </w:tc>
      </w:tr>
      <w:tr w:rsidR="00A12DCA" w:rsidRPr="00100BF5" w:rsidTr="00A81991">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r>
      <w:tr w:rsidR="00D6745F" w:rsidRPr="00100BF5" w:rsidTr="00A81991">
        <w:tblPrEx>
          <w:tblCellMar>
            <w:top w:w="0" w:type="dxa"/>
            <w:bottom w:w="0" w:type="dxa"/>
          </w:tblCellMar>
        </w:tblPrEx>
        <w:trPr>
          <w:trHeight w:val="240"/>
        </w:trPr>
        <w:tc>
          <w:tcPr>
            <w:tcW w:w="5715" w:type="dxa"/>
            <w:tcBorders>
              <w:left w:val="nil"/>
              <w:bottom w:val="single" w:sz="6" w:space="0" w:color="969696"/>
              <w:right w:val="nil"/>
            </w:tcBorders>
            <w:shd w:val="clear" w:color="auto" w:fill="FFFFFF"/>
            <w:tcMar>
              <w:left w:w="36" w:type="dxa"/>
              <w:right w:w="36" w:type="dxa"/>
            </w:tcMar>
            <w:vAlign w:val="center"/>
          </w:tcPr>
          <w:p w:rsidR="00D6745F" w:rsidRPr="00100BF5" w:rsidRDefault="00615370" w:rsidP="00615370">
            <w:pPr>
              <w:pStyle w:val="PlainText"/>
              <w:rPr>
                <w:rFonts w:ascii="Expert Sans Regular" w:eastAsia="Expert Sans Regular" w:hAnsi="Expert Sans Regular" w:cs="Expert Sans Regular"/>
                <w:sz w:val="16"/>
                <w:szCs w:val="24"/>
              </w:rPr>
            </w:pPr>
            <w:r>
              <w:rPr>
                <w:rFonts w:ascii="Expert Sans Regular" w:eastAsia="Expert Sans Regular" w:hAnsi="Expert Sans Regular" w:cs="Expert Sans Regular"/>
                <w:sz w:val="16"/>
                <w:szCs w:val="24"/>
              </w:rPr>
              <w:t>Profit</w:t>
            </w:r>
            <w:r w:rsidR="00D6745F" w:rsidRPr="00100BF5">
              <w:rPr>
                <w:rFonts w:ascii="Expert Sans Regular" w:eastAsia="Expert Sans Regular" w:hAnsi="Expert Sans Regular" w:cs="Expert Sans Regular"/>
                <w:sz w:val="16"/>
                <w:szCs w:val="24"/>
              </w:rPr>
              <w:t>/(loss) on disposals of undertakings and share of results of associates and joint ventures</w:t>
            </w:r>
          </w:p>
        </w:tc>
        <w:tc>
          <w:tcPr>
            <w:tcW w:w="60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center"/>
              <w:rPr>
                <w:sz w:val="16"/>
                <w:lang w:val="en-GB"/>
              </w:rPr>
            </w:pPr>
          </w:p>
        </w:tc>
        <w:tc>
          <w:tcPr>
            <w:tcW w:w="111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rsidP="00A81991">
            <w:pPr>
              <w:jc w:val="right"/>
              <w:rPr>
                <w:sz w:val="16"/>
                <w:lang w:val="en-GB"/>
              </w:rPr>
            </w:pPr>
            <w:r w:rsidRPr="00100BF5">
              <w:rPr>
                <w:sz w:val="16"/>
                <w:lang w:val="en-GB"/>
              </w:rPr>
              <w:t>75</w:t>
            </w:r>
          </w:p>
        </w:tc>
        <w:tc>
          <w:tcPr>
            <w:tcW w:w="111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A81991">
            <w:pPr>
              <w:jc w:val="right"/>
              <w:rPr>
                <w:sz w:val="16"/>
                <w:lang w:val="en-GB"/>
              </w:rPr>
            </w:pPr>
            <w:r w:rsidRPr="00100BF5">
              <w:rPr>
                <w:sz w:val="16"/>
                <w:lang w:val="en-GB"/>
              </w:rPr>
              <w:t>(5)</w:t>
            </w:r>
          </w:p>
        </w:tc>
        <w:tc>
          <w:tcPr>
            <w:tcW w:w="111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A81991">
            <w:pPr>
              <w:jc w:val="right"/>
              <w:rPr>
                <w:sz w:val="16"/>
                <w:lang w:val="en-GB"/>
              </w:rPr>
            </w:pPr>
            <w:r w:rsidRPr="00100BF5">
              <w:rPr>
                <w:sz w:val="16"/>
                <w:lang w:val="en-GB"/>
              </w:rPr>
              <w:t>(29)</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Profit before tax</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759 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3,235 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2,644 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Tax</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6</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(279)</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(1,267)</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(661)</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Profit after tax</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480 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1,968 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1,983 </w:t>
            </w:r>
          </w:p>
        </w:tc>
      </w:tr>
      <w:tr w:rsidR="00A12DCA" w:rsidRPr="00100BF5" w:rsidTr="00A81991">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Attributable to:</w:t>
            </w:r>
            <w:r w:rsidRPr="00100BF5">
              <w:rPr>
                <w:b/>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b/>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 xml:space="preserve">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Equity holders of the parent</w:t>
            </w:r>
            <w:r w:rsidRPr="00100BF5">
              <w:rPr>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70 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1,509 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1,498 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Non-controlling interests</w:t>
            </w:r>
            <w:r w:rsidRPr="00100BF5">
              <w:rPr>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7</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410 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459 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485 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Profit after tax</w:t>
            </w:r>
            <w:r w:rsidRPr="00100BF5">
              <w:rPr>
                <w:b/>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b/>
                <w:sz w:val="16"/>
                <w:vertAlign w:val="superscript"/>
                <w:lang w:val="en-GB"/>
              </w:rPr>
            </w:pPr>
            <w:r w:rsidRPr="00100BF5">
              <w:rPr>
                <w:b/>
                <w:sz w:val="16"/>
                <w:lang w:val="en-GB"/>
              </w:rPr>
              <w:t>480 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1,968 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lang w:val="en-GB"/>
              </w:rPr>
            </w:pPr>
            <w:r w:rsidRPr="00100BF5">
              <w:rPr>
                <w:b/>
                <w:sz w:val="16"/>
                <w:lang w:val="en-GB"/>
              </w:rPr>
              <w:t>1,983 </w:t>
            </w:r>
          </w:p>
        </w:tc>
      </w:tr>
      <w:tr w:rsidR="00A12DCA" w:rsidRPr="00100BF5" w:rsidTr="00A81991">
        <w:tblPrEx>
          <w:tblCellMar>
            <w:top w:w="0" w:type="dxa"/>
            <w:bottom w:w="0" w:type="dxa"/>
          </w:tblCellMar>
        </w:tblPrEx>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r>
      <w:tr w:rsidR="00A12DCA" w:rsidRPr="00100BF5" w:rsidTr="00A81991">
        <w:tblPrEx>
          <w:tblCellMar>
            <w:top w:w="0" w:type="dxa"/>
            <w:bottom w:w="0" w:type="dxa"/>
          </w:tblCellMar>
        </w:tblPrEx>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Earnings per Share from Continuing Operations</w:t>
            </w:r>
            <w:r w:rsidRPr="00100BF5">
              <w:rPr>
                <w:b/>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 xml:space="preserve"> </w:t>
            </w:r>
          </w:p>
        </w:tc>
      </w:tr>
      <w:tr w:rsidR="00A12DCA" w:rsidRPr="00100BF5" w:rsidTr="00A81991">
        <w:tblPrEx>
          <w:tblCellMar>
            <w:top w:w="0" w:type="dxa"/>
            <w:bottom w:w="0" w:type="dxa"/>
          </w:tblCellMar>
        </w:tblPrEx>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Basic earnings per ordinary share</w:t>
            </w:r>
            <w:r w:rsidRPr="00100BF5">
              <w:rPr>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8</w:t>
            </w:r>
            <w:r w:rsidRPr="00100BF5">
              <w:rPr>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0.6p</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12.6p</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12.5p</w:t>
            </w:r>
          </w:p>
        </w:tc>
      </w:tr>
      <w:tr w:rsidR="00A12DCA" w:rsidRPr="00100BF5" w:rsidTr="00A81991">
        <w:tblPrEx>
          <w:tblCellMar>
            <w:top w:w="0" w:type="dxa"/>
            <w:bottom w:w="0" w:type="dxa"/>
          </w:tblCellMar>
        </w:tblPrEx>
        <w:trPr>
          <w:trHeight w:val="240"/>
        </w:trPr>
        <w:tc>
          <w:tcPr>
            <w:tcW w:w="57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Diluted earnings per ordinary share</w:t>
            </w:r>
            <w:r w:rsidRPr="00100BF5">
              <w:rPr>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sz w:val="16"/>
                <w:lang w:val="en-GB"/>
              </w:rPr>
              <w:t>8</w:t>
            </w:r>
            <w:r w:rsidRPr="00100BF5">
              <w:rPr>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rsidP="00A81991">
            <w:pPr>
              <w:jc w:val="right"/>
              <w:rPr>
                <w:sz w:val="16"/>
                <w:vertAlign w:val="superscript"/>
                <w:lang w:val="en-GB"/>
              </w:rPr>
            </w:pPr>
            <w:r w:rsidRPr="00100BF5">
              <w:rPr>
                <w:sz w:val="16"/>
                <w:lang w:val="en-GB"/>
              </w:rPr>
              <w:t>0.6p</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12.1p</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lang w:val="en-GB"/>
              </w:rPr>
            </w:pPr>
            <w:r w:rsidRPr="00100BF5">
              <w:rPr>
                <w:sz w:val="16"/>
                <w:lang w:val="en-GB"/>
              </w:rPr>
              <w:t>11.9p</w:t>
            </w:r>
          </w:p>
        </w:tc>
      </w:tr>
    </w:tbl>
    <w:p w:rsidR="00A12DCA" w:rsidRPr="00100BF5" w:rsidRDefault="00A12DCA">
      <w:pPr>
        <w:rPr>
          <w:lang w:val="en-GB"/>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 w:val="14"/>
        </w:rPr>
      </w:pPr>
    </w:p>
    <w:p w:rsidR="00D6745F" w:rsidRPr="00100BF5" w:rsidRDefault="00D6745F" w:rsidP="00A12DCA">
      <w:pPr>
        <w:pStyle w:val="Normal13"/>
        <w:rPr>
          <w:i/>
          <w:sz w:val="14"/>
        </w:rPr>
      </w:pPr>
    </w:p>
    <w:p w:rsidR="00A12DCA" w:rsidRPr="00100BF5" w:rsidRDefault="00A12DCA" w:rsidP="00A12DCA">
      <w:pPr>
        <w:pStyle w:val="Normal13"/>
        <w:rPr>
          <w:i/>
          <w:sz w:val="14"/>
        </w:rPr>
      </w:pPr>
    </w:p>
    <w:p w:rsidR="00A12DCA" w:rsidRPr="00100BF5" w:rsidRDefault="00A12DCA" w:rsidP="00A12DCA">
      <w:pPr>
        <w:pStyle w:val="Normal13"/>
        <w:rPr>
          <w:i/>
          <w:szCs w:val="2"/>
        </w:rPr>
      </w:pPr>
    </w:p>
    <w:p w:rsidR="00AF72CF" w:rsidRPr="00100BF5" w:rsidRDefault="00AF72CF" w:rsidP="00A12DCA">
      <w:pPr>
        <w:pStyle w:val="Normal13"/>
        <w:rPr>
          <w:i/>
          <w:szCs w:val="2"/>
        </w:rPr>
      </w:pPr>
    </w:p>
    <w:p w:rsidR="00AF72CF" w:rsidRPr="00100BF5" w:rsidRDefault="00AF72CF" w:rsidP="00A12DCA">
      <w:pPr>
        <w:pStyle w:val="Normal13"/>
        <w:rPr>
          <w:i/>
          <w:szCs w:val="2"/>
        </w:rPr>
      </w:pPr>
    </w:p>
    <w:p w:rsidR="00AF72CF" w:rsidRPr="00100BF5" w:rsidRDefault="00AF72CF" w:rsidP="00A12DCA">
      <w:pPr>
        <w:pStyle w:val="Normal13"/>
        <w:rPr>
          <w:i/>
          <w:szCs w:val="2"/>
        </w:rPr>
      </w:pPr>
    </w:p>
    <w:p w:rsidR="00AF72CF" w:rsidRPr="00100BF5" w:rsidRDefault="00AF72CF" w:rsidP="00A12DCA">
      <w:pPr>
        <w:pStyle w:val="Normal13"/>
        <w:rPr>
          <w:i/>
          <w:szCs w:val="2"/>
        </w:rPr>
      </w:pPr>
    </w:p>
    <w:p w:rsidR="00AF72CF" w:rsidRPr="00100BF5" w:rsidRDefault="00AF72CF" w:rsidP="00A12DCA">
      <w:pPr>
        <w:pStyle w:val="Normal13"/>
        <w:rPr>
          <w:i/>
          <w:szCs w:val="2"/>
        </w:rPr>
      </w:pPr>
    </w:p>
    <w:p w:rsidR="00AF72CF" w:rsidRPr="00100BF5" w:rsidRDefault="00AF72CF" w:rsidP="00A12DCA">
      <w:pPr>
        <w:pStyle w:val="Normal13"/>
        <w:rPr>
          <w:i/>
          <w:szCs w:val="2"/>
        </w:rPr>
      </w:pPr>
    </w:p>
    <w:p w:rsidR="00AF72CF" w:rsidRPr="00100BF5" w:rsidRDefault="00AF72CF" w:rsidP="00A12DCA">
      <w:pPr>
        <w:pStyle w:val="Normal13"/>
        <w:rPr>
          <w:i/>
          <w:szCs w:val="2"/>
        </w:rPr>
      </w:pPr>
    </w:p>
    <w:p w:rsidR="00A12DCA" w:rsidRPr="00100BF5" w:rsidRDefault="00A12DCA" w:rsidP="00A12DCA">
      <w:pPr>
        <w:pStyle w:val="Normal13"/>
        <w:numPr>
          <w:ilvl w:val="0"/>
          <w:numId w:val="21"/>
        </w:numPr>
        <w:ind w:left="284" w:hanging="284"/>
        <w:rPr>
          <w:i/>
          <w:sz w:val="14"/>
        </w:rPr>
      </w:pPr>
      <w:r w:rsidRPr="00100BF5">
        <w:rPr>
          <w:i/>
          <w:sz w:val="14"/>
        </w:rPr>
        <w:t>For notes to the F</w:t>
      </w:r>
      <w:r w:rsidR="000D2AE5">
        <w:rPr>
          <w:i/>
          <w:sz w:val="14"/>
        </w:rPr>
        <w:t>inancial Statements see pages 73</w:t>
      </w:r>
      <w:r w:rsidRPr="00100BF5">
        <w:rPr>
          <w:i/>
          <w:sz w:val="14"/>
        </w:rPr>
        <w:t xml:space="preserve"> to </w:t>
      </w:r>
      <w:r w:rsidR="000D2AE5">
        <w:rPr>
          <w:i/>
          <w:sz w:val="14"/>
        </w:rPr>
        <w:t>90</w:t>
      </w:r>
      <w:r w:rsidRPr="00100BF5">
        <w:rPr>
          <w:i/>
          <w:sz w:val="14"/>
        </w:rPr>
        <w:t>.</w:t>
      </w:r>
    </w:p>
    <w:p w:rsidR="00A12DCA" w:rsidRPr="00100BF5" w:rsidRDefault="00A12DCA" w:rsidP="005F437E">
      <w:pPr>
        <w:pStyle w:val="HeadingLevel1-BarcRA"/>
      </w:pPr>
      <w:r w:rsidRPr="00100BF5">
        <w:br w:type="page"/>
      </w:r>
      <w:r w:rsidR="005F437E">
        <w:lastRenderedPageBreak/>
        <w:t>Condensed Consolidated Financial Statements</w:t>
      </w:r>
    </w:p>
    <w:tbl>
      <w:tblPr>
        <w:tblW w:w="0" w:type="auto"/>
        <w:tblLayout w:type="fixed"/>
        <w:tblLook w:val="0000" w:firstRow="0" w:lastRow="0" w:firstColumn="0" w:lastColumn="0" w:noHBand="0" w:noVBand="0"/>
      </w:tblPr>
      <w:tblGrid>
        <w:gridCol w:w="5655"/>
        <w:gridCol w:w="660"/>
        <w:gridCol w:w="1110"/>
        <w:gridCol w:w="1110"/>
        <w:gridCol w:w="1110"/>
      </w:tblGrid>
      <w:tr w:rsidR="000810BB" w:rsidRPr="00100BF5" w:rsidTr="000810BB">
        <w:tblPrEx>
          <w:tblCellMar>
            <w:top w:w="0" w:type="dxa"/>
            <w:bottom w:w="0" w:type="dxa"/>
          </w:tblCellMar>
        </w:tblPrEx>
        <w:trPr>
          <w:trHeight w:val="630"/>
        </w:trPr>
        <w:tc>
          <w:tcPr>
            <w:tcW w:w="5655" w:type="dxa"/>
            <w:gridSpan w:val="5"/>
            <w:tcBorders>
              <w:top w:val="nil"/>
              <w:left w:val="nil"/>
              <w:bottom w:val="nil"/>
              <w:right w:val="nil"/>
            </w:tcBorders>
            <w:shd w:val="clear" w:color="auto" w:fill="FFFFFF"/>
            <w:tcMar>
              <w:left w:w="36" w:type="dxa"/>
              <w:right w:w="36" w:type="dxa"/>
            </w:tcMar>
            <w:vAlign w:val="center"/>
          </w:tcPr>
          <w:p w:rsidR="00A12DCA" w:rsidRPr="00100BF5" w:rsidRDefault="00A12DCA" w:rsidP="002D3FD0">
            <w:pPr>
              <w:jc w:val="both"/>
              <w:rPr>
                <w:i/>
                <w:sz w:val="14"/>
              </w:rPr>
            </w:pPr>
            <w:r w:rsidRPr="00100BF5">
              <w:rPr>
                <w:b/>
                <w:sz w:val="24"/>
              </w:rPr>
              <w:t>Condensed Consolidated Statement of Profit or Loss and other Comprehensive Income (Unaudited)</w:t>
            </w:r>
          </w:p>
        </w:tc>
      </w:tr>
      <w:tr w:rsidR="00A12DCA" w:rsidRPr="00100BF5">
        <w:tblPrEx>
          <w:tblCellMar>
            <w:top w:w="0" w:type="dxa"/>
            <w:bottom w:w="0" w:type="dxa"/>
          </w:tblCellMar>
        </w:tblPrEx>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4"/>
              </w:rPr>
              <w:t xml:space="preserve"> </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4"/>
              </w:rPr>
              <w:t xml:space="preserve"> </w:t>
            </w:r>
            <w:r w:rsidRPr="00100BF5">
              <w:rPr>
                <w:b/>
                <w:sz w:val="24"/>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rPr>
            </w:pPr>
            <w:r w:rsidRPr="00100BF5">
              <w:rPr>
                <w:b/>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4"/>
              </w:rPr>
              <w:t xml:space="preserve"> </w:t>
            </w:r>
          </w:p>
        </w:tc>
      </w:tr>
      <w:tr w:rsidR="00A12DCA" w:rsidRPr="00100BF5">
        <w:tblPrEx>
          <w:tblCellMar>
            <w:top w:w="0" w:type="dxa"/>
            <w:bottom w:w="0" w:type="dxa"/>
          </w:tblCellMar>
        </w:tblPrEx>
        <w:trPr>
          <w:trHeight w:val="51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Half Year Ended</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 Ended</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 Ended</w:t>
            </w:r>
          </w:p>
        </w:tc>
      </w:tr>
      <w:tr w:rsidR="00A12DCA" w:rsidRPr="00100BF5">
        <w:tblPrEx>
          <w:tblCellMar>
            <w:top w:w="0" w:type="dxa"/>
            <w:bottom w:w="0" w:type="dxa"/>
          </w:tblCellMar>
        </w:tblPrEx>
        <w:trPr>
          <w:trHeigh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Continuing Operations</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30.06.12</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r>
      <w:tr w:rsidR="00A12DCA" w:rsidRPr="00100BF5">
        <w:tblPrEx>
          <w:tblCellMar>
            <w:top w:w="0" w:type="dxa"/>
            <w:bottom w:w="0" w:type="dxa"/>
          </w:tblCellMar>
        </w:tblPrEx>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sz w:val="16"/>
              </w:rPr>
              <w:t>Notes</w:t>
            </w:r>
            <w:r w:rsidRPr="00100BF5">
              <w:rPr>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tblPrEx>
          <w:tblCellMar>
            <w:top w:w="0" w:type="dxa"/>
            <w:bottom w:w="0" w:type="dxa"/>
          </w:tblCellMar>
        </w:tblPrEx>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both"/>
              <w:rPr>
                <w:sz w:val="16"/>
              </w:rPr>
            </w:pPr>
            <w:r w:rsidRPr="00100BF5">
              <w:rPr>
                <w:b/>
                <w:sz w:val="16"/>
              </w:rPr>
              <w:t>Profit after tax</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480 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1,968 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1,983 </w:t>
            </w:r>
          </w:p>
        </w:tc>
      </w:tr>
      <w:tr w:rsidR="00A12DCA" w:rsidRPr="00100BF5">
        <w:tblPrEx>
          <w:tblCellMar>
            <w:top w:w="0" w:type="dxa"/>
            <w:bottom w:w="0" w:type="dxa"/>
          </w:tblCellMar>
        </w:tblPrEx>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both"/>
              <w:rPr>
                <w:b/>
                <w:sz w:val="16"/>
              </w:rPr>
            </w:pPr>
            <w:r w:rsidRPr="00100BF5">
              <w:rPr>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rsidTr="00A81991">
        <w:tblPrEx>
          <w:tblCellMar>
            <w:top w:w="0" w:type="dxa"/>
            <w:bottom w:w="0" w:type="dxa"/>
          </w:tblCellMar>
        </w:tblPrEx>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sz w:val="16"/>
              </w:rPr>
            </w:pPr>
            <w:r w:rsidRPr="00100BF5">
              <w:rPr>
                <w:b/>
                <w:sz w:val="16"/>
              </w:rPr>
              <w:t>Other Comprehensive Income that may be recycled to profit or loss:</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A81991">
        <w:tblPrEx>
          <w:tblCellMar>
            <w:top w:w="0" w:type="dxa"/>
            <w:bottom w:w="0" w:type="dxa"/>
          </w:tblCellMar>
        </w:tblPrEx>
        <w:trPr>
          <w:trHeigh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sz w:val="16"/>
              </w:rPr>
              <w:t>Currency translation differences</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17</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(614)</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(817)</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(790)</w:t>
            </w:r>
          </w:p>
        </w:tc>
      </w:tr>
      <w:tr w:rsidR="00A12DCA" w:rsidRPr="00100BF5" w:rsidTr="00A81991">
        <w:tblPrEx>
          <w:tblCellMar>
            <w:top w:w="0" w:type="dxa"/>
            <w:bottom w:w="0" w:type="dxa"/>
          </w:tblCellMar>
        </w:tblPrEx>
        <w:trPr>
          <w:trHeigh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sz w:val="16"/>
              </w:rPr>
              <w:t>Available for sale financial assets</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17</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(199)</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1,059 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315 </w:t>
            </w:r>
          </w:p>
        </w:tc>
      </w:tr>
      <w:tr w:rsidR="00A12DCA" w:rsidRPr="00100BF5" w:rsidTr="00A81991">
        <w:tblPrEx>
          <w:tblCellMar>
            <w:top w:w="0" w:type="dxa"/>
            <w:bottom w:w="0" w:type="dxa"/>
          </w:tblCellMar>
        </w:tblPrEx>
        <w:trPr>
          <w:trHeigh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sz w:val="16"/>
              </w:rPr>
              <w:t>Cash flow hedges</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17</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242 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1,351 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(88)</w:t>
            </w:r>
          </w:p>
        </w:tc>
      </w:tr>
      <w:tr w:rsidR="00A12DCA" w:rsidRPr="00100BF5" w:rsidTr="00A81991">
        <w:tblPrEx>
          <w:tblCellMar>
            <w:top w:w="0" w:type="dxa"/>
            <w:bottom w:w="0" w:type="dxa"/>
          </w:tblCellMar>
        </w:tblPrEx>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sz w:val="16"/>
              </w:rPr>
            </w:pPr>
            <w:r w:rsidRPr="00100BF5">
              <w:rPr>
                <w:sz w:val="16"/>
              </w:rPr>
              <w:t>Other</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48 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(97)</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23 </w:t>
            </w:r>
          </w:p>
        </w:tc>
      </w:tr>
      <w:tr w:rsidR="00A12DCA" w:rsidRPr="00100BF5" w:rsidTr="00A81991">
        <w:tblPrEx>
          <w:tblCellMar>
            <w:top w:w="0" w:type="dxa"/>
            <w:bottom w:w="0" w:type="dxa"/>
          </w:tblCellMar>
        </w:tblPrEx>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b/>
                <w:sz w:val="16"/>
              </w:rPr>
              <w:t>Other comprehensive income for the period</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(523)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1,496 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(540)</w:t>
            </w:r>
          </w:p>
        </w:tc>
      </w:tr>
      <w:tr w:rsidR="00A12DCA" w:rsidRPr="00100BF5" w:rsidTr="00A81991">
        <w:tblPrEx>
          <w:tblCellMar>
            <w:top w:w="0" w:type="dxa"/>
            <w:bottom w:w="0" w:type="dxa"/>
          </w:tblCellMar>
        </w:tblPrEx>
        <w:trPr>
          <w:trHeight w:hRule="exac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b/>
                <w:sz w:val="16"/>
              </w:rPr>
            </w:pPr>
            <w:r w:rsidRPr="00100BF5">
              <w:rPr>
                <w:b/>
                <w:sz w:val="16"/>
              </w:rPr>
              <w:t xml:space="preserve"> </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A81991">
        <w:tblPrEx>
          <w:tblCellMar>
            <w:top w:w="0" w:type="dxa"/>
            <w:bottom w:w="0" w:type="dxa"/>
          </w:tblCellMar>
        </w:tblPrEx>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b/>
                <w:sz w:val="16"/>
              </w:rPr>
              <w:t>Total comprehensive income for the period</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(43)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3,464 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1,443 </w:t>
            </w:r>
          </w:p>
        </w:tc>
      </w:tr>
      <w:tr w:rsidR="00A12DCA" w:rsidRPr="00100BF5">
        <w:tblPrEx>
          <w:tblCellMar>
            <w:top w:w="0" w:type="dxa"/>
            <w:bottom w:w="0" w:type="dxa"/>
          </w:tblCellMar>
        </w:tblPrEx>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both"/>
              <w:rPr>
                <w:b/>
                <w:sz w:val="16"/>
              </w:rPr>
            </w:pPr>
            <w:r w:rsidRPr="00100BF5">
              <w:rPr>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rsidTr="00A81991">
        <w:tblPrEx>
          <w:tblCellMar>
            <w:top w:w="0" w:type="dxa"/>
            <w:bottom w:w="0" w:type="dxa"/>
          </w:tblCellMar>
        </w:tblPrEx>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sz w:val="16"/>
              </w:rPr>
            </w:pPr>
            <w:r w:rsidRPr="00100BF5">
              <w:rPr>
                <w:b/>
                <w:sz w:val="16"/>
              </w:rPr>
              <w:t>Attributable to:</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rsidTr="00A81991">
        <w:tblPrEx>
          <w:tblCellMar>
            <w:top w:w="0" w:type="dxa"/>
            <w:bottom w:w="0" w:type="dxa"/>
          </w:tblCellMar>
        </w:tblPrEx>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sz w:val="16"/>
              </w:rPr>
              <w:t>Equity holders of the parent</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(410)</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3,402 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1,174 </w:t>
            </w:r>
          </w:p>
        </w:tc>
      </w:tr>
      <w:tr w:rsidR="00A12DCA" w:rsidRPr="00100BF5" w:rsidTr="00A81991">
        <w:tblPrEx>
          <w:tblCellMar>
            <w:top w:w="0" w:type="dxa"/>
            <w:bottom w:w="0" w:type="dxa"/>
          </w:tblCellMar>
        </w:tblPrEx>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81991">
            <w:pPr>
              <w:rPr>
                <w:sz w:val="16"/>
              </w:rPr>
            </w:pPr>
            <w:r w:rsidRPr="00100BF5">
              <w:rPr>
                <w:sz w:val="16"/>
              </w:rPr>
              <w:t>Non-controlling interests</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367 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62 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269 </w:t>
            </w:r>
          </w:p>
        </w:tc>
      </w:tr>
      <w:tr w:rsidR="00A12DCA" w:rsidRPr="00100BF5" w:rsidTr="00A81991">
        <w:tblPrEx>
          <w:tblCellMar>
            <w:top w:w="0" w:type="dxa"/>
            <w:bottom w:w="0" w:type="dxa"/>
          </w:tblCellMar>
        </w:tblPrEx>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81991">
            <w:pPr>
              <w:rPr>
                <w:sz w:val="16"/>
              </w:rPr>
            </w:pPr>
            <w:r w:rsidRPr="00100BF5">
              <w:rPr>
                <w:b/>
                <w:sz w:val="16"/>
              </w:rPr>
              <w:t>Total comprehensive income for the period</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(43)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3,464 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1,443 </w:t>
            </w:r>
          </w:p>
        </w:tc>
      </w:tr>
    </w:tbl>
    <w:p w:rsidR="00A12DCA" w:rsidRPr="00100BF5" w:rsidRDefault="00A12DCA">
      <w:pPr>
        <w:rP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14"/>
        </w:rPr>
      </w:pPr>
    </w:p>
    <w:p w:rsidR="00A12DCA" w:rsidRPr="00100BF5" w:rsidRDefault="00A12DCA"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F72CF" w:rsidRPr="00100BF5" w:rsidRDefault="00AF72CF" w:rsidP="00A12DCA">
      <w:pPr>
        <w:pStyle w:val="Normal14"/>
        <w:ind w:left="284" w:hanging="284"/>
        <w:rPr>
          <w:rFonts w:ascii="Expert Sans Regular" w:hAnsi="Expert Sans Regular"/>
          <w:i/>
          <w:sz w:val="2"/>
          <w:szCs w:val="2"/>
        </w:rPr>
      </w:pPr>
    </w:p>
    <w:p w:rsidR="00A12DCA" w:rsidRPr="00100BF5" w:rsidRDefault="00A12DCA" w:rsidP="00A12DCA">
      <w:pPr>
        <w:pStyle w:val="Normal14"/>
        <w:ind w:left="284" w:hanging="284"/>
        <w:rPr>
          <w:rFonts w:ascii="Expert Sans Regular" w:hAnsi="Expert Sans Regular"/>
          <w:i/>
          <w:sz w:val="14"/>
        </w:rPr>
      </w:pPr>
      <w:r w:rsidRPr="00100BF5">
        <w:rPr>
          <w:rFonts w:ascii="Expert Sans Regular" w:hAnsi="Expert Sans Regular"/>
          <w:i/>
          <w:sz w:val="14"/>
        </w:rPr>
        <w:t xml:space="preserve">1      For notes, see pages </w:t>
      </w:r>
      <w:r w:rsidR="00443D2A">
        <w:rPr>
          <w:rFonts w:ascii="Expert Sans Regular" w:hAnsi="Expert Sans Regular"/>
          <w:i/>
          <w:sz w:val="14"/>
        </w:rPr>
        <w:t>73 to 90</w:t>
      </w:r>
      <w:r w:rsidRPr="00100BF5">
        <w:rPr>
          <w:rFonts w:ascii="Expert Sans Regular" w:hAnsi="Expert Sans Regular"/>
          <w:i/>
          <w:sz w:val="14"/>
        </w:rPr>
        <w:t>.</w:t>
      </w:r>
    </w:p>
    <w:p w:rsidR="00A12DCA" w:rsidRPr="00100BF5" w:rsidRDefault="00A12DCA" w:rsidP="005F437E">
      <w:pPr>
        <w:pStyle w:val="HeadingLevel1-BarcRA"/>
      </w:pPr>
      <w:r w:rsidRPr="00100BF5">
        <w:br w:type="page"/>
      </w:r>
      <w:r w:rsidR="005F437E">
        <w:lastRenderedPageBreak/>
        <w:t>Condensed Consolidated Financial Statements</w:t>
      </w:r>
    </w:p>
    <w:tbl>
      <w:tblPr>
        <w:tblW w:w="0" w:type="auto"/>
        <w:tblLayout w:type="fixed"/>
        <w:tblLook w:val="0000" w:firstRow="0" w:lastRow="0" w:firstColumn="0" w:lastColumn="0" w:noHBand="0" w:noVBand="0"/>
      </w:tblPr>
      <w:tblGrid>
        <w:gridCol w:w="5325"/>
        <w:gridCol w:w="990"/>
        <w:gridCol w:w="1110"/>
        <w:gridCol w:w="1110"/>
        <w:gridCol w:w="1110"/>
      </w:tblGrid>
      <w:tr w:rsidR="000810BB" w:rsidRPr="00100BF5" w:rsidTr="000810BB">
        <w:tblPrEx>
          <w:tblCellMar>
            <w:top w:w="0" w:type="dxa"/>
            <w:bottom w:w="0" w:type="dxa"/>
          </w:tblCellMar>
        </w:tblPrEx>
        <w:trPr>
          <w:trHeight w:val="315"/>
        </w:trPr>
        <w:tc>
          <w:tcPr>
            <w:tcW w:w="5325" w:type="dxa"/>
            <w:gridSpan w:val="5"/>
            <w:tcBorders>
              <w:top w:val="nil"/>
              <w:left w:val="nil"/>
              <w:bottom w:val="nil"/>
              <w:right w:val="nil"/>
            </w:tcBorders>
            <w:shd w:val="clear" w:color="auto" w:fill="FFFFFF"/>
            <w:tcMar>
              <w:left w:w="36" w:type="dxa"/>
              <w:right w:w="36" w:type="dxa"/>
            </w:tcMar>
            <w:vAlign w:val="center"/>
          </w:tcPr>
          <w:p w:rsidR="00A12DCA" w:rsidRPr="00100BF5" w:rsidRDefault="00A12DCA">
            <w:pPr>
              <w:rPr>
                <w:i/>
                <w:sz w:val="14"/>
              </w:rPr>
            </w:pPr>
            <w:r w:rsidRPr="00100BF5">
              <w:rPr>
                <w:b/>
                <w:sz w:val="24"/>
              </w:rPr>
              <w:t>Condensed Consolidated Balance Sheet (Unaudited)</w:t>
            </w:r>
          </w:p>
        </w:tc>
      </w:tr>
      <w:tr w:rsidR="00A12DCA" w:rsidRPr="00100BF5">
        <w:tblPrEx>
          <w:tblCellMar>
            <w:top w:w="0" w:type="dxa"/>
            <w:bottom w:w="0" w:type="dxa"/>
          </w:tblCellMar>
        </w:tblPrEx>
        <w:trPr>
          <w:trHeight w:val="285"/>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0"/>
              </w:rPr>
              <w:t xml:space="preserve"> </w:t>
            </w:r>
            <w:r w:rsidRPr="00100BF5">
              <w:rPr>
                <w:b/>
                <w:sz w:val="20"/>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20"/>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As at</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r>
      <w:tr w:rsidR="00A12DCA" w:rsidRPr="00100BF5">
        <w:tblPrEx>
          <w:tblCellMar>
            <w:top w:w="0" w:type="dxa"/>
            <w:bottom w:w="0" w:type="dxa"/>
          </w:tblCellMar>
        </w:tblPrEx>
        <w:trPr>
          <w:trHeight w:val="270"/>
        </w:trPr>
        <w:tc>
          <w:tcPr>
            <w:tcW w:w="5325" w:type="dxa"/>
            <w:tcBorders>
              <w:top w:val="nil"/>
              <w:left w:val="nil"/>
              <w:bottom w:val="nil"/>
              <w:right w:val="nil"/>
            </w:tcBorders>
            <w:shd w:val="clear" w:color="auto" w:fill="FFFFFF"/>
            <w:tcMar>
              <w:left w:w="36" w:type="dxa"/>
              <w:right w:w="36" w:type="dxa"/>
            </w:tcMar>
            <w:vAlign w:val="center"/>
          </w:tcPr>
          <w:p w:rsidR="00A12DCA" w:rsidRPr="0053171D" w:rsidRDefault="00A12DCA">
            <w:pPr>
              <w:rPr>
                <w:b/>
                <w:sz w:val="16"/>
                <w:szCs w:val="16"/>
              </w:rPr>
            </w:pPr>
            <w:r w:rsidRPr="0053171D">
              <w:rPr>
                <w:b/>
                <w:sz w:val="16"/>
                <w:szCs w:val="16"/>
              </w:rPr>
              <w:t>Assets</w:t>
            </w:r>
            <w:r w:rsidRPr="0053171D">
              <w:rPr>
                <w:b/>
                <w:sz w:val="16"/>
                <w:szCs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30.06.12</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r>
      <w:tr w:rsidR="00A12DCA" w:rsidRPr="00100BF5">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8"/>
              </w:rPr>
              <w:t xml:space="preserve"> </w:t>
            </w:r>
            <w:r w:rsidRPr="00100BF5">
              <w:rPr>
                <w:b/>
                <w:sz w:val="18"/>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8"/>
                <w:vertAlign w:val="superscript"/>
              </w:rPr>
            </w:pPr>
            <w:r w:rsidRPr="00100BF5">
              <w:rPr>
                <w:sz w:val="16"/>
              </w:rPr>
              <w:t>Notes</w:t>
            </w:r>
            <w:r w:rsidRPr="00100BF5">
              <w:rPr>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and balances at central banks</w:t>
            </w:r>
            <w:r w:rsidRPr="00100BF5">
              <w:rPr>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126,062 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106,894 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86,916 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Items in the course of collection from other banks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2,598 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1,812 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1,317 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Trading portfolio assets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166,300 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152,183 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181,799 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assets designated at fair value</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45,928 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36,949 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39,122 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Derivative financial instruments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10</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517,685 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538,964 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379,854 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Loans and advances to banks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48,777 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47,446 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58,751 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Loans and advances to customers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454,728 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431,934 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441,983 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Reverse repurchase agreements and other similar secured lending</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174,392 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153,665 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196,867 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Available for sale financial investments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68,922 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68,491 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81,837 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Current and deferred tax assets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6</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3,244 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3,384 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3,007 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Prepayments, accrued income and other assets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5,892 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4,563 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6,030 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Investments in associates and joint ventures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489 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427 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576 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Goodwill and intangible assets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12</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7,861 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7,846 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8,541 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Property, plant and equipment</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5,909 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7,166 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6,196 </w:t>
            </w:r>
          </w:p>
        </w:tc>
      </w:tr>
      <w:tr w:rsidR="00A12DCA" w:rsidRPr="00100BF5">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Retirement benefit assets</w:t>
            </w:r>
            <w:r w:rsidRPr="00100BF5">
              <w:rPr>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15</w:t>
            </w:r>
            <w:r w:rsidRPr="00100BF5">
              <w:rPr>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2,478 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1,803 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126 </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assets</w:t>
            </w:r>
            <w:r w:rsidRPr="00100BF5">
              <w:rPr>
                <w:b/>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r w:rsidRPr="00100BF5">
              <w:rPr>
                <w:b/>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1,631,265 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1,563,527 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1,492,922 </w:t>
            </w:r>
          </w:p>
        </w:tc>
      </w:tr>
      <w:tr w:rsidR="00A12DCA" w:rsidRPr="00100BF5">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53171D" w:rsidRDefault="00A12DCA">
            <w:pPr>
              <w:rPr>
                <w:b/>
                <w:sz w:val="16"/>
                <w:szCs w:val="16"/>
              </w:rPr>
            </w:pPr>
            <w:r w:rsidRPr="0053171D">
              <w:rPr>
                <w:b/>
                <w:sz w:val="16"/>
                <w:szCs w:val="16"/>
              </w:rPr>
              <w:t>Liabilities</w:t>
            </w:r>
            <w:r w:rsidRPr="0053171D">
              <w:rPr>
                <w:b/>
                <w:sz w:val="16"/>
                <w:szCs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8"/>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Deposits from banks</w:t>
            </w:r>
            <w:r w:rsidRPr="00100BF5">
              <w:rPr>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94,467 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91,116 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84,188 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Items in the course of collection due to other banks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1,671 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969 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1,324 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Customer accounts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408,550 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366,032 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373,374 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Repurchase agreements and other similar secured borrowing</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245,833 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207,292 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247,635 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Trading portfolio liabilities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51,747 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45,887 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77,208 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liabilities designated at fair value</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94,855 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87,997 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92,473 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Derivative financial instruments </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10</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507,351 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527,910 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366,536 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Debt securities in issue</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124,968 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129,736 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144,871 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Accruals, deferred income and other liabilities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12,326 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12,580 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12,952 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Current and deferred tax liabilities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6</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1,377 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2,092 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1,100 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Subordinated liabilities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8A10A2">
            <w:pPr>
              <w:jc w:val="center"/>
              <w:rPr>
                <w:sz w:val="16"/>
                <w:vertAlign w:val="superscript"/>
              </w:rPr>
            </w:pPr>
            <w:r w:rsidRPr="00100BF5">
              <w:rPr>
                <w:sz w:val="16"/>
              </w:rPr>
              <w:t xml:space="preserve"> </w:t>
            </w:r>
            <w:r w:rsidR="00A12DCA" w:rsidRPr="00100BF5">
              <w:rPr>
                <w:sz w:val="16"/>
              </w:rPr>
              <w:t>13 </w:t>
            </w:r>
            <w:r w:rsidR="00A12DCA"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22,089 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24,870 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26,786 </w:t>
            </w:r>
          </w:p>
        </w:tc>
      </w:tr>
      <w:tr w:rsidR="00A12DCA" w:rsidRPr="00100BF5">
        <w:tblPrEx>
          <w:tblCellMar>
            <w:top w:w="0" w:type="dxa"/>
            <w:bottom w:w="0" w:type="dxa"/>
          </w:tblCellMar>
        </w:tblPrEx>
        <w:trPr>
          <w:trHeigh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Provisions </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14</w:t>
            </w:r>
            <w:r w:rsidRPr="00100BF5">
              <w:rPr>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1,851 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1,529 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2,074 </w:t>
            </w:r>
          </w:p>
        </w:tc>
      </w:tr>
      <w:tr w:rsidR="00A12DCA" w:rsidRPr="00100BF5">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Retirement benefit liabilities</w:t>
            </w:r>
            <w:r w:rsidRPr="00100BF5">
              <w:rPr>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15</w:t>
            </w:r>
            <w:r w:rsidRPr="00100BF5">
              <w:rPr>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490 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412 </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liabilities</w:t>
            </w:r>
            <w:r w:rsidRPr="00100BF5">
              <w:rPr>
                <w:b/>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r w:rsidRPr="00100BF5">
              <w:rPr>
                <w:b/>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1,567,575 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1,498,331 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1,430,933 </w:t>
            </w:r>
          </w:p>
        </w:tc>
      </w:tr>
      <w:tr w:rsidR="00A12DCA" w:rsidRPr="00100BF5">
        <w:tblPrEx>
          <w:tblCellMar>
            <w:top w:w="0" w:type="dxa"/>
            <w:bottom w:w="0" w:type="dxa"/>
          </w:tblCellMar>
        </w:tblPrEx>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53171D" w:rsidRDefault="00A12DCA">
            <w:pPr>
              <w:rPr>
                <w:sz w:val="16"/>
                <w:szCs w:val="16"/>
              </w:rPr>
            </w:pPr>
            <w:r w:rsidRPr="0053171D">
              <w:rPr>
                <w:b/>
                <w:sz w:val="16"/>
                <w:szCs w:val="16"/>
              </w:rPr>
              <w:t>Shareholders' Equity</w:t>
            </w:r>
            <w:r w:rsidRPr="0053171D">
              <w:rPr>
                <w:b/>
                <w:sz w:val="16"/>
                <w:szCs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20"/>
                <w:vertAlign w:val="superscript"/>
              </w:rPr>
            </w:pPr>
            <w:r w:rsidRPr="00100BF5">
              <w:rPr>
                <w:sz w:val="20"/>
              </w:rPr>
              <w:t xml:space="preserve"> </w:t>
            </w:r>
            <w:r w:rsidRPr="00100BF5">
              <w:rPr>
                <w:sz w:val="20"/>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20"/>
              </w:rPr>
            </w:pPr>
            <w:r w:rsidRPr="00100BF5">
              <w:rPr>
                <w:sz w:val="16"/>
              </w:rPr>
              <w:t>Shareholders' equity excluding non-controlling interests</w:t>
            </w:r>
            <w:r w:rsidRPr="00100BF5">
              <w:rPr>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54,205 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55,589 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51,572 </w:t>
            </w:r>
          </w:p>
        </w:tc>
      </w:tr>
      <w:tr w:rsidR="00A12DCA" w:rsidRPr="00100BF5">
        <w:tblPrEx>
          <w:tblCellMar>
            <w:top w:w="0" w:type="dxa"/>
            <w:bottom w:w="0" w:type="dxa"/>
          </w:tblCellMar>
        </w:tblPrEx>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Non-controlling interests</w:t>
            </w:r>
            <w:r w:rsidRPr="00100BF5">
              <w:rPr>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sz w:val="16"/>
              </w:rPr>
              <w:t>7</w:t>
            </w:r>
            <w:r w:rsidRPr="00100BF5">
              <w:rPr>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9,485 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9,607 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10,417 </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shareholders' equity</w:t>
            </w:r>
            <w:r w:rsidRPr="00100BF5">
              <w:rPr>
                <w:b/>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63,690 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65,196 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61,989 </w:t>
            </w:r>
          </w:p>
        </w:tc>
      </w:tr>
      <w:tr w:rsidR="00A12DCA" w:rsidRPr="00100BF5">
        <w:tblPrEx>
          <w:tblCellMar>
            <w:top w:w="0" w:type="dxa"/>
            <w:bottom w:w="0" w:type="dxa"/>
          </w:tblCellMar>
        </w:tblPrEx>
        <w:trPr>
          <w:trHeight w:hRule="exac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sz w:val="16"/>
              </w:rPr>
              <w:t xml:space="preserve"> </w:t>
            </w:r>
            <w:r w:rsidRPr="00100BF5">
              <w:rPr>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liabilities and shareholders' equity</w:t>
            </w:r>
            <w:r w:rsidRPr="00100BF5">
              <w:rPr>
                <w:b/>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sz w:val="16"/>
              </w:rPr>
              <w:t xml:space="preserve"> </w:t>
            </w:r>
            <w:r w:rsidRPr="00100BF5">
              <w:rPr>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1,631,265 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1,563,527 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1,492,922 </w:t>
            </w:r>
          </w:p>
        </w:tc>
      </w:tr>
    </w:tbl>
    <w:p w:rsidR="00A12DCA" w:rsidRPr="00100BF5" w:rsidRDefault="00A12DCA">
      <w:pPr>
        <w:rP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14"/>
        </w:rPr>
      </w:pPr>
    </w:p>
    <w:p w:rsidR="00A12DCA" w:rsidRPr="00100BF5" w:rsidRDefault="00A12DCA"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F72CF" w:rsidRPr="00100BF5" w:rsidRDefault="00AF72CF" w:rsidP="00A12DCA">
      <w:pPr>
        <w:pStyle w:val="Normal15"/>
        <w:ind w:left="284" w:hanging="284"/>
        <w:rPr>
          <w:rFonts w:ascii="Expert Sans Regular" w:hAnsi="Expert Sans Regular"/>
          <w:i/>
          <w:sz w:val="2"/>
          <w:szCs w:val="2"/>
        </w:rPr>
      </w:pPr>
    </w:p>
    <w:p w:rsidR="00A12DCA" w:rsidRPr="00100BF5" w:rsidRDefault="00A12DCA" w:rsidP="00A12DCA">
      <w:pPr>
        <w:pStyle w:val="Normal15"/>
        <w:ind w:left="284" w:hanging="284"/>
        <w:rPr>
          <w:rFonts w:ascii="Expert Sans Regular" w:hAnsi="Expert Sans Regular"/>
        </w:rPr>
      </w:pPr>
      <w:r w:rsidRPr="00100BF5">
        <w:rPr>
          <w:rFonts w:ascii="Expert Sans Regular" w:hAnsi="Expert Sans Regular"/>
          <w:i/>
          <w:sz w:val="14"/>
        </w:rPr>
        <w:t xml:space="preserve">1      For notes, see pages </w:t>
      </w:r>
      <w:r w:rsidR="00443D2A">
        <w:rPr>
          <w:rFonts w:ascii="Expert Sans Regular" w:hAnsi="Expert Sans Regular"/>
          <w:i/>
          <w:sz w:val="14"/>
        </w:rPr>
        <w:t>73</w:t>
      </w:r>
      <w:r w:rsidRPr="00100BF5">
        <w:rPr>
          <w:rFonts w:ascii="Expert Sans Regular" w:hAnsi="Expert Sans Regular"/>
          <w:i/>
          <w:sz w:val="14"/>
        </w:rPr>
        <w:t xml:space="preserve"> to </w:t>
      </w:r>
      <w:r w:rsidR="00443D2A">
        <w:rPr>
          <w:rFonts w:ascii="Expert Sans Regular" w:hAnsi="Expert Sans Regular"/>
          <w:i/>
          <w:sz w:val="14"/>
        </w:rPr>
        <w:t>90</w:t>
      </w:r>
      <w:r w:rsidRPr="00100BF5">
        <w:rPr>
          <w:rFonts w:ascii="Expert Sans Regular" w:hAnsi="Expert Sans Regular"/>
          <w:i/>
          <w:sz w:val="14"/>
        </w:rPr>
        <w:t>.</w:t>
      </w:r>
    </w:p>
    <w:p w:rsidR="00A12DCA" w:rsidRPr="00100BF5" w:rsidRDefault="00A12DCA" w:rsidP="005F437E">
      <w:pPr>
        <w:pStyle w:val="HeadingLevel1-BarcRA"/>
      </w:pPr>
      <w:r w:rsidRPr="00100BF5">
        <w:br w:type="page"/>
      </w:r>
      <w:r w:rsidR="005F437E">
        <w:lastRenderedPageBreak/>
        <w:t>Condensed Consolidated Financial Statements</w:t>
      </w:r>
    </w:p>
    <w:tbl>
      <w:tblPr>
        <w:tblW w:w="0" w:type="auto"/>
        <w:tblLayout w:type="fixed"/>
        <w:tblLook w:val="0000" w:firstRow="0" w:lastRow="0" w:firstColumn="0" w:lastColumn="0" w:noHBand="0" w:noVBand="0"/>
      </w:tblPr>
      <w:tblGrid>
        <w:gridCol w:w="4245"/>
        <w:gridCol w:w="1245"/>
        <w:gridCol w:w="915"/>
        <w:gridCol w:w="900"/>
        <w:gridCol w:w="720"/>
        <w:gridCol w:w="900"/>
        <w:gridCol w:w="705"/>
      </w:tblGrid>
      <w:tr w:rsidR="000810BB" w:rsidRPr="00100BF5" w:rsidTr="000810BB">
        <w:tblPrEx>
          <w:tblCellMar>
            <w:top w:w="0" w:type="dxa"/>
            <w:bottom w:w="0" w:type="dxa"/>
          </w:tblCellMar>
        </w:tblPrEx>
        <w:trPr>
          <w:trHeight w:val="315"/>
        </w:trPr>
        <w:tc>
          <w:tcPr>
            <w:tcW w:w="4245" w:type="dxa"/>
            <w:gridSpan w:val="7"/>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Condensed Consolidated Statement of Changes in Equity (Unaudited)</w:t>
            </w:r>
          </w:p>
        </w:tc>
      </w:tr>
      <w:tr w:rsidR="00A12DCA" w:rsidRPr="00100BF5" w:rsidTr="00A81991">
        <w:tblPrEx>
          <w:tblCellMar>
            <w:top w:w="0" w:type="dxa"/>
            <w:bottom w:w="0" w:type="dxa"/>
          </w:tblCellMar>
        </w:tblPrEx>
        <w:trPr>
          <w:trHeight w:val="1005"/>
        </w:trPr>
        <w:tc>
          <w:tcPr>
            <w:tcW w:w="4245" w:type="dxa"/>
            <w:tcBorders>
              <w:top w:val="nil"/>
              <w:left w:val="nil"/>
              <w:bottom w:val="nil"/>
              <w:right w:val="nil"/>
            </w:tcBorders>
            <w:shd w:val="clear" w:color="auto" w:fill="FFFFFF"/>
            <w:tcMar>
              <w:left w:w="36" w:type="dxa"/>
              <w:right w:w="36" w:type="dxa"/>
            </w:tcMar>
            <w:vAlign w:val="bottom"/>
          </w:tcPr>
          <w:p w:rsidR="00A12DCA" w:rsidRPr="00100BF5" w:rsidRDefault="00A12DCA" w:rsidP="00A81991">
            <w:pPr>
              <w:rPr>
                <w:b/>
                <w:sz w:val="24"/>
              </w:rPr>
            </w:pPr>
            <w:r w:rsidRPr="00100BF5">
              <w:rPr>
                <w:b/>
                <w:sz w:val="16"/>
              </w:rPr>
              <w:t>Half Year Ended 30.06.12</w:t>
            </w:r>
          </w:p>
        </w:tc>
        <w:tc>
          <w:tcPr>
            <w:tcW w:w="124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Called up Share Capital and Share Premium</w:t>
            </w:r>
            <w:r w:rsidRPr="00100BF5">
              <w:rPr>
                <w:b/>
                <w:sz w:val="16"/>
                <w:vertAlign w:val="superscript"/>
              </w:rPr>
              <w:t>1 </w:t>
            </w:r>
          </w:p>
        </w:tc>
        <w:tc>
          <w:tcPr>
            <w:tcW w:w="91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Other Reserves</w:t>
            </w:r>
            <w:r w:rsidRPr="00100BF5">
              <w:rPr>
                <w:b/>
                <w:sz w:val="16"/>
                <w:vertAlign w:val="superscript"/>
              </w:rPr>
              <w:t>1 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Retained Earnings</w:t>
            </w:r>
          </w:p>
        </w:tc>
        <w:tc>
          <w:tcPr>
            <w:tcW w:w="72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Non-controlling Interests</w:t>
            </w:r>
            <w:r w:rsidRPr="00100BF5">
              <w:rPr>
                <w:b/>
                <w:sz w:val="16"/>
                <w:vertAlign w:val="superscript"/>
              </w:rPr>
              <w:t>2 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Total</w:t>
            </w:r>
          </w:p>
          <w:p w:rsidR="00A12DCA" w:rsidRPr="00100BF5" w:rsidRDefault="00A12DCA">
            <w:pPr>
              <w:jc w:val="right"/>
              <w:rPr>
                <w:b/>
                <w:sz w:val="16"/>
              </w:rPr>
            </w:pPr>
            <w:r w:rsidRPr="00100BF5">
              <w:rPr>
                <w:b/>
                <w:sz w:val="16"/>
              </w:rPr>
              <w:t>Equity</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r w:rsidRPr="00100BF5">
              <w:rPr>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Balance at 1 January 2012</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12,380 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3,837 </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39,372 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55,589 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9,607 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65,196 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Profit after tax</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70 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410 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480 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Currency translation movements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(543)</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(543)</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(71)</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(614)</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Available for sale investments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(218)</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(218)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(199)</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flow hedges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234 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234 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242 </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47 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47 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1 </w:t>
            </w:r>
            <w:r w:rsidRPr="00100BF5">
              <w:rPr>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48 </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comprehensive income for the period</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(527)</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117 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(410)</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367 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(43)</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Issue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82 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369 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451 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451 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Increase in treasury shares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(955)</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(955)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(955)</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Vesting of </w:t>
            </w:r>
            <w:r w:rsidR="00E75094">
              <w:rPr>
                <w:sz w:val="16"/>
              </w:rPr>
              <w:t>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912 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(912)</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Dividends paid</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(488)</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(488)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042691">
            <w:pPr>
              <w:jc w:val="right"/>
              <w:rPr>
                <w:sz w:val="16"/>
              </w:rPr>
            </w:pPr>
            <w:r w:rsidRPr="00100BF5">
              <w:rPr>
                <w:sz w:val="16"/>
              </w:rPr>
              <w:t>(</w:t>
            </w:r>
            <w:r w:rsidR="00042691" w:rsidRPr="00100BF5">
              <w:rPr>
                <w:sz w:val="16"/>
              </w:rPr>
              <w:t>364</w:t>
            </w:r>
            <w:r w:rsidRPr="00100BF5">
              <w:rPr>
                <w:sz w:val="16"/>
              </w:rPr>
              <w:t>)</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8A10A2">
            <w:pPr>
              <w:jc w:val="right"/>
              <w:rPr>
                <w:sz w:val="16"/>
                <w:vertAlign w:val="superscript"/>
              </w:rPr>
            </w:pPr>
            <w:r w:rsidRPr="00100BF5">
              <w:rPr>
                <w:sz w:val="16"/>
              </w:rPr>
              <w:t>(</w:t>
            </w:r>
            <w:r w:rsidR="008A10A2" w:rsidRPr="00100BF5">
              <w:rPr>
                <w:sz w:val="16"/>
              </w:rPr>
              <w:t>852</w:t>
            </w:r>
            <w:r w:rsidRPr="00100BF5">
              <w:rPr>
                <w:sz w:val="16"/>
              </w:rPr>
              <w:t>)</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reserve movements</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18 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r w:rsidR="00042691" w:rsidRPr="00100BF5">
              <w:rPr>
                <w:sz w:val="16"/>
              </w:rPr>
              <w:t>125</w:t>
            </w:r>
            <w:r w:rsidRPr="00100BF5">
              <w:rPr>
                <w:sz w:val="16"/>
              </w:rPr>
              <w:t>)</w:t>
            </w:r>
            <w:r w:rsidRPr="00100BF5">
              <w:rPr>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8A10A2">
            <w:pPr>
              <w:jc w:val="right"/>
              <w:rPr>
                <w:sz w:val="16"/>
                <w:vertAlign w:val="superscript"/>
              </w:rPr>
            </w:pPr>
            <w:r w:rsidRPr="00100BF5">
              <w:rPr>
                <w:sz w:val="16"/>
              </w:rPr>
              <w:t>(</w:t>
            </w:r>
            <w:r w:rsidR="008A10A2" w:rsidRPr="00100BF5">
              <w:rPr>
                <w:sz w:val="16"/>
              </w:rPr>
              <w:t>107</w:t>
            </w:r>
            <w:r w:rsidRPr="00100BF5">
              <w:rPr>
                <w:sz w:val="16"/>
              </w:rPr>
              <w:t>)</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Balance at 30 June 2012</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12,462 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3,267 </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38,476 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54,205 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9,485 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63,690 </w:t>
            </w:r>
          </w:p>
        </w:tc>
      </w:tr>
      <w:tr w:rsidR="00A12DCA" w:rsidRPr="00100BF5">
        <w:tblPrEx>
          <w:tblCellMar>
            <w:top w:w="0" w:type="dxa"/>
            <w:bottom w:w="0" w:type="dxa"/>
          </w:tblCellMar>
        </w:tblPrEx>
        <w:trPr>
          <w:trHeight w:hRule="exac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16"/>
              </w:rPr>
              <w:t>Half Year Ended 31.12.11</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Balance at 1 July 2011</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12,361 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1,291 </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37,920 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51,572 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10,417 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61,989 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Profit after tax</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1,509 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1,509 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459 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1,968 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Currency translation movements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(401)</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(401)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(416)</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(817)</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Available for sale investments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1,057 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1,057 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1,059 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flow hedges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1,338 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1,338 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1,351 </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(101)</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4 </w:t>
            </w:r>
            <w:r w:rsidRPr="00100BF5">
              <w:rPr>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(97)</w:t>
            </w:r>
          </w:p>
        </w:tc>
      </w:tr>
      <w:tr w:rsidR="00A12DCA" w:rsidRPr="00100BF5">
        <w:tblPrEx>
          <w:tblCellMar>
            <w:top w:w="0" w:type="dxa"/>
            <w:bottom w:w="0" w:type="dxa"/>
          </w:tblCellMar>
        </w:tblPrEx>
        <w:trPr>
          <w:trHeight w:val="255"/>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comprehensive income for the period</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1,994 </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1,408 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3,402 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62 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3,464 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Issue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477 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496 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496 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Decrease in treasury shares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388 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388 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388 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E75094" w:rsidRPr="00100BF5" w:rsidRDefault="00E75094" w:rsidP="00E75094">
            <w:pPr>
              <w:rPr>
                <w:sz w:val="16"/>
              </w:rPr>
            </w:pPr>
            <w:r w:rsidRPr="00100BF5">
              <w:rPr>
                <w:sz w:val="16"/>
              </w:rPr>
              <w:t xml:space="preserve">Vesting of </w:t>
            </w:r>
            <w:r>
              <w:rPr>
                <w:sz w:val="16"/>
              </w:rPr>
              <w:t>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76 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(76)</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Dividends paid</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(241)</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(241)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(364)</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(605)</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Redemption of Reserve Capital Instruments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(528)</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(528)</w:t>
            </w:r>
          </w:p>
        </w:tc>
      </w:tr>
      <w:tr w:rsidR="00A12DCA" w:rsidRPr="00100BF5">
        <w:tblPrEx>
          <w:tblCellMar>
            <w:top w:w="0" w:type="dxa"/>
            <w:bottom w:w="0" w:type="dxa"/>
          </w:tblCellMar>
        </w:tblPrEx>
        <w:trPr>
          <w:trHeight w:val="255"/>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reserve movements</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88 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(116)</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20 </w:t>
            </w:r>
            <w:r w:rsidRPr="00100BF5">
              <w:rPr>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(8)</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Balance at 31 December 2011</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12,380 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B18A9">
            <w:pPr>
              <w:jc w:val="right"/>
              <w:rPr>
                <w:b/>
                <w:sz w:val="16"/>
                <w:vertAlign w:val="superscript"/>
              </w:rPr>
            </w:pPr>
            <w:r w:rsidRPr="00100BF5">
              <w:rPr>
                <w:b/>
                <w:sz w:val="16"/>
              </w:rPr>
              <w:t>3,837</w:t>
            </w:r>
            <w:r w:rsidRPr="00100BF5">
              <w:rPr>
                <w:b/>
                <w:sz w:val="16"/>
                <w:vertAlign w:val="superscript"/>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39,372 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55,589 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9,607 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65,196 </w:t>
            </w:r>
          </w:p>
        </w:tc>
      </w:tr>
      <w:tr w:rsidR="00A12DCA" w:rsidRPr="00100BF5">
        <w:tblPrEx>
          <w:tblCellMar>
            <w:top w:w="0" w:type="dxa"/>
            <w:bottom w:w="0" w:type="dxa"/>
          </w:tblCellMar>
        </w:tblPrEx>
        <w:trPr>
          <w:trHeight w:hRule="exac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r>
      <w:tr w:rsidR="00A12DCA" w:rsidRPr="00100BF5">
        <w:tblPrEx>
          <w:tblCellMar>
            <w:top w:w="0" w:type="dxa"/>
            <w:bottom w:w="0" w:type="dxa"/>
          </w:tblCellMar>
        </w:tblPrEx>
        <w:trPr>
          <w:trHeight w:hRule="exac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 </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16"/>
              </w:rPr>
              <w:t>Half Year Ended 30.06.11</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Balance at 1 January 2011</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12,339 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1,754 </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36,765 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50,858 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11,404 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62,262 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Profit after tax</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1,498 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1,498 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485 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1,983 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Currency translation movements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(608)</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(608)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(182)</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(790)</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Available for sale investments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323 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323 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315 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flow hedges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(48)</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(40)</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(88)</w:t>
            </w:r>
          </w:p>
        </w:tc>
      </w:tr>
      <w:tr w:rsidR="00A12DCA" w:rsidRPr="00100BF5">
        <w:tblPrEx>
          <w:tblCellMar>
            <w:top w:w="0" w:type="dxa"/>
            <w:bottom w:w="0" w:type="dxa"/>
          </w:tblCellMar>
        </w:tblPrEx>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9 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14 </w:t>
            </w:r>
            <w:r w:rsidRPr="00100BF5">
              <w:rPr>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23 </w:t>
            </w:r>
          </w:p>
        </w:tc>
      </w:tr>
      <w:tr w:rsidR="00A12DCA" w:rsidRPr="00100BF5">
        <w:tblPrEx>
          <w:tblCellMar>
            <w:top w:w="0" w:type="dxa"/>
            <w:bottom w:w="0" w:type="dxa"/>
          </w:tblCellMar>
        </w:tblPrEx>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comprehensive income for the period</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(333)</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1,507 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1,174 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269 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1,443 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Issue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361 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383 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383 </w:t>
            </w:r>
          </w:p>
        </w:tc>
      </w:tr>
      <w:tr w:rsidR="00A12DCA" w:rsidRPr="00100BF5">
        <w:tblPrEx>
          <w:tblCellMar>
            <w:top w:w="0" w:type="dxa"/>
            <w:bottom w:w="0" w:type="dxa"/>
          </w:tblCellMar>
        </w:tblPrEx>
        <w:trPr>
          <w:trHeight w:val="240"/>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Increase in treasury shares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(553)</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(553)</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(553)</w:t>
            </w:r>
          </w:p>
        </w:tc>
      </w:tr>
      <w:tr w:rsidR="00A12DCA" w:rsidRPr="00100BF5">
        <w:tblPrEx>
          <w:tblCellMar>
            <w:top w:w="0" w:type="dxa"/>
            <w:bottom w:w="0" w:type="dxa"/>
          </w:tblCellMar>
        </w:tblPrEx>
        <w:trPr>
          <w:trHeight w:val="255"/>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E75094" w:rsidP="00E75094">
            <w:pPr>
              <w:rPr>
                <w:sz w:val="16"/>
              </w:rPr>
            </w:pPr>
            <w:r w:rsidRPr="00100BF5">
              <w:rPr>
                <w:sz w:val="16"/>
              </w:rPr>
              <w:t xml:space="preserve">Vesting of </w:t>
            </w:r>
            <w:r>
              <w:rPr>
                <w:sz w:val="16"/>
              </w:rPr>
              <w:t>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423 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(423)</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r>
      <w:tr w:rsidR="00A12DCA" w:rsidRPr="00100BF5">
        <w:tblPrEx>
          <w:tblCellMar>
            <w:top w:w="0" w:type="dxa"/>
            <w:bottom w:w="0" w:type="dxa"/>
          </w:tblCellMar>
        </w:tblPrEx>
        <w:trPr>
          <w:trHeight w:val="255"/>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Dividends paid</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(419)</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(419)</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(363)</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(782)</w:t>
            </w:r>
          </w:p>
        </w:tc>
      </w:tr>
      <w:tr w:rsidR="00A12DCA" w:rsidRPr="00100BF5">
        <w:tblPrEx>
          <w:tblCellMar>
            <w:top w:w="0" w:type="dxa"/>
            <w:bottom w:w="0" w:type="dxa"/>
          </w:tblCellMar>
        </w:tblPrEx>
        <w:trPr>
          <w:trHeight w:val="255"/>
        </w:trPr>
        <w:tc>
          <w:tcPr>
            <w:tcW w:w="42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Redemption of Reserve Capital Instruments</w:t>
            </w:r>
          </w:p>
        </w:tc>
        <w:tc>
          <w:tcPr>
            <w:tcW w:w="12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7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(887)</w:t>
            </w:r>
            <w:r w:rsidRPr="00100BF5">
              <w:rPr>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(887)</w:t>
            </w:r>
          </w:p>
        </w:tc>
      </w:tr>
      <w:tr w:rsidR="00A12DCA" w:rsidRPr="00100BF5">
        <w:tblPrEx>
          <w:tblCellMar>
            <w:top w:w="0" w:type="dxa"/>
            <w:bottom w:w="0" w:type="dxa"/>
          </w:tblCellMar>
        </w:tblPrEx>
        <w:trPr>
          <w:trHeight w:val="255"/>
        </w:trPr>
        <w:tc>
          <w:tcPr>
            <w:tcW w:w="4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reserve movements</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129 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w:t>
            </w:r>
            <w:r w:rsidRPr="00100BF5">
              <w:rPr>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123 </w:t>
            </w:r>
          </w:p>
        </w:tc>
      </w:tr>
      <w:tr w:rsidR="00A12DCA" w:rsidRPr="00100BF5">
        <w:tblPrEx>
          <w:tblCellMar>
            <w:top w:w="0" w:type="dxa"/>
            <w:bottom w:w="0" w:type="dxa"/>
          </w:tblCellMar>
        </w:tblPrEx>
        <w:trPr>
          <w:trHeight w:val="255"/>
        </w:trPr>
        <w:tc>
          <w:tcPr>
            <w:tcW w:w="4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Balance at 30 June 2011</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12,361 </w:t>
            </w:r>
            <w:r w:rsidRPr="00100BF5">
              <w:rPr>
                <w:b/>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1,291 </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37,920 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51,572 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10,417 </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61,989 </w:t>
            </w:r>
          </w:p>
        </w:tc>
      </w:tr>
      <w:tr w:rsidR="00A12DCA" w:rsidRPr="00100BF5">
        <w:tblPrEx>
          <w:tblCellMar>
            <w:top w:w="0" w:type="dxa"/>
            <w:bottom w:w="0" w:type="dxa"/>
          </w:tblCellMar>
        </w:tblPrEx>
        <w:trPr>
          <w:trHeight w:hRule="exact" w:val="255"/>
        </w:trPr>
        <w:tc>
          <w:tcPr>
            <w:tcW w:w="424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lastRenderedPageBreak/>
              <w:t xml:space="preserve"> </w:t>
            </w:r>
          </w:p>
        </w:tc>
        <w:tc>
          <w:tcPr>
            <w:tcW w:w="124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r>
      <w:tr w:rsidR="00A12DCA" w:rsidRPr="00100BF5">
        <w:tblPrEx>
          <w:tblCellMar>
            <w:top w:w="0" w:type="dxa"/>
            <w:bottom w:w="0" w:type="dxa"/>
          </w:tblCellMar>
        </w:tblPrEx>
        <w:trPr>
          <w:trHeight w:hRule="exact" w:val="255"/>
        </w:trPr>
        <w:tc>
          <w:tcPr>
            <w:tcW w:w="424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24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r>
    </w:tbl>
    <w:p w:rsidR="00A12DCA" w:rsidRPr="00100BF5" w:rsidRDefault="00A12DCA"/>
    <w:p w:rsidR="00AF72CF" w:rsidRPr="00100BF5" w:rsidRDefault="00AF72CF"/>
    <w:p w:rsidR="00AF72CF" w:rsidRPr="00100BF5" w:rsidRDefault="00AF72CF"/>
    <w:p w:rsidR="00AF72CF" w:rsidRPr="00100BF5" w:rsidRDefault="00AF72CF"/>
    <w:p w:rsidR="00A12DCA" w:rsidRPr="00100BF5" w:rsidRDefault="00A12DCA" w:rsidP="00764510">
      <w:pPr>
        <w:pStyle w:val="Normal16"/>
        <w:ind w:left="284" w:hanging="284"/>
        <w:jc w:val="both"/>
        <w:rPr>
          <w:rFonts w:ascii="Expert Sans Regular" w:hAnsi="Expert Sans Regular"/>
          <w:i/>
          <w:sz w:val="14"/>
          <w:szCs w:val="14"/>
        </w:rPr>
      </w:pPr>
      <w:r w:rsidRPr="00100BF5">
        <w:rPr>
          <w:rFonts w:ascii="Expert Sans Regular" w:hAnsi="Expert Sans Regular"/>
          <w:i/>
          <w:sz w:val="14"/>
          <w:szCs w:val="14"/>
        </w:rPr>
        <w:t xml:space="preserve">1 </w:t>
      </w:r>
      <w:r w:rsidRPr="00100BF5">
        <w:rPr>
          <w:rFonts w:ascii="Expert Sans Regular" w:hAnsi="Expert Sans Regular"/>
          <w:i/>
          <w:sz w:val="14"/>
          <w:szCs w:val="14"/>
        </w:rPr>
        <w:tab/>
        <w:t xml:space="preserve">Details of Share Capital and Other Reserves are shown on page </w:t>
      </w:r>
      <w:r w:rsidR="009D1A3E">
        <w:rPr>
          <w:rFonts w:ascii="Expert Sans Regular" w:hAnsi="Expert Sans Regular"/>
          <w:i/>
          <w:sz w:val="14"/>
          <w:szCs w:val="14"/>
        </w:rPr>
        <w:t>81</w:t>
      </w:r>
      <w:r w:rsidRPr="00100BF5">
        <w:rPr>
          <w:rFonts w:ascii="Expert Sans Regular" w:hAnsi="Expert Sans Regular"/>
          <w:i/>
          <w:sz w:val="14"/>
          <w:szCs w:val="14"/>
        </w:rPr>
        <w:t>.</w:t>
      </w:r>
    </w:p>
    <w:p w:rsidR="00A12DCA" w:rsidRPr="00100BF5" w:rsidRDefault="00A12DCA" w:rsidP="00764510">
      <w:pPr>
        <w:pStyle w:val="Normal16"/>
        <w:ind w:left="284" w:hanging="284"/>
        <w:jc w:val="both"/>
        <w:rPr>
          <w:rFonts w:ascii="Expert Sans Regular" w:hAnsi="Expert Sans Regular"/>
          <w:i/>
          <w:sz w:val="14"/>
          <w:szCs w:val="14"/>
        </w:rPr>
      </w:pPr>
      <w:r w:rsidRPr="00100BF5">
        <w:rPr>
          <w:rFonts w:ascii="Expert Sans Regular" w:hAnsi="Expert Sans Regular"/>
          <w:i/>
          <w:sz w:val="14"/>
          <w:szCs w:val="14"/>
        </w:rPr>
        <w:t xml:space="preserve">2 </w:t>
      </w:r>
      <w:r w:rsidRPr="00100BF5">
        <w:rPr>
          <w:rFonts w:ascii="Expert Sans Regular" w:hAnsi="Expert Sans Regular"/>
          <w:i/>
          <w:sz w:val="14"/>
          <w:szCs w:val="14"/>
        </w:rPr>
        <w:tab/>
        <w:t>Details of Non-controlli</w:t>
      </w:r>
      <w:r w:rsidR="009D1A3E">
        <w:rPr>
          <w:rFonts w:ascii="Expert Sans Regular" w:hAnsi="Expert Sans Regular"/>
          <w:i/>
          <w:sz w:val="14"/>
          <w:szCs w:val="14"/>
        </w:rPr>
        <w:t>ng interests are shown on page 76</w:t>
      </w:r>
      <w:r w:rsidRPr="00100BF5">
        <w:rPr>
          <w:rFonts w:ascii="Expert Sans Regular" w:hAnsi="Expert Sans Regular"/>
          <w:i/>
          <w:sz w:val="14"/>
          <w:szCs w:val="14"/>
        </w:rPr>
        <w:t>. Included within other reserve movement of £125m, £91m relates to the disposal of the Iveco Finance business.  </w:t>
      </w:r>
    </w:p>
    <w:p w:rsidR="00A12DCA" w:rsidRPr="00100BF5" w:rsidRDefault="00A12DCA" w:rsidP="005F437E">
      <w:pPr>
        <w:pStyle w:val="HeadingLevel1-BarcRA"/>
      </w:pPr>
      <w:r w:rsidRPr="00100BF5">
        <w:br w:type="page"/>
      </w:r>
      <w:r w:rsidR="005F437E">
        <w:lastRenderedPageBreak/>
        <w:t>Condensed Consolidated Financial Statements</w:t>
      </w:r>
    </w:p>
    <w:tbl>
      <w:tblPr>
        <w:tblW w:w="0" w:type="auto"/>
        <w:tblLayout w:type="fixed"/>
        <w:tblLook w:val="0000" w:firstRow="0" w:lastRow="0" w:firstColumn="0" w:lastColumn="0" w:noHBand="0" w:noVBand="0"/>
      </w:tblPr>
      <w:tblGrid>
        <w:gridCol w:w="5640"/>
        <w:gridCol w:w="1335"/>
        <w:gridCol w:w="1335"/>
        <w:gridCol w:w="1335"/>
      </w:tblGrid>
      <w:tr w:rsidR="000810BB" w:rsidRPr="00100BF5" w:rsidTr="000810BB">
        <w:tblPrEx>
          <w:tblCellMar>
            <w:top w:w="0" w:type="dxa"/>
            <w:bottom w:w="0" w:type="dxa"/>
          </w:tblCellMar>
        </w:tblPrEx>
        <w:trPr>
          <w:trHeight w:val="315"/>
        </w:trPr>
        <w:tc>
          <w:tcPr>
            <w:tcW w:w="564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i/>
                <w:sz w:val="14"/>
                <w:szCs w:val="14"/>
              </w:rPr>
            </w:pPr>
            <w:r w:rsidRPr="00100BF5">
              <w:rPr>
                <w:b/>
                <w:sz w:val="24"/>
                <w:szCs w:val="14"/>
              </w:rPr>
              <w:t>Condensed Consolidated Cash Flow Statement (Unaudited)</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szCs w:val="14"/>
              </w:rPr>
            </w:pPr>
            <w:r w:rsidRPr="00100BF5">
              <w:rPr>
                <w:sz w:val="24"/>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rPr>
            </w:pPr>
            <w:r w:rsidRPr="00100BF5">
              <w:rPr>
                <w:sz w:val="24"/>
                <w:szCs w:val="14"/>
              </w:rPr>
              <w:t xml:space="preserve"> </w:t>
            </w:r>
          </w:p>
        </w:tc>
      </w:tr>
      <w:tr w:rsidR="00A12DCA" w:rsidRPr="00100BF5">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rPr>
            </w:pPr>
            <w:r w:rsidRPr="00100BF5">
              <w:rPr>
                <w:b/>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Half Year Ended</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Half Year Ended</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Half Year Ended</w:t>
            </w:r>
          </w:p>
        </w:tc>
      </w:tr>
      <w:tr w:rsidR="00A12DCA" w:rsidRPr="00100BF5">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4"/>
              </w:rPr>
            </w:pPr>
            <w:r w:rsidRPr="00100BF5">
              <w:rPr>
                <w:b/>
                <w:sz w:val="16"/>
                <w:szCs w:val="14"/>
              </w:rPr>
              <w:t>Continuing Operations</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30.06.12</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31.12.11</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30.06.11</w:t>
            </w:r>
          </w:p>
        </w:tc>
      </w:tr>
      <w:tr w:rsidR="00A12DCA" w:rsidRPr="00100BF5">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4"/>
              </w:rPr>
            </w:pPr>
            <w:r w:rsidRPr="00100BF5">
              <w:rPr>
                <w:sz w:val="16"/>
                <w:szCs w:val="14"/>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£m</w:t>
            </w:r>
          </w:p>
        </w:tc>
      </w:tr>
      <w:tr w:rsidR="00A12DCA" w:rsidRPr="00100BF5">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Profit before tax </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rPr>
            </w:pPr>
            <w:r w:rsidRPr="00100BF5">
              <w:rPr>
                <w:sz w:val="16"/>
                <w:szCs w:val="14"/>
              </w:rPr>
              <w:t>759 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3,235 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2,644 </w:t>
            </w:r>
          </w:p>
        </w:tc>
      </w:tr>
      <w:tr w:rsidR="00A12DCA" w:rsidRPr="00100BF5">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Adjustment for non-cash items</w:t>
            </w:r>
          </w:p>
        </w:tc>
        <w:tc>
          <w:tcPr>
            <w:tcW w:w="1335" w:type="dxa"/>
            <w:tcBorders>
              <w:top w:val="nil"/>
              <w:left w:val="nil"/>
              <w:bottom w:val="nil"/>
              <w:right w:val="nil"/>
            </w:tcBorders>
            <w:shd w:val="clear" w:color="auto" w:fill="EAEAEA"/>
            <w:tcMar>
              <w:left w:w="36" w:type="dxa"/>
              <w:right w:w="36" w:type="dxa"/>
            </w:tcMar>
            <w:vAlign w:val="center"/>
          </w:tcPr>
          <w:p w:rsidR="00A12DCA" w:rsidRPr="00100BF5" w:rsidRDefault="00943F29" w:rsidP="00943F29">
            <w:pPr>
              <w:jc w:val="right"/>
              <w:rPr>
                <w:sz w:val="16"/>
                <w:szCs w:val="14"/>
              </w:rPr>
            </w:pPr>
            <w:r>
              <w:rPr>
                <w:sz w:val="16"/>
                <w:szCs w:val="14"/>
              </w:rPr>
              <w:t>6</w:t>
            </w:r>
            <w:r w:rsidR="00A12DCA" w:rsidRPr="00100BF5">
              <w:rPr>
                <w:sz w:val="16"/>
                <w:szCs w:val="14"/>
              </w:rPr>
              <w:t>,</w:t>
            </w:r>
            <w:r>
              <w:rPr>
                <w:sz w:val="16"/>
                <w:szCs w:val="14"/>
              </w:rPr>
              <w:t>998</w:t>
            </w:r>
            <w:r w:rsidR="00A12DCA" w:rsidRPr="00100BF5">
              <w:rPr>
                <w:sz w:val="16"/>
                <w:szCs w:val="14"/>
              </w:rPr>
              <w:t>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5,089 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3,104 </w:t>
            </w:r>
          </w:p>
        </w:tc>
      </w:tr>
      <w:tr w:rsidR="00A12DCA" w:rsidRPr="00100BF5">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Changes in operating assets and liabilities</w:t>
            </w:r>
          </w:p>
        </w:tc>
        <w:tc>
          <w:tcPr>
            <w:tcW w:w="13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rPr>
            </w:pPr>
            <w:r w:rsidRPr="00100BF5">
              <w:rPr>
                <w:sz w:val="16"/>
                <w:szCs w:val="14"/>
              </w:rPr>
              <w:t>24,150 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(10,362)</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27,055 </w:t>
            </w:r>
          </w:p>
        </w:tc>
      </w:tr>
      <w:tr w:rsidR="00A12DCA" w:rsidRPr="00100BF5">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Corporate income tax paid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4"/>
              </w:rPr>
            </w:pPr>
            <w:r w:rsidRPr="00100BF5">
              <w:rPr>
                <w:sz w:val="16"/>
                <w:szCs w:val="14"/>
              </w:rPr>
              <w:t>(889)</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(796)</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(890)</w:t>
            </w:r>
          </w:p>
        </w:tc>
      </w:tr>
      <w:tr w:rsidR="00A12DCA" w:rsidRPr="00100BF5">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b/>
                <w:sz w:val="16"/>
                <w:szCs w:val="14"/>
              </w:rPr>
              <w:t>Net cash from operating activities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943F29" w:rsidP="00943F29">
            <w:pPr>
              <w:jc w:val="right"/>
              <w:rPr>
                <w:b/>
                <w:sz w:val="16"/>
                <w:szCs w:val="14"/>
              </w:rPr>
            </w:pPr>
            <w:r>
              <w:rPr>
                <w:b/>
                <w:sz w:val="16"/>
                <w:szCs w:val="14"/>
              </w:rPr>
              <w:t>31</w:t>
            </w:r>
            <w:r w:rsidR="00A12DCA" w:rsidRPr="00100BF5">
              <w:rPr>
                <w:b/>
                <w:sz w:val="16"/>
                <w:szCs w:val="14"/>
              </w:rPr>
              <w:t>,</w:t>
            </w:r>
            <w:r>
              <w:rPr>
                <w:b/>
                <w:sz w:val="16"/>
                <w:szCs w:val="14"/>
              </w:rPr>
              <w:t>018</w:t>
            </w:r>
            <w:r w:rsidR="00A12DCA" w:rsidRPr="00100BF5">
              <w:rPr>
                <w:b/>
                <w:sz w:val="16"/>
                <w:szCs w:val="14"/>
              </w:rPr>
              <w:t>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(2,834)</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31,913 </w:t>
            </w:r>
          </w:p>
        </w:tc>
      </w:tr>
      <w:tr w:rsidR="00A12DCA" w:rsidRPr="00100BF5">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4"/>
              </w:rPr>
            </w:pPr>
            <w:r w:rsidRPr="00100BF5">
              <w:rPr>
                <w:sz w:val="16"/>
                <w:szCs w:val="14"/>
              </w:rPr>
              <w:t>Net cash from investing activities</w:t>
            </w:r>
          </w:p>
        </w:tc>
        <w:tc>
          <w:tcPr>
            <w:tcW w:w="1335" w:type="dxa"/>
            <w:tcBorders>
              <w:top w:val="nil"/>
              <w:left w:val="nil"/>
              <w:bottom w:val="nil"/>
              <w:right w:val="nil"/>
            </w:tcBorders>
            <w:shd w:val="clear" w:color="auto" w:fill="EAEAEA"/>
            <w:tcMar>
              <w:left w:w="36" w:type="dxa"/>
              <w:right w:w="36" w:type="dxa"/>
            </w:tcMar>
            <w:vAlign w:val="center"/>
          </w:tcPr>
          <w:p w:rsidR="00A12DCA" w:rsidRPr="00100BF5" w:rsidRDefault="00A12DCA" w:rsidP="00943F29">
            <w:pPr>
              <w:jc w:val="right"/>
              <w:rPr>
                <w:sz w:val="16"/>
                <w:szCs w:val="14"/>
              </w:rPr>
            </w:pPr>
            <w:r w:rsidRPr="00100BF5">
              <w:rPr>
                <w:sz w:val="16"/>
                <w:szCs w:val="14"/>
              </w:rPr>
              <w:t>(</w:t>
            </w:r>
            <w:r w:rsidR="00943F29">
              <w:rPr>
                <w:sz w:val="16"/>
                <w:szCs w:val="14"/>
              </w:rPr>
              <w:t>2,232</w:t>
            </w:r>
            <w:r w:rsidRPr="00100BF5">
              <w:rPr>
                <w:sz w:val="16"/>
                <w:szCs w:val="14"/>
              </w:rPr>
              <w:t>)</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13,553 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(15,465)</w:t>
            </w:r>
          </w:p>
        </w:tc>
      </w:tr>
      <w:tr w:rsidR="00A12DCA" w:rsidRPr="00100BF5">
        <w:tblPrEx>
          <w:tblCellMar>
            <w:top w:w="0" w:type="dxa"/>
            <w:bottom w:w="0" w:type="dxa"/>
          </w:tblCellMar>
        </w:tblPrEx>
        <w:trPr>
          <w:trHeigh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Net cash from financing activities</w:t>
            </w:r>
          </w:p>
        </w:tc>
        <w:tc>
          <w:tcPr>
            <w:tcW w:w="13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rPr>
            </w:pPr>
            <w:r w:rsidRPr="00100BF5">
              <w:rPr>
                <w:sz w:val="16"/>
                <w:szCs w:val="14"/>
              </w:rPr>
              <w:t>(3,861)</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(3,112)</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(2,849)</w:t>
            </w:r>
          </w:p>
        </w:tc>
      </w:tr>
      <w:tr w:rsidR="00A12DCA" w:rsidRPr="00100BF5">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Effect of exchange rates on cash and cash equivalents</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4"/>
              </w:rPr>
            </w:pPr>
            <w:r w:rsidRPr="00100BF5">
              <w:rPr>
                <w:sz w:val="16"/>
                <w:szCs w:val="14"/>
              </w:rPr>
              <w:t>(2,424)</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(1,350)</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(1,583)</w:t>
            </w:r>
          </w:p>
        </w:tc>
      </w:tr>
      <w:tr w:rsidR="00A12DCA" w:rsidRPr="00100BF5">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b/>
                <w:sz w:val="16"/>
                <w:szCs w:val="14"/>
              </w:rPr>
              <w:t>Net increase in cash and cash equivalents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4"/>
              </w:rPr>
            </w:pPr>
            <w:r w:rsidRPr="00100BF5">
              <w:rPr>
                <w:b/>
                <w:sz w:val="16"/>
                <w:szCs w:val="14"/>
              </w:rPr>
              <w:t>22,501 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6,257 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12,016 </w:t>
            </w:r>
          </w:p>
        </w:tc>
      </w:tr>
      <w:tr w:rsidR="00A12DCA" w:rsidRPr="00100BF5">
        <w:tblPrEx>
          <w:tblCellMar>
            <w:top w:w="0" w:type="dxa"/>
            <w:bottom w:w="0" w:type="dxa"/>
          </w:tblCellMar>
        </w:tblPrEx>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4"/>
              </w:rPr>
            </w:pPr>
            <w:r w:rsidRPr="00100BF5">
              <w:rPr>
                <w:sz w:val="16"/>
                <w:szCs w:val="14"/>
              </w:rPr>
              <w:t>Cash and cash equivalents at beginning of the period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4"/>
              </w:rPr>
            </w:pPr>
            <w:r w:rsidRPr="00100BF5">
              <w:rPr>
                <w:sz w:val="16"/>
                <w:szCs w:val="14"/>
              </w:rPr>
              <w:t>149,673 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143,416 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rPr>
            </w:pPr>
            <w:r w:rsidRPr="00100BF5">
              <w:rPr>
                <w:sz w:val="16"/>
                <w:szCs w:val="14"/>
              </w:rPr>
              <w:t>131,400 </w:t>
            </w:r>
          </w:p>
        </w:tc>
      </w:tr>
      <w:tr w:rsidR="00A12DCA" w:rsidRPr="00100BF5">
        <w:tblPrEx>
          <w:tblCellMar>
            <w:top w:w="0" w:type="dxa"/>
            <w:bottom w:w="0" w:type="dxa"/>
          </w:tblCellMar>
        </w:tblPrEx>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b/>
                <w:sz w:val="16"/>
                <w:szCs w:val="14"/>
              </w:rPr>
              <w:t>Cash and cash equivalents at end of the period</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4"/>
              </w:rPr>
            </w:pPr>
            <w:r w:rsidRPr="00100BF5">
              <w:rPr>
                <w:b/>
                <w:sz w:val="16"/>
                <w:szCs w:val="14"/>
              </w:rPr>
              <w:t>172,174 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149,673 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143,416 </w:t>
            </w:r>
          </w:p>
        </w:tc>
      </w:tr>
      <w:tr w:rsidR="00A12DCA" w:rsidRPr="00100BF5">
        <w:tblPrEx>
          <w:tblCellMar>
            <w:top w:w="0" w:type="dxa"/>
            <w:bottom w:w="0" w:type="dxa"/>
          </w:tblCellMar>
        </w:tblPrEx>
        <w:trPr>
          <w:trHeight w:hRule="exact" w:val="240"/>
        </w:trPr>
        <w:tc>
          <w:tcPr>
            <w:tcW w:w="564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4"/>
              </w:rPr>
            </w:pPr>
            <w:r w:rsidRPr="00100BF5">
              <w:rPr>
                <w:b/>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4"/>
              </w:rPr>
            </w:pPr>
            <w:r w:rsidRPr="00100BF5">
              <w:rPr>
                <w:b/>
                <w:sz w:val="16"/>
                <w:szCs w:val="14"/>
              </w:rPr>
              <w:t xml:space="preserve"> </w:t>
            </w:r>
          </w:p>
        </w:tc>
      </w:tr>
    </w:tbl>
    <w:p w:rsidR="00A12DCA" w:rsidRPr="00100BF5" w:rsidRDefault="00A12DCA">
      <w:pPr>
        <w:rPr>
          <w:i/>
          <w:sz w:val="14"/>
          <w:szCs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14"/>
        </w:rPr>
      </w:pPr>
    </w:p>
    <w:p w:rsidR="00A12DCA" w:rsidRPr="00100BF5" w:rsidRDefault="00A12DCA"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F72CF" w:rsidRPr="00100BF5" w:rsidRDefault="00AF72CF" w:rsidP="00A12DCA">
      <w:pPr>
        <w:pStyle w:val="Normal17"/>
        <w:ind w:left="284" w:hanging="284"/>
        <w:rPr>
          <w:rFonts w:ascii="Expert Sans Regular" w:hAnsi="Expert Sans Regular"/>
          <w:i/>
          <w:sz w:val="2"/>
          <w:szCs w:val="2"/>
        </w:rPr>
      </w:pPr>
    </w:p>
    <w:p w:rsidR="00A12DCA" w:rsidRPr="00100BF5" w:rsidRDefault="00A12DCA">
      <w:pPr>
        <w:sectPr w:rsidR="00A12DCA" w:rsidRPr="00100BF5" w:rsidSect="00E100EB">
          <w:headerReference w:type="default" r:id="rId21"/>
          <w:pgSz w:w="11905" w:h="16837"/>
          <w:pgMar w:top="851" w:right="1134" w:bottom="567" w:left="1134" w:header="851" w:footer="567" w:gutter="0"/>
          <w:cols w:space="708"/>
        </w:sectPr>
      </w:pPr>
    </w:p>
    <w:p w:rsidR="00A12DCA" w:rsidRPr="00100BF5" w:rsidRDefault="00A12DCA">
      <w:pPr>
        <w:sectPr w:rsidR="00A12DCA" w:rsidRPr="00100BF5" w:rsidSect="00E100EB">
          <w:headerReference w:type="default" r:id="rId22"/>
          <w:type w:val="continuous"/>
          <w:pgSz w:w="11905" w:h="16837"/>
          <w:pgMar w:top="851" w:right="1134" w:bottom="567" w:left="1134" w:header="851" w:footer="567" w:gutter="0"/>
          <w:cols w:space="708"/>
        </w:sectPr>
      </w:pP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val="31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UK Retail and Business Banking</w:t>
            </w:r>
            <w:r w:rsidRPr="00100BF5">
              <w:rPr>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vertAlign w:val="superscript"/>
              </w:rPr>
            </w:pPr>
            <w:r w:rsidRPr="00100BF5">
              <w:rPr>
                <w:b/>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4"/>
              </w:rPr>
            </w:pPr>
            <w:r w:rsidRPr="00100BF5">
              <w:rPr>
                <w:sz w:val="24"/>
              </w:rPr>
              <w:t xml:space="preserve"> </w:t>
            </w:r>
            <w:r w:rsidRPr="00100BF5">
              <w:rPr>
                <w:sz w:val="24"/>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vertAlign w:val="superscript"/>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rPr>
            </w:pPr>
            <w:r w:rsidRPr="00100BF5">
              <w:rPr>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rPr>
            </w:pPr>
            <w:r w:rsidRPr="00100BF5">
              <w:rPr>
                <w:sz w:val="24"/>
              </w:rPr>
              <w:t xml:space="preserve"> </w:t>
            </w:r>
            <w:r w:rsidRPr="00100BF5">
              <w:rPr>
                <w:b/>
                <w:sz w:val="24"/>
                <w:vertAlign w:val="superscript"/>
              </w:rPr>
              <w:t xml:space="preserve"> </w:t>
            </w:r>
          </w:p>
        </w:tc>
      </w:tr>
      <w:tr w:rsidR="000810BB" w:rsidRPr="00100BF5" w:rsidTr="009922A3">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rPr>
            </w:pPr>
            <w:r w:rsidRPr="00100BF5">
              <w:rPr>
                <w:sz w:val="16"/>
              </w:rPr>
              <w:t xml:space="preserve"> </w:t>
            </w:r>
            <w:r w:rsidRPr="00100BF5">
              <w:rPr>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360E83">
            <w:pPr>
              <w:jc w:val="right"/>
              <w:rPr>
                <w:sz w:val="16"/>
                <w:vertAlign w:val="superscript"/>
              </w:rPr>
            </w:pPr>
            <w:r w:rsidRPr="00100BF5">
              <w:rPr>
                <w:b/>
                <w:sz w:val="16"/>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360E83">
            <w:pPr>
              <w:jc w:val="right"/>
              <w:rPr>
                <w:b/>
                <w:sz w:val="16"/>
              </w:rPr>
            </w:pPr>
            <w:r w:rsidRPr="00100BF5">
              <w:rPr>
                <w:b/>
                <w:sz w:val="16"/>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360E83">
            <w:pPr>
              <w:jc w:val="right"/>
              <w:rPr>
                <w:b/>
                <w:sz w:val="16"/>
              </w:rPr>
            </w:pPr>
            <w:r w:rsidRPr="00100BF5">
              <w:rPr>
                <w:b/>
                <w:sz w:val="16"/>
              </w:rPr>
              <w:t>Half Year Ended</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r>
      <w:tr w:rsidR="00A12DCA" w:rsidRPr="00100BF5" w:rsidTr="00A81991">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20"/>
              </w:rPr>
              <w:t>Income Statement Information</w:t>
            </w:r>
            <w:r w:rsidRPr="00100BF5">
              <w:rPr>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0"/>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rPr>
            </w:pPr>
            <w:r w:rsidRPr="00100BF5">
              <w:rPr>
                <w:sz w:val="16"/>
              </w:rPr>
              <w:t xml:space="preserve"> </w:t>
            </w:r>
            <w:r w:rsidRPr="00100BF5">
              <w:rPr>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20"/>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sz w:val="16"/>
              </w:rPr>
            </w:pPr>
            <w:r w:rsidRPr="00100BF5">
              <w:rPr>
                <w:b/>
                <w:sz w:val="16"/>
              </w:rPr>
              <w:t>30.06.11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A81991">
            <w:pPr>
              <w:jc w:val="right"/>
              <w:rPr>
                <w:b/>
                <w:sz w:val="16"/>
              </w:rPr>
            </w:pPr>
            <w:r w:rsidRPr="00100BF5">
              <w:rPr>
                <w:b/>
                <w:sz w:val="16"/>
              </w:rPr>
              <w:t>YoY</w:t>
            </w:r>
            <w:r w:rsidRPr="00100BF5">
              <w:rPr>
                <w:b/>
                <w:sz w:val="20"/>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Change</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interest income</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1,612 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1,788 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1,625 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fee and commission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568 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591 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investment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premiums from insurance contracts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49 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vertAlign w:val="superscript"/>
              </w:rPr>
            </w:pPr>
            <w:r w:rsidRPr="00100BF5">
              <w:rPr>
                <w:sz w:val="16"/>
              </w:rPr>
              <w:t>Other income/(expense)</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 income</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2,222 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2,415 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2,263 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w:t>
            </w:r>
            <w:r w:rsidRPr="00100BF5">
              <w:rPr>
                <w:b/>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Net claims and benefits incurred under insurance contracts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 income net of insurance claims</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2,205 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2,402 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2,254 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w:t>
            </w:r>
            <w:r w:rsidRPr="00100BF5">
              <w:rPr>
                <w:b/>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Credit impairment charges and other provisions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(275)</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Net operating income</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2,083 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2,141 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1,979 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5 </w:t>
            </w:r>
            <w:r w:rsidRPr="00100BF5">
              <w:rPr>
                <w:b/>
                <w:sz w:val="16"/>
                <w:vertAlign w:val="superscript"/>
              </w:rPr>
              <w:t xml:space="preserve"> </w:t>
            </w:r>
          </w:p>
        </w:tc>
      </w:tr>
      <w:tr w:rsidR="00A12DCA" w:rsidRPr="00100BF5">
        <w:tblPrEx>
          <w:tblCellMar>
            <w:top w:w="0" w:type="dxa"/>
            <w:bottom w:w="0" w:type="dxa"/>
          </w:tblCellMar>
        </w:tblPrEx>
        <w:trPr>
          <w:trHeight w:hRule="exac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Operating expenses (excluding provision for PPI redress)</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(1,337)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(1,427)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(1,275)</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Provision for PPI redress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(300)</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(400)</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(25)</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Operating expenses</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(1,637)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(1,427)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(1,675)</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w:t>
            </w:r>
            <w:r w:rsidRPr="00100BF5">
              <w:rPr>
                <w:b/>
                <w:sz w:val="16"/>
                <w:vertAlign w:val="superscript"/>
              </w:rPr>
              <w:t xml:space="preserve"> </w:t>
            </w:r>
          </w:p>
        </w:tc>
      </w:tr>
      <w:tr w:rsidR="00A12DCA" w:rsidRPr="00100BF5">
        <w:tblPrEx>
          <w:tblCellMar>
            <w:top w:w="0" w:type="dxa"/>
            <w:bottom w:w="0" w:type="dxa"/>
          </w:tblCellMar>
        </w:tblPrEx>
        <w:trPr>
          <w:trHeight w:hRule="exac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bottom"/>
          </w:tcPr>
          <w:p w:rsidR="00A12DCA" w:rsidRPr="00100BF5" w:rsidRDefault="00D6745F">
            <w:pPr>
              <w:rPr>
                <w:b/>
                <w:sz w:val="16"/>
                <w:vertAlign w:val="superscript"/>
              </w:rPr>
            </w:pPr>
            <w:r w:rsidRPr="00100BF5">
              <w:rPr>
                <w:sz w:val="16"/>
                <w:szCs w:val="14"/>
              </w:rPr>
              <w:t>Other net income</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Profit before tax</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446 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716 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47 </w:t>
            </w:r>
            <w:r w:rsidRPr="00100BF5">
              <w:rPr>
                <w:b/>
                <w:sz w:val="16"/>
                <w:vertAlign w:val="superscript"/>
              </w:rPr>
              <w:t xml:space="preserve"> </w:t>
            </w:r>
          </w:p>
        </w:tc>
      </w:tr>
      <w:tr w:rsidR="00A12DCA" w:rsidRPr="00100BF5">
        <w:tblPrEx>
          <w:tblCellMar>
            <w:top w:w="0" w:type="dxa"/>
            <w:bottom w:w="0" w:type="dxa"/>
          </w:tblCellMar>
        </w:tblPrEx>
        <w:trPr>
          <w:trHeight w:hRule="exac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Adjusted profit before tax</w:t>
            </w:r>
            <w:r w:rsidRPr="00100BF5">
              <w:rPr>
                <w:b/>
                <w:sz w:val="16"/>
                <w:vertAlign w:val="superscript"/>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746 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716 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704 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6 </w:t>
            </w:r>
            <w:r w:rsidRPr="00100BF5">
              <w:rPr>
                <w:b/>
                <w:sz w:val="16"/>
                <w:vertAlign w:val="superscript"/>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8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20"/>
              </w:rPr>
              <w:t>Balance Sheet Information</w:t>
            </w:r>
            <w:r w:rsidRPr="00100BF5">
              <w:rPr>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r w:rsidRPr="00100BF5">
              <w:rPr>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r w:rsidRPr="00100BF5">
              <w:rPr>
                <w:b/>
                <w:sz w:val="20"/>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Loans and advances to customers at amortised cost</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£123.4bn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£121.2bn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£117.9bn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Customer deposits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£113.9bn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£111.8bn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£108.3bn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Total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£130.8bn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£127.8bn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£123.7bn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£36.0bn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£34.0bn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£34.2bn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bl>
    <w:p w:rsidR="009922A3" w:rsidRPr="00100BF5" w:rsidRDefault="009922A3"/>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0810BB" w:rsidRPr="00100BF5" w:rsidTr="009922A3">
        <w:tblPrEx>
          <w:tblCellMar>
            <w:top w:w="0" w:type="dxa"/>
            <w:bottom w:w="0" w:type="dxa"/>
          </w:tblCellMar>
        </w:tblPrEx>
        <w:trPr>
          <w:trHeight w:val="28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20"/>
                <w:vertAlign w:val="superscript"/>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20"/>
                <w:vertAlign w:val="superscript"/>
              </w:rPr>
            </w:pPr>
            <w:r w:rsidRPr="00100BF5">
              <w:rPr>
                <w:b/>
                <w:sz w:val="16"/>
              </w:rPr>
              <w:t>Adjusted</w:t>
            </w:r>
            <w:r w:rsidRPr="00100BF5">
              <w:rPr>
                <w:b/>
                <w:sz w:val="16"/>
                <w:vertAlign w:val="superscript"/>
              </w:rPr>
              <w:t>1 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20"/>
                <w:vertAlign w:val="superscript"/>
              </w:rPr>
              <w:t xml:space="preserve"> </w:t>
            </w:r>
          </w:p>
        </w:tc>
      </w:tr>
      <w:tr w:rsidR="00A12DCA" w:rsidRPr="00100BF5">
        <w:tblPrEx>
          <w:tblCellMar>
            <w:top w:w="0" w:type="dxa"/>
            <w:bottom w:w="0" w:type="dxa"/>
          </w:tblCellMar>
        </w:tblPrEx>
        <w:trPr>
          <w:trHeight w:val="28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b/>
                <w:sz w:val="20"/>
              </w:rPr>
              <w:t>Performance Measures</w:t>
            </w:r>
            <w:r w:rsidRPr="00100BF5">
              <w:rPr>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r w:rsidRPr="00100BF5">
              <w:rPr>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b/>
                <w:sz w:val="16"/>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20"/>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Return on average equity</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16.6%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15.0%</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9.9%</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6.4%</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Return on average 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C4647B">
            <w:pPr>
              <w:jc w:val="right"/>
              <w:rPr>
                <w:sz w:val="16"/>
              </w:rPr>
            </w:pPr>
            <w:r w:rsidRPr="00100BF5">
              <w:rPr>
                <w:sz w:val="16"/>
              </w:rPr>
              <w:t>1.9</w:t>
            </w:r>
            <w:r w:rsidR="00A12DCA" w:rsidRPr="00100BF5">
              <w:rPr>
                <w:sz w:val="16"/>
              </w:rPr>
              <w:t>%</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Cost: income ratio</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57%</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74%</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Loan loss rate (bps)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46 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46 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bl>
    <w:p w:rsidR="009922A3" w:rsidRPr="00100BF5" w:rsidRDefault="009922A3"/>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8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20"/>
              </w:rPr>
              <w:t>Key Facts</w:t>
            </w:r>
            <w:r w:rsidRPr="00100BF5">
              <w:rPr>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b/>
                <w:sz w:val="16"/>
              </w:rPr>
              <w:t>30.06.12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20"/>
                <w:vertAlign w:val="superscript"/>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90 day arrears rates - UK personal loans</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90</w:t>
            </w:r>
            <w:r w:rsidR="003D6EF4" w:rsidRPr="00100BF5">
              <w:rPr>
                <w:sz w:val="16"/>
              </w:rPr>
              <w:t xml:space="preserve"> day arrears rates - h</w:t>
            </w:r>
            <w:r w:rsidRPr="00100BF5">
              <w:rPr>
                <w:sz w:val="16"/>
              </w:rPr>
              <w:t>ome loans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0.3%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UK current accounts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12.0m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11.9m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11.7m</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UK savings accounts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15.6m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15.1m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15.0m</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UK mortgage accounts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932,000 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930,000 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925,000 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Barclays Business customers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911600">
            <w:pPr>
              <w:jc w:val="right"/>
              <w:rPr>
                <w:sz w:val="16"/>
              </w:rPr>
            </w:pPr>
            <w:r w:rsidRPr="00100BF5">
              <w:rPr>
                <w:sz w:val="16"/>
              </w:rPr>
              <w:t>7</w:t>
            </w:r>
            <w:r w:rsidR="00911600" w:rsidRPr="00100BF5">
              <w:rPr>
                <w:sz w:val="16"/>
              </w:rPr>
              <w:t>90</w:t>
            </w:r>
            <w:r w:rsidRPr="00100BF5">
              <w:rPr>
                <w:sz w:val="16"/>
              </w:rPr>
              <w:t>,000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E0959">
            <w:pPr>
              <w:jc w:val="right"/>
              <w:rPr>
                <w:sz w:val="16"/>
              </w:rPr>
            </w:pPr>
            <w:r w:rsidRPr="00100BF5">
              <w:rPr>
                <w:sz w:val="16"/>
              </w:rPr>
              <w:t>7</w:t>
            </w:r>
            <w:r w:rsidR="00EE0959" w:rsidRPr="00100BF5">
              <w:rPr>
                <w:sz w:val="16"/>
              </w:rPr>
              <w:t>85</w:t>
            </w:r>
            <w:r w:rsidRPr="00100BF5">
              <w:rPr>
                <w:sz w:val="16"/>
              </w:rPr>
              <w:t>,000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E0959">
            <w:pPr>
              <w:jc w:val="right"/>
              <w:rPr>
                <w:sz w:val="16"/>
              </w:rPr>
            </w:pPr>
            <w:r w:rsidRPr="00100BF5">
              <w:rPr>
                <w:sz w:val="16"/>
              </w:rPr>
              <w:t>7</w:t>
            </w:r>
            <w:r w:rsidR="00EE0959" w:rsidRPr="00100BF5">
              <w:rPr>
                <w:sz w:val="16"/>
              </w:rPr>
              <w:t>79</w:t>
            </w:r>
            <w:r w:rsidRPr="00100BF5">
              <w:rPr>
                <w:sz w:val="16"/>
              </w:rPr>
              <w:t>,000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Average LTV of mortgage portfolio</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Average LTV of new mortgage lending</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branches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1,614 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1,625 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1,634 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ATMs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3,984 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3,629 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3,361 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lastRenderedPageBreak/>
              <w:t>Number of employees (full time equivalent)</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34,100 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34,100 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34,200 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bl>
    <w:p w:rsidR="00A12DCA" w:rsidRPr="00100BF5" w:rsidRDefault="00A12DCA"/>
    <w:p w:rsidR="00A12DCA" w:rsidRPr="00100BF5" w:rsidRDefault="00A12DCA" w:rsidP="00A12DCA">
      <w:pPr>
        <w:pStyle w:val="HeadingLevel1-BarcRA13"/>
        <w:ind w:left="284" w:hanging="284"/>
        <w:rPr>
          <w:b w:val="0"/>
          <w:i/>
          <w:color w:val="auto"/>
          <w:sz w:val="14"/>
          <w:lang w:val="en-GB"/>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Default="009922A3" w:rsidP="009922A3">
      <w:pPr>
        <w:pStyle w:val="BodyText-BarcRA16"/>
        <w:spacing w:before="0" w:after="0"/>
        <w:rPr>
          <w:sz w:val="2"/>
          <w:szCs w:val="2"/>
        </w:rPr>
      </w:pPr>
    </w:p>
    <w:p w:rsidR="00882E4A" w:rsidRDefault="00882E4A" w:rsidP="009922A3">
      <w:pPr>
        <w:pStyle w:val="BodyText-BarcRA16"/>
        <w:spacing w:before="0" w:after="0"/>
        <w:rPr>
          <w:sz w:val="2"/>
          <w:szCs w:val="2"/>
        </w:rPr>
      </w:pPr>
    </w:p>
    <w:p w:rsidR="00882E4A" w:rsidRDefault="00882E4A" w:rsidP="009922A3">
      <w:pPr>
        <w:pStyle w:val="BodyText-BarcRA16"/>
        <w:spacing w:before="0" w:after="0"/>
        <w:rPr>
          <w:sz w:val="2"/>
          <w:szCs w:val="2"/>
        </w:rPr>
      </w:pPr>
    </w:p>
    <w:p w:rsidR="00882E4A" w:rsidRDefault="00882E4A" w:rsidP="009922A3">
      <w:pPr>
        <w:pStyle w:val="BodyText-BarcRA16"/>
        <w:spacing w:before="0" w:after="0"/>
        <w:rPr>
          <w:sz w:val="2"/>
          <w:szCs w:val="2"/>
        </w:rPr>
      </w:pPr>
    </w:p>
    <w:p w:rsidR="00882E4A" w:rsidRDefault="00882E4A" w:rsidP="009922A3">
      <w:pPr>
        <w:pStyle w:val="BodyText-BarcRA16"/>
        <w:spacing w:before="0" w:after="0"/>
        <w:rPr>
          <w:sz w:val="2"/>
          <w:szCs w:val="2"/>
        </w:rPr>
      </w:pPr>
    </w:p>
    <w:p w:rsidR="00882E4A" w:rsidRDefault="00882E4A" w:rsidP="009922A3">
      <w:pPr>
        <w:pStyle w:val="BodyText-BarcRA16"/>
        <w:spacing w:before="0" w:after="0"/>
        <w:rPr>
          <w:sz w:val="2"/>
          <w:szCs w:val="2"/>
        </w:rPr>
      </w:pPr>
    </w:p>
    <w:p w:rsidR="00882E4A" w:rsidRDefault="00882E4A" w:rsidP="009922A3">
      <w:pPr>
        <w:pStyle w:val="BodyText-BarcRA16"/>
        <w:spacing w:before="0" w:after="0"/>
        <w:rPr>
          <w:sz w:val="2"/>
          <w:szCs w:val="2"/>
        </w:rPr>
      </w:pPr>
    </w:p>
    <w:p w:rsidR="00882E4A" w:rsidRPr="00100BF5" w:rsidRDefault="00882E4A"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9922A3" w:rsidRPr="00100BF5" w:rsidRDefault="009922A3" w:rsidP="009922A3">
      <w:pPr>
        <w:pStyle w:val="BodyText-BarcRA16"/>
        <w:spacing w:before="0" w:after="0"/>
        <w:rPr>
          <w:sz w:val="2"/>
          <w:szCs w:val="2"/>
        </w:rPr>
      </w:pPr>
    </w:p>
    <w:p w:rsidR="00A12DCA" w:rsidRPr="00100BF5" w:rsidRDefault="00A12DCA" w:rsidP="00A12DCA">
      <w:pPr>
        <w:pStyle w:val="HeadingLevel1-BarcRA13"/>
        <w:numPr>
          <w:ilvl w:val="0"/>
          <w:numId w:val="22"/>
        </w:numPr>
        <w:ind w:left="284" w:hanging="284"/>
        <w:rPr>
          <w:b w:val="0"/>
          <w:i/>
          <w:color w:val="auto"/>
          <w:sz w:val="8"/>
          <w:szCs w:val="8"/>
        </w:rPr>
      </w:pPr>
      <w:r w:rsidRPr="00100BF5">
        <w:rPr>
          <w:b w:val="0"/>
          <w:i/>
          <w:color w:val="auto"/>
          <w:sz w:val="14"/>
          <w:lang w:val="en-GB"/>
        </w:rPr>
        <w:t xml:space="preserve"> </w:t>
      </w:r>
      <w:r w:rsidRPr="00100BF5">
        <w:rPr>
          <w:b w:val="0"/>
          <w:i/>
          <w:color w:val="auto"/>
          <w:sz w:val="14"/>
        </w:rPr>
        <w:t>Adjusted profit before tax and adjusted performance measures exclude the impact of the provision for PPI redress of £</w:t>
      </w:r>
      <w:r w:rsidRPr="00100BF5">
        <w:rPr>
          <w:b w:val="0"/>
          <w:i/>
          <w:color w:val="auto"/>
          <w:sz w:val="14"/>
          <w:lang w:val="en-GB"/>
        </w:rPr>
        <w:t xml:space="preserve">300m </w:t>
      </w:r>
      <w:r w:rsidR="00882E4A">
        <w:rPr>
          <w:b w:val="0"/>
          <w:i/>
          <w:color w:val="auto"/>
          <w:sz w:val="14"/>
        </w:rPr>
        <w:t xml:space="preserve">(H2 </w:t>
      </w:r>
      <w:r w:rsidRPr="00100BF5">
        <w:rPr>
          <w:b w:val="0"/>
          <w:i/>
          <w:color w:val="auto"/>
          <w:sz w:val="14"/>
        </w:rPr>
        <w:t>11 £nil</w:t>
      </w:r>
      <w:r w:rsidRPr="00100BF5">
        <w:rPr>
          <w:b w:val="0"/>
          <w:i/>
          <w:color w:val="auto"/>
          <w:sz w:val="14"/>
          <w:lang w:val="en-GB"/>
        </w:rPr>
        <w:t xml:space="preserve">; </w:t>
      </w:r>
      <w:r w:rsidR="00882E4A">
        <w:rPr>
          <w:b w:val="0"/>
          <w:i/>
          <w:color w:val="auto"/>
          <w:sz w:val="14"/>
        </w:rPr>
        <w:t xml:space="preserve">H1 </w:t>
      </w:r>
      <w:r w:rsidRPr="00100BF5">
        <w:rPr>
          <w:b w:val="0"/>
          <w:i/>
          <w:color w:val="auto"/>
          <w:sz w:val="14"/>
        </w:rPr>
        <w:t>11: £400m)</w:t>
      </w:r>
      <w:r w:rsidRPr="00100BF5">
        <w:rPr>
          <w:b w:val="0"/>
          <w:i/>
          <w:color w:val="auto"/>
          <w:sz w:val="8"/>
          <w:szCs w:val="8"/>
        </w:rPr>
        <w:t>.</w:t>
      </w:r>
    </w:p>
    <w:p w:rsidR="005F437E" w:rsidRDefault="00A12DCA" w:rsidP="005F437E">
      <w:pPr>
        <w:pStyle w:val="HeadingLevel1-BarcRA"/>
      </w:pPr>
      <w:r w:rsidRPr="00100BF5">
        <w:br w:type="page"/>
      </w:r>
      <w:r w:rsidR="005F437E">
        <w:lastRenderedPageBreak/>
        <w:t>Results by Business</w:t>
      </w:r>
    </w:p>
    <w:p w:rsidR="00A12DCA" w:rsidRPr="00100BF5" w:rsidRDefault="00A12DCA" w:rsidP="0036376E">
      <w:pPr>
        <w:pStyle w:val="HeadingLevel1-BarcRA13"/>
        <w:jc w:val="left"/>
        <w:rPr>
          <w:b w:val="0"/>
          <w:i/>
          <w:color w:val="auto"/>
          <w:sz w:val="14"/>
        </w:rPr>
      </w:pPr>
      <w:r w:rsidRPr="00100BF5">
        <w:rPr>
          <w:color w:val="auto"/>
          <w:szCs w:val="24"/>
        </w:rPr>
        <w:t>UK Retail and Business Banking</w:t>
      </w:r>
    </w:p>
    <w:p w:rsidR="00A12DCA" w:rsidRPr="00100BF5" w:rsidRDefault="00A12DCA" w:rsidP="00A12DCA">
      <w:pPr>
        <w:pStyle w:val="Level1Bullet-BarcRA20"/>
        <w:numPr>
          <w:ilvl w:val="0"/>
          <w:numId w:val="0"/>
        </w:numPr>
        <w:tabs>
          <w:tab w:val="left" w:pos="720"/>
        </w:tabs>
        <w:ind w:left="284" w:hanging="284"/>
        <w:rPr>
          <w:b/>
          <w:sz w:val="20"/>
        </w:rPr>
      </w:pPr>
      <w:r w:rsidRPr="00100BF5">
        <w:rPr>
          <w:b/>
          <w:sz w:val="20"/>
          <w:lang w:val="en-GB"/>
        </w:rPr>
        <w:t>Income Statement – H1</w:t>
      </w:r>
      <w:r w:rsidR="00D6381B">
        <w:rPr>
          <w:b/>
          <w:sz w:val="20"/>
          <w:lang w:val="en-GB"/>
        </w:rPr>
        <w:t xml:space="preserve"> </w:t>
      </w:r>
      <w:r w:rsidRPr="00100BF5">
        <w:rPr>
          <w:b/>
          <w:sz w:val="20"/>
          <w:lang w:val="en-GB"/>
        </w:rPr>
        <w:t>12 compared to H1</w:t>
      </w:r>
      <w:r w:rsidR="00D6381B">
        <w:rPr>
          <w:b/>
          <w:sz w:val="20"/>
          <w:lang w:val="en-GB"/>
        </w:rPr>
        <w:t xml:space="preserve"> </w:t>
      </w:r>
      <w:r w:rsidRPr="00100BF5">
        <w:rPr>
          <w:b/>
          <w:sz w:val="20"/>
          <w:lang w:val="en-GB"/>
        </w:rPr>
        <w:t>11</w:t>
      </w:r>
    </w:p>
    <w:p w:rsidR="00A12DCA" w:rsidRPr="00100BF5" w:rsidRDefault="00A12DCA" w:rsidP="00D84886">
      <w:pPr>
        <w:pStyle w:val="Level1Bullet-BarcRA03"/>
        <w:rPr>
          <w:lang w:val="en-GB"/>
        </w:rPr>
      </w:pPr>
      <w:r w:rsidRPr="00100BF5">
        <w:rPr>
          <w:lang w:val="en-GB"/>
        </w:rPr>
        <w:t>Adjusted profit before tax improved 6% to £746m. Profit before tax improved 47% to £446m after £300m (2011: £400m) provision for PPI redress</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Solid new mortgage lending and deposit inflow</w:t>
      </w:r>
      <w:r w:rsidR="003D6EF4" w:rsidRPr="00100BF5">
        <w:rPr>
          <w:lang w:val="en-GB"/>
        </w:rPr>
        <w:t>s as</w:t>
      </w:r>
      <w:r w:rsidRPr="00100BF5">
        <w:rPr>
          <w:lang w:val="en-GB"/>
        </w:rPr>
        <w:t xml:space="preserve"> reflected in balance sheet growth</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 xml:space="preserve">Continued reduction in impairment in personal unsecured lending </w:t>
      </w:r>
    </w:p>
    <w:p w:rsidR="00A12DCA" w:rsidRPr="00100BF5" w:rsidRDefault="00A12DCA" w:rsidP="00D84886">
      <w:pPr>
        <w:pStyle w:val="Level1Bullet-BarcRA03"/>
        <w:rPr>
          <w:lang w:val="en-GB"/>
        </w:rPr>
      </w:pPr>
      <w:r w:rsidRPr="00100BF5">
        <w:rPr>
          <w:lang w:val="en-GB"/>
        </w:rPr>
        <w:t xml:space="preserve">Income declined 2% to £2,205m driven by lower net fees and commissions </w:t>
      </w:r>
    </w:p>
    <w:p w:rsidR="00A12DCA" w:rsidRPr="00100BF5" w:rsidRDefault="00A12DCA" w:rsidP="00D84886">
      <w:pPr>
        <w:pStyle w:val="Level1Bullet-BarcRA03"/>
        <w:rPr>
          <w:lang w:val="en-GB"/>
        </w:rPr>
      </w:pPr>
      <w:r w:rsidRPr="00100BF5">
        <w:rPr>
          <w:lang w:val="en-GB"/>
        </w:rPr>
        <w:t xml:space="preserve">Net interest income declined 1% to £1,612m with net interest margin down 7bps to 139bps </w:t>
      </w:r>
      <w:r w:rsidR="003D6EF4" w:rsidRPr="00100BF5">
        <w:rPr>
          <w:lang w:val="en-GB"/>
        </w:rPr>
        <w:t>including reduced contributions from</w:t>
      </w:r>
      <w:r w:rsidR="00E13E76" w:rsidRPr="00100BF5">
        <w:rPr>
          <w:lang w:val="en-GB"/>
        </w:rPr>
        <w:t xml:space="preserve"> </w:t>
      </w:r>
      <w:r w:rsidRPr="00100BF5">
        <w:rPr>
          <w:lang w:val="en-GB"/>
        </w:rPr>
        <w:t>structural hedges</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 xml:space="preserve">Customer asset margin decreased 17bps to 108bps reflecting higher funding </w:t>
      </w:r>
      <w:r w:rsidR="00931FB3" w:rsidRPr="00100BF5">
        <w:rPr>
          <w:lang w:val="en-GB"/>
        </w:rPr>
        <w:t>rate</w:t>
      </w:r>
      <w:r w:rsidR="007216E7">
        <w:rPr>
          <w:lang w:val="en-GB"/>
        </w:rPr>
        <w:t>s</w:t>
      </w:r>
      <w:r w:rsidRPr="00100BF5">
        <w:rPr>
          <w:lang w:val="en-GB"/>
        </w:rPr>
        <w:t xml:space="preserve"> </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Average customer assets increased 5% to £122.3bn driven by 6% growth in average mortgage balances</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Customer liability margin increased 14bps to 97</w:t>
      </w:r>
      <w:r w:rsidR="003D6EF4" w:rsidRPr="00100BF5">
        <w:rPr>
          <w:lang w:val="en-GB"/>
        </w:rPr>
        <w:t>bps reflecting an</w:t>
      </w:r>
      <w:r w:rsidRPr="00100BF5">
        <w:rPr>
          <w:lang w:val="en-GB"/>
        </w:rPr>
        <w:t xml:space="preserve"> increase in </w:t>
      </w:r>
      <w:r w:rsidR="003D6EF4" w:rsidRPr="00100BF5">
        <w:rPr>
          <w:lang w:val="en-GB"/>
        </w:rPr>
        <w:t>funding</w:t>
      </w:r>
      <w:r w:rsidRPr="00100BF5">
        <w:rPr>
          <w:lang w:val="en-GB"/>
        </w:rPr>
        <w:t xml:space="preserve"> </w:t>
      </w:r>
      <w:r w:rsidR="007216E7">
        <w:rPr>
          <w:lang w:val="en-GB"/>
        </w:rPr>
        <w:t>rates</w:t>
      </w:r>
      <w:r w:rsidRPr="00100BF5">
        <w:rPr>
          <w:lang w:val="en-GB"/>
        </w:rPr>
        <w:t xml:space="preserve"> and therefore the value generated from customer liabilities</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Average customer liabilities increased 3% to £110.5bn due to savings deposit growth</w:t>
      </w:r>
    </w:p>
    <w:p w:rsidR="00A12DCA" w:rsidRPr="00100BF5" w:rsidRDefault="00A12DCA" w:rsidP="00D84886">
      <w:pPr>
        <w:pStyle w:val="Level1Bullet-BarcRA03"/>
        <w:rPr>
          <w:lang w:val="en-GB"/>
        </w:rPr>
      </w:pPr>
      <w:r w:rsidRPr="00100BF5">
        <w:rPr>
          <w:lang w:val="en-GB"/>
        </w:rPr>
        <w:t>Net fee and commission income down 4% to £568m following closure of the branch-based element of the financial planning business in Q1 2011 and lower overdraft fees</w:t>
      </w:r>
    </w:p>
    <w:p w:rsidR="00A12DCA" w:rsidRPr="00100BF5" w:rsidRDefault="00A12DCA" w:rsidP="00D84886">
      <w:pPr>
        <w:pStyle w:val="Level1Bullet-BarcRA03"/>
        <w:rPr>
          <w:lang w:val="en-GB"/>
        </w:rPr>
      </w:pPr>
      <w:r w:rsidRPr="00100BF5">
        <w:rPr>
          <w:lang w:val="en-GB"/>
        </w:rPr>
        <w:t>Credit impairment charges decreased 56% to £122m with annualised loan loss rate of 19bps (2011: 46bps)</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Personal unsecured lending impairment improved 62% to £61m with 90 day arrears rates on UK persona</w:t>
      </w:r>
      <w:r w:rsidR="0019307E">
        <w:rPr>
          <w:lang w:val="en-GB"/>
        </w:rPr>
        <w:t>l loans improving 70</w:t>
      </w:r>
      <w:r w:rsidRPr="00100BF5">
        <w:rPr>
          <w:lang w:val="en-GB"/>
        </w:rPr>
        <w:t xml:space="preserve">bps to 1.4% </w:t>
      </w:r>
    </w:p>
    <w:p w:rsidR="00A12DCA" w:rsidRPr="00100BF5" w:rsidRDefault="00A12DCA" w:rsidP="00D84886">
      <w:pPr>
        <w:pStyle w:val="Level1Bullet-BarcRA03"/>
        <w:rPr>
          <w:lang w:val="en-GB"/>
        </w:rPr>
      </w:pPr>
      <w:r w:rsidRPr="00100BF5">
        <w:rPr>
          <w:lang w:val="en-GB"/>
        </w:rPr>
        <w:t xml:space="preserve">Operating expenses decreased 2% to £1,637m. Excluding the provision for PPI redress of £300m (2011: £400m), operating expenses increased 5% </w:t>
      </w:r>
      <w:r w:rsidR="003D6EF4" w:rsidRPr="00100BF5">
        <w:rPr>
          <w:lang w:val="en-GB"/>
        </w:rPr>
        <w:t>including</w:t>
      </w:r>
      <w:r w:rsidRPr="00100BF5">
        <w:rPr>
          <w:lang w:val="en-GB"/>
        </w:rPr>
        <w:t xml:space="preserve"> higher PPI related operating costs</w:t>
      </w:r>
    </w:p>
    <w:p w:rsidR="00A12DCA" w:rsidRPr="00100BF5" w:rsidRDefault="00A12DCA" w:rsidP="00D84886">
      <w:pPr>
        <w:pStyle w:val="Level1Bullet-BarcRA03"/>
        <w:rPr>
          <w:lang w:val="en-GB"/>
        </w:rPr>
      </w:pPr>
      <w:r w:rsidRPr="00100BF5">
        <w:rPr>
          <w:lang w:val="en-GB"/>
        </w:rPr>
        <w:t>Adjusted return on average equity improved to 16.6% (2011: 15.0%). Return on average equity improved to 9.9% (2011: 6.4%)</w:t>
      </w:r>
    </w:p>
    <w:p w:rsidR="00A12DCA" w:rsidRPr="00100BF5" w:rsidRDefault="00A12DCA" w:rsidP="00A12DCA">
      <w:pPr>
        <w:pStyle w:val="Level1Bullet-BarcRA20"/>
        <w:numPr>
          <w:ilvl w:val="0"/>
          <w:numId w:val="0"/>
        </w:numPr>
        <w:tabs>
          <w:tab w:val="left" w:pos="720"/>
        </w:tabs>
        <w:ind w:left="284" w:hanging="284"/>
        <w:rPr>
          <w:b/>
          <w:sz w:val="20"/>
          <w:lang w:val="en-GB"/>
        </w:rPr>
      </w:pPr>
      <w:r w:rsidRPr="00100BF5">
        <w:rPr>
          <w:b/>
          <w:sz w:val="20"/>
          <w:lang w:val="en-GB"/>
        </w:rPr>
        <w:t>Income Statement – Q2</w:t>
      </w:r>
      <w:r w:rsidR="00D6381B">
        <w:rPr>
          <w:b/>
          <w:sz w:val="20"/>
          <w:lang w:val="en-GB"/>
        </w:rPr>
        <w:t xml:space="preserve"> </w:t>
      </w:r>
      <w:r w:rsidRPr="00100BF5">
        <w:rPr>
          <w:b/>
          <w:sz w:val="20"/>
          <w:lang w:val="en-GB"/>
        </w:rPr>
        <w:t>12 compared to Q1</w:t>
      </w:r>
      <w:r w:rsidR="00D6381B">
        <w:rPr>
          <w:b/>
          <w:sz w:val="20"/>
          <w:lang w:val="en-GB"/>
        </w:rPr>
        <w:t xml:space="preserve"> </w:t>
      </w:r>
      <w:r w:rsidRPr="00100BF5">
        <w:rPr>
          <w:b/>
          <w:sz w:val="20"/>
          <w:lang w:val="en-GB"/>
        </w:rPr>
        <w:t>12</w:t>
      </w:r>
    </w:p>
    <w:p w:rsidR="00A12DCA" w:rsidRPr="00100BF5" w:rsidRDefault="00A12DCA" w:rsidP="00D84886">
      <w:pPr>
        <w:pStyle w:val="Level1Bullet-BarcRA03"/>
      </w:pPr>
      <w:r w:rsidRPr="00100BF5">
        <w:t>Adjusted profit before tax improved 23% to £412m, reflecting a 5% increase in income and a 39% reduction in impairment charges due to a non-recurring provision release. Profit before tax improved £</w:t>
      </w:r>
      <w:r w:rsidR="00943E91" w:rsidRPr="00100BF5">
        <w:t>378m to £412m, reflecting the</w:t>
      </w:r>
      <w:r w:rsidRPr="00100BF5">
        <w:t xml:space="preserve"> PPI redress provision of £300m</w:t>
      </w:r>
      <w:r w:rsidR="00943E91" w:rsidRPr="00100BF5">
        <w:t xml:space="preserve"> recognised in Q1</w:t>
      </w:r>
      <w:r w:rsidR="00D6381B">
        <w:rPr>
          <w:lang w:val="en-GB"/>
        </w:rPr>
        <w:t xml:space="preserve"> 12</w:t>
      </w:r>
    </w:p>
    <w:p w:rsidR="00A12DCA" w:rsidRPr="00100BF5" w:rsidRDefault="00A12DCA" w:rsidP="00A12DCA">
      <w:pPr>
        <w:pStyle w:val="Level1Bullet-BarcRA2030"/>
        <w:numPr>
          <w:ilvl w:val="0"/>
          <w:numId w:val="0"/>
        </w:numPr>
        <w:tabs>
          <w:tab w:val="left" w:pos="720"/>
        </w:tabs>
        <w:ind w:left="284" w:hanging="284"/>
        <w:rPr>
          <w:b/>
          <w:sz w:val="20"/>
          <w:lang w:val="en-GB"/>
        </w:rPr>
      </w:pPr>
      <w:r w:rsidRPr="00100BF5">
        <w:rPr>
          <w:b/>
          <w:sz w:val="20"/>
          <w:lang w:val="en-GB"/>
        </w:rPr>
        <w:t>Balance Sheet – 30 June 2012 compared to 31 December 2011</w:t>
      </w:r>
    </w:p>
    <w:p w:rsidR="00A12DCA" w:rsidRPr="00100BF5" w:rsidRDefault="00A12DCA" w:rsidP="00D84886">
      <w:pPr>
        <w:pStyle w:val="Level1Bullet-BarcRA03"/>
        <w:rPr>
          <w:lang w:val="en-GB"/>
        </w:rPr>
      </w:pPr>
      <w:r w:rsidRPr="00100BF5">
        <w:rPr>
          <w:lang w:val="en-GB"/>
        </w:rPr>
        <w:t>Total loans and advances to customers increased 2% to £123.4bn driven by growth in mortgage balances</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t>Mortgage balances of £110.0bn at 30 June 2012 (31 December 2011: £107.8bn). Gross new mortgage lending of £7.8bn (30 June 2011: £7.6bn) and mortgage redemptions of £5.6bn (30 June 2011: £4.9bn), resulted in net new mortgage lending of £2.2bn (30 June 2011: £2.7bn)</w:t>
      </w:r>
    </w:p>
    <w:p w:rsidR="00A12DCA" w:rsidRPr="00100BF5" w:rsidRDefault="00A12DCA" w:rsidP="00D84886">
      <w:pPr>
        <w:pStyle w:val="Level2Bullet-BarcRA2"/>
        <w:numPr>
          <w:ilvl w:val="2"/>
          <w:numId w:val="9"/>
        </w:numPr>
        <w:tabs>
          <w:tab w:val="num" w:pos="567"/>
        </w:tabs>
        <w:ind w:left="567" w:hanging="283"/>
        <w:rPr>
          <w:lang w:val="en-GB"/>
        </w:rPr>
      </w:pPr>
      <w:r w:rsidRPr="00100BF5">
        <w:rPr>
          <w:lang w:val="en-GB"/>
        </w:rPr>
        <w:lastRenderedPageBreak/>
        <w:t>Average Loan to Value (LTV) ratio on the mortgage portfolio (including buy to let) on a current valuation basis was 44% (31 December 2011: 44%). Average LTV of new mortgage lending was 55% (31 December 2011: 54%)</w:t>
      </w:r>
    </w:p>
    <w:p w:rsidR="00A12DCA" w:rsidRPr="00100BF5" w:rsidRDefault="00A12DCA" w:rsidP="00D84886">
      <w:pPr>
        <w:pStyle w:val="Level1Bullet-BarcRA03"/>
        <w:rPr>
          <w:lang w:val="en-GB"/>
        </w:rPr>
      </w:pPr>
      <w:r w:rsidRPr="00100BF5">
        <w:rPr>
          <w:lang w:val="en-GB"/>
        </w:rPr>
        <w:t>Total customer deposits increased 2% to £113.9bn primarily driven by growth in savings from ISAs and bonds</w:t>
      </w:r>
    </w:p>
    <w:p w:rsidR="00A12DCA" w:rsidRPr="00100BF5" w:rsidRDefault="00A12DCA" w:rsidP="00D84886">
      <w:pPr>
        <w:pStyle w:val="Level1Bullet-BarcRA03"/>
        <w:rPr>
          <w:lang w:val="en-GB"/>
        </w:rPr>
      </w:pPr>
      <w:r w:rsidRPr="00100BF5">
        <w:rPr>
          <w:lang w:val="en-GB"/>
        </w:rPr>
        <w:t>Risk weighted assets increased 6% to £36.0bn as a result of methodology changes and an increase in mortgage balances</w:t>
      </w:r>
    </w:p>
    <w:p w:rsidR="00A12DCA" w:rsidRPr="00100BF5" w:rsidRDefault="00A12DCA" w:rsidP="00A12DCA">
      <w:pPr>
        <w:pStyle w:val="Level1Bullet-BarcRA20"/>
        <w:numPr>
          <w:ilvl w:val="0"/>
          <w:numId w:val="0"/>
        </w:numPr>
      </w:pP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val="31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Europe Retail and Business Banking</w:t>
            </w:r>
            <w:r w:rsidRPr="00100BF5">
              <w:rPr>
                <w:b/>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24"/>
                <w:vertAlign w:val="superscript"/>
              </w:rPr>
            </w:pPr>
            <w:r w:rsidRPr="00100BF5">
              <w:rPr>
                <w:b/>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24"/>
              </w:rPr>
            </w:pPr>
            <w:r w:rsidRPr="00100BF5">
              <w:rPr>
                <w:b/>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24"/>
              </w:rPr>
            </w:pPr>
            <w:r w:rsidRPr="00100BF5">
              <w:rPr>
                <w:b/>
                <w:sz w:val="24"/>
              </w:rPr>
              <w:t xml:space="preserve"> </w:t>
            </w:r>
            <w:r w:rsidRPr="00100BF5">
              <w:rPr>
                <w:b/>
                <w:sz w:val="24"/>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24"/>
                <w:vertAlign w:val="superscript"/>
              </w:rPr>
            </w:pPr>
            <w:r w:rsidRPr="00100BF5">
              <w:rPr>
                <w:b/>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r>
      <w:tr w:rsidR="000810BB" w:rsidRPr="00100BF5" w:rsidTr="00D54056">
        <w:tblPrEx>
          <w:tblCellMar>
            <w:top w:w="0" w:type="dxa"/>
            <w:bottom w:w="0" w:type="dxa"/>
          </w:tblCellMar>
        </w:tblPrEx>
        <w:trPr>
          <w:trHeight w:val="27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16"/>
              </w:rPr>
              <w:t xml:space="preserve"> </w:t>
            </w:r>
            <w:r w:rsidRPr="00100BF5">
              <w:rPr>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b/>
                <w:sz w:val="16"/>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Half Year Ended</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Income Statement Information</w:t>
            </w:r>
            <w:r w:rsidRPr="00100BF5">
              <w:rPr>
                <w:b/>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20"/>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r w:rsidRPr="00100BF5">
              <w:rPr>
                <w:b/>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20"/>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30.06.11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YoY</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Change</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Net interest income </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309 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428 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Net fee and commission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219 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Net trading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145386">
            <w:pPr>
              <w:jc w:val="right"/>
              <w:rPr>
                <w:sz w:val="16"/>
              </w:rPr>
            </w:pPr>
            <w:r w:rsidRPr="00100BF5">
              <w:rPr>
                <w:sz w:val="16"/>
              </w:rPr>
              <w:t>4</w:t>
            </w:r>
            <w:r w:rsidR="00A12DCA"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Net investment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Net premiums from insurance contracts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254 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rPr>
            </w:pPr>
            <w:r w:rsidRPr="00100BF5">
              <w:rPr>
                <w:sz w:val="16"/>
              </w:rPr>
              <w:t>Other income</w:t>
            </w:r>
            <w:r w:rsidR="002102E7">
              <w:rPr>
                <w:sz w:val="16"/>
              </w:rPr>
              <w:t>/</w:t>
            </w:r>
            <w:r w:rsidR="002102E7" w:rsidRPr="00100BF5">
              <w:rPr>
                <w:sz w:val="16"/>
              </w:rPr>
              <w:t>(expense)</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145386">
            <w:pPr>
              <w:jc w:val="right"/>
              <w:rPr>
                <w:sz w:val="16"/>
              </w:rPr>
            </w:pPr>
            <w:r w:rsidRPr="00100BF5">
              <w:rPr>
                <w:sz w:val="16"/>
              </w:rPr>
              <w:t>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723 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853 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876 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(17)</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Net claims and benefits incurred under insurance contracts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(237)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income net of insurance claims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486 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622 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604 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(20)</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Credit impairment charges and other provisions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(145)</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(116)</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Net operating 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329 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477 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488 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(33)</w:t>
            </w:r>
          </w:p>
        </w:tc>
      </w:tr>
      <w:tr w:rsidR="00A12DCA" w:rsidRPr="00100BF5">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Operating expenses (excluding goodwill impairment)</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(428)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(554)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(657)</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Goodwill impairment</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(427)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Operating expenses </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(428)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(981)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(657)</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(35)</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D6745F" w:rsidP="00D6745F">
            <w:pPr>
              <w:rPr>
                <w:b/>
                <w:sz w:val="16"/>
              </w:rPr>
            </w:pPr>
            <w:r w:rsidRPr="00100BF5">
              <w:rPr>
                <w:sz w:val="16"/>
                <w:szCs w:val="14"/>
              </w:rPr>
              <w:t>Other net income</w:t>
            </w:r>
            <w:r w:rsidR="00A12DCA" w:rsidRPr="00100BF5">
              <w:rPr>
                <w:sz w:val="16"/>
              </w:rPr>
              <w:t xml:space="preserve"> </w:t>
            </w:r>
            <w:r w:rsidR="00A12DCA"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Loss before tax</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(92)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(500)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(161)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(43)</w:t>
            </w:r>
          </w:p>
        </w:tc>
      </w:tr>
      <w:tr w:rsidR="00A12DCA" w:rsidRPr="00100BF5">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Adjusted loss before tax</w:t>
            </w:r>
            <w:r w:rsidRPr="00100BF5">
              <w:rPr>
                <w:b/>
                <w:sz w:val="16"/>
                <w:vertAlign w:val="superscript"/>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(92)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(161)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(43)</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20"/>
              </w:rPr>
              <w:t>Balance Sheet Information</w:t>
            </w:r>
            <w:r w:rsidRPr="00100BF5">
              <w:rPr>
                <w:b/>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r w:rsidRPr="00100BF5">
              <w:rPr>
                <w:b/>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20"/>
              </w:rPr>
            </w:pPr>
            <w:r w:rsidRPr="00100BF5">
              <w:rPr>
                <w:sz w:val="16"/>
              </w:rPr>
              <w:t>Loans and advances to customers at amortised cost</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£41.2bn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£43.6bn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£46.0bn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Customer deposits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£18.4bn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£16.4bn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£19.1bn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Total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£48.1bn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£51.3bn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£56.7bn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£16.6bn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£17.4bn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£17.9bn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0810BB" w:rsidRPr="00100BF5" w:rsidTr="00D5405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rPr>
            </w:pPr>
            <w:r w:rsidRPr="00100BF5">
              <w:rPr>
                <w:b/>
                <w:sz w:val="16"/>
              </w:rPr>
              <w:t>Adjusted</w:t>
            </w:r>
            <w:r w:rsidRPr="00100BF5">
              <w:rPr>
                <w:b/>
                <w:sz w:val="16"/>
                <w:vertAlign w:val="superscript"/>
              </w:rPr>
              <w:t>1 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Performance Measures</w:t>
            </w:r>
            <w:r w:rsidRPr="00100BF5">
              <w:rPr>
                <w:b/>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20"/>
                <w:vertAlign w:val="superscript"/>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30.06.11</w:t>
            </w:r>
            <w:r w:rsidRPr="00100BF5">
              <w:rPr>
                <w:b/>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20"/>
                <w:vertAlign w:val="superscript"/>
              </w:rPr>
            </w:pPr>
            <w:r w:rsidRPr="00100BF5">
              <w:rPr>
                <w:sz w:val="20"/>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20"/>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EF2108">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Return on average equity</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(6.2%)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(2.7%)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(9.3%)</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(6.2%)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(34.1%)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(9.3%)</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Return on average 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(0.8%)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(0.4%)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(1.4%)</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(0.8%)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(5.2%)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(1.4%)</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Cost: income ratio</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88%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89%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109%</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88%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158%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109%</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Loan loss rate (bps)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75 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56 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50 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75 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56 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50 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rsidTr="00EF2108">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20"/>
              </w:rPr>
              <w:t>Key Facts</w:t>
            </w:r>
            <w:r w:rsidRPr="00100BF5">
              <w:rPr>
                <w:b/>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20"/>
              </w:rPr>
            </w:pPr>
            <w:r w:rsidRPr="00100BF5">
              <w:rPr>
                <w:b/>
                <w:sz w:val="16"/>
              </w:rPr>
              <w:t>30.06.12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r w:rsidRPr="00100BF5">
              <w:rPr>
                <w:b/>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20"/>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31.12.11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EF2108">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30 day arrears rates - cards</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6.2%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5.9%</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6.7%</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3D6EF4">
            <w:pPr>
              <w:rPr>
                <w:sz w:val="16"/>
              </w:rPr>
            </w:pPr>
            <w:r w:rsidRPr="00100BF5">
              <w:rPr>
                <w:sz w:val="16"/>
              </w:rPr>
              <w:t xml:space="preserve">90 day arrears rate - </w:t>
            </w:r>
            <w:r w:rsidR="003D6EF4" w:rsidRPr="00100BF5">
              <w:rPr>
                <w:sz w:val="16"/>
              </w:rPr>
              <w:t>h</w:t>
            </w:r>
            <w:r w:rsidRPr="00100BF5">
              <w:rPr>
                <w:sz w:val="16"/>
              </w:rPr>
              <w:t>ome Loans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0.8%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0.7%</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0.6%</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Number of customers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2.6m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2.7m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2.7m</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Number of branches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951 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978 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1,120 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Number of sales centres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228 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250 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sz w:val="16"/>
              </w:rPr>
              <w:t>247 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F2108">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Number of distribution points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F2108">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F2108">
            <w:pPr>
              <w:jc w:val="right"/>
              <w:rPr>
                <w:b/>
                <w:sz w:val="16"/>
              </w:rPr>
            </w:pPr>
            <w:r w:rsidRPr="00100BF5">
              <w:rPr>
                <w:b/>
                <w:sz w:val="16"/>
              </w:rPr>
              <w:t>1,179 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1,228 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1,367 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EF2108">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EF2108">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Number of employees (full time equivalent)</w:t>
            </w:r>
            <w:r w:rsidRPr="00100BF5">
              <w:rPr>
                <w:b/>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F2108">
            <w:pPr>
              <w:jc w:val="right"/>
              <w:rPr>
                <w:sz w:val="16"/>
              </w:rPr>
            </w:pPr>
            <w:r w:rsidRPr="00100BF5">
              <w:rPr>
                <w:sz w:val="16"/>
              </w:rPr>
              <w:t>8,000 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b/>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sz w:val="16"/>
              </w:rPr>
              <w:t>8,500 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F2108">
            <w:pPr>
              <w:jc w:val="right"/>
              <w:rPr>
                <w:b/>
                <w:sz w:val="16"/>
              </w:rPr>
            </w:pPr>
            <w:r w:rsidRPr="00100BF5">
              <w:rPr>
                <w:sz w:val="16"/>
              </w:rPr>
              <w:t>9,300 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A12DCA" w:rsidRPr="00100BF5" w:rsidRDefault="00A12DCA"/>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ind w:left="284" w:hanging="284"/>
        <w:rPr>
          <w:i/>
          <w:sz w:val="14"/>
        </w:rPr>
      </w:pPr>
    </w:p>
    <w:p w:rsidR="00A12DCA" w:rsidRPr="00100BF5" w:rsidRDefault="00A12DCA" w:rsidP="00A12DCA">
      <w:pPr>
        <w:pStyle w:val="Normal19"/>
        <w:rPr>
          <w:i/>
          <w:sz w:val="2"/>
          <w:szCs w:val="2"/>
        </w:rPr>
      </w:pPr>
    </w:p>
    <w:p w:rsidR="00AF72CF" w:rsidRPr="00100BF5" w:rsidRDefault="00AF72CF" w:rsidP="00A12DCA">
      <w:pPr>
        <w:pStyle w:val="Normal19"/>
        <w:rPr>
          <w:i/>
          <w:sz w:val="2"/>
          <w:szCs w:val="2"/>
        </w:rPr>
      </w:pPr>
    </w:p>
    <w:p w:rsidR="00D54056" w:rsidRPr="00100BF5" w:rsidRDefault="00D54056" w:rsidP="00A12DCA">
      <w:pPr>
        <w:pStyle w:val="Normal19"/>
        <w:rPr>
          <w:i/>
          <w:sz w:val="2"/>
          <w:szCs w:val="2"/>
        </w:rPr>
      </w:pPr>
    </w:p>
    <w:p w:rsidR="00D54056" w:rsidRPr="00100BF5" w:rsidRDefault="00D54056" w:rsidP="00A12DCA">
      <w:pPr>
        <w:pStyle w:val="Normal19"/>
        <w:rPr>
          <w:i/>
          <w:sz w:val="2"/>
          <w:szCs w:val="2"/>
        </w:rPr>
      </w:pPr>
    </w:p>
    <w:p w:rsidR="00D54056" w:rsidRPr="00100BF5" w:rsidRDefault="00D54056" w:rsidP="00A12DCA">
      <w:pPr>
        <w:pStyle w:val="Normal19"/>
        <w:rPr>
          <w:i/>
          <w:sz w:val="2"/>
          <w:szCs w:val="2"/>
        </w:rPr>
      </w:pPr>
    </w:p>
    <w:p w:rsidR="00D54056" w:rsidRPr="00100BF5" w:rsidRDefault="00D54056" w:rsidP="00A12DCA">
      <w:pPr>
        <w:pStyle w:val="Normal19"/>
        <w:rPr>
          <w:i/>
          <w:sz w:val="2"/>
          <w:szCs w:val="2"/>
        </w:rPr>
      </w:pPr>
    </w:p>
    <w:p w:rsidR="00AF72CF" w:rsidRPr="00100BF5" w:rsidRDefault="00AF72CF" w:rsidP="00A12DCA">
      <w:pPr>
        <w:pStyle w:val="Normal19"/>
        <w:rPr>
          <w:i/>
          <w:sz w:val="2"/>
          <w:szCs w:val="2"/>
        </w:rPr>
      </w:pPr>
    </w:p>
    <w:p w:rsidR="00AF72CF" w:rsidRPr="00100BF5" w:rsidRDefault="00AF72CF" w:rsidP="00A12DCA">
      <w:pPr>
        <w:pStyle w:val="Normal19"/>
        <w:rPr>
          <w:i/>
          <w:sz w:val="2"/>
          <w:szCs w:val="2"/>
        </w:rPr>
      </w:pPr>
    </w:p>
    <w:p w:rsidR="00AF72CF" w:rsidRPr="00100BF5" w:rsidRDefault="00AF72CF" w:rsidP="00A12DCA">
      <w:pPr>
        <w:pStyle w:val="Normal19"/>
        <w:rPr>
          <w:i/>
          <w:sz w:val="2"/>
          <w:szCs w:val="2"/>
        </w:rPr>
      </w:pPr>
    </w:p>
    <w:p w:rsidR="00AF72CF" w:rsidRPr="00100BF5" w:rsidRDefault="00AF72CF" w:rsidP="00A12DCA">
      <w:pPr>
        <w:pStyle w:val="Normal19"/>
        <w:rPr>
          <w:i/>
          <w:sz w:val="2"/>
          <w:szCs w:val="2"/>
        </w:rPr>
      </w:pPr>
    </w:p>
    <w:p w:rsidR="00AF72CF" w:rsidRPr="00100BF5" w:rsidRDefault="00AF72CF" w:rsidP="00A12DCA">
      <w:pPr>
        <w:pStyle w:val="Normal19"/>
        <w:rPr>
          <w:i/>
          <w:sz w:val="2"/>
          <w:szCs w:val="2"/>
        </w:rPr>
      </w:pPr>
    </w:p>
    <w:p w:rsidR="00AF72CF" w:rsidRPr="00100BF5" w:rsidRDefault="00AF72CF" w:rsidP="00A12DCA">
      <w:pPr>
        <w:pStyle w:val="Normal19"/>
        <w:rPr>
          <w:i/>
          <w:sz w:val="2"/>
          <w:szCs w:val="2"/>
        </w:rPr>
      </w:pPr>
    </w:p>
    <w:p w:rsidR="00AF72CF" w:rsidRPr="00100BF5" w:rsidRDefault="00AF72CF" w:rsidP="00A12DCA">
      <w:pPr>
        <w:pStyle w:val="Normal19"/>
        <w:rPr>
          <w:i/>
          <w:sz w:val="2"/>
          <w:szCs w:val="2"/>
        </w:rPr>
      </w:pPr>
    </w:p>
    <w:p w:rsidR="00AF72CF" w:rsidRPr="00886D94" w:rsidRDefault="00AF72CF" w:rsidP="00886D94">
      <w:pPr>
        <w:pStyle w:val="HeadingLevel1-BarcRA13"/>
        <w:ind w:left="284"/>
        <w:rPr>
          <w:b w:val="0"/>
          <w:i/>
          <w:color w:val="auto"/>
          <w:sz w:val="14"/>
        </w:rPr>
      </w:pPr>
    </w:p>
    <w:p w:rsidR="00764510" w:rsidRDefault="00A12DCA" w:rsidP="00450A2A">
      <w:pPr>
        <w:pStyle w:val="HeadingLevel1-BarcRA13"/>
        <w:numPr>
          <w:ilvl w:val="0"/>
          <w:numId w:val="142"/>
        </w:numPr>
        <w:ind w:left="284" w:hanging="284"/>
        <w:rPr>
          <w:lang w:val="en-GB"/>
        </w:rPr>
      </w:pPr>
      <w:r w:rsidRPr="00886D94">
        <w:rPr>
          <w:b w:val="0"/>
          <w:i/>
          <w:color w:val="auto"/>
          <w:sz w:val="14"/>
        </w:rPr>
        <w:t>Adjusted profit before tax and adjusted performance measures excludes the impact of goodwill impair</w:t>
      </w:r>
      <w:r w:rsidR="00882E4A" w:rsidRPr="00886D94">
        <w:rPr>
          <w:b w:val="0"/>
          <w:i/>
          <w:color w:val="auto"/>
          <w:sz w:val="14"/>
        </w:rPr>
        <w:t xml:space="preserve">ment £nil (H2 11: £427m; H1 </w:t>
      </w:r>
      <w:r w:rsidRPr="00886D94">
        <w:rPr>
          <w:b w:val="0"/>
          <w:i/>
          <w:color w:val="auto"/>
          <w:sz w:val="14"/>
        </w:rPr>
        <w:t>11: £nil).</w:t>
      </w:r>
    </w:p>
    <w:p w:rsidR="00764510" w:rsidRDefault="00764510" w:rsidP="00764510">
      <w:pPr>
        <w:pStyle w:val="HeadingLevel1-BarcRA13"/>
        <w:rPr>
          <w:lang w:val="en-GB"/>
        </w:rPr>
      </w:pPr>
    </w:p>
    <w:p w:rsidR="005F437E" w:rsidRDefault="005F437E" w:rsidP="00764510">
      <w:pPr>
        <w:pStyle w:val="HeadingLevel1-BarcRA13"/>
      </w:pPr>
      <w:r>
        <w:t>Results by Business</w:t>
      </w:r>
    </w:p>
    <w:p w:rsidR="00A12DCA" w:rsidRPr="00100BF5" w:rsidRDefault="00A12DCA" w:rsidP="00A12DCA">
      <w:pPr>
        <w:pStyle w:val="Normal19"/>
      </w:pPr>
      <w:r w:rsidRPr="00100BF5">
        <w:rPr>
          <w:b/>
          <w:sz w:val="24"/>
        </w:rPr>
        <w:t>Europe Retail and Business Banking</w:t>
      </w:r>
    </w:p>
    <w:p w:rsidR="00A12DCA" w:rsidRPr="00100BF5" w:rsidRDefault="00A12DCA" w:rsidP="00A12DCA">
      <w:pPr>
        <w:pStyle w:val="Level1Bullet-BarcRA2001"/>
        <w:tabs>
          <w:tab w:val="clear" w:pos="284"/>
          <w:tab w:val="left" w:pos="720"/>
        </w:tabs>
        <w:rPr>
          <w:b/>
          <w:sz w:val="20"/>
        </w:rPr>
      </w:pPr>
      <w:r w:rsidRPr="00100BF5">
        <w:rPr>
          <w:b/>
          <w:sz w:val="20"/>
          <w:lang w:val="en-GB"/>
        </w:rPr>
        <w:t>Income Statement – H1</w:t>
      </w:r>
      <w:r w:rsidR="00D6381B">
        <w:rPr>
          <w:b/>
          <w:sz w:val="20"/>
          <w:lang w:val="en-GB"/>
        </w:rPr>
        <w:t xml:space="preserve"> </w:t>
      </w:r>
      <w:r w:rsidRPr="00100BF5">
        <w:rPr>
          <w:b/>
          <w:sz w:val="20"/>
          <w:lang w:val="en-GB"/>
        </w:rPr>
        <w:t>12 compared to H1</w:t>
      </w:r>
      <w:r w:rsidR="00D6381B">
        <w:rPr>
          <w:b/>
          <w:sz w:val="20"/>
          <w:lang w:val="en-GB"/>
        </w:rPr>
        <w:t xml:space="preserve"> </w:t>
      </w:r>
      <w:r w:rsidRPr="00100BF5">
        <w:rPr>
          <w:b/>
          <w:sz w:val="20"/>
          <w:lang w:val="en-GB"/>
        </w:rPr>
        <w:t>11</w:t>
      </w:r>
    </w:p>
    <w:p w:rsidR="00A12DCA" w:rsidRPr="00100BF5" w:rsidRDefault="00A12DCA" w:rsidP="00CA0778">
      <w:pPr>
        <w:pStyle w:val="Level1Bullet-BarcRA03"/>
      </w:pPr>
      <w:r w:rsidRPr="00100BF5">
        <w:t>Loss before tax improved to £92m (2011: £161m) reflecting on-going strategic actions to reposition the business</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Lower costs following restructuring charges in 2011 and subsequent cost savings</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 xml:space="preserve">Reduction in funding </w:t>
      </w:r>
      <w:r w:rsidR="005E15A7" w:rsidRPr="00100BF5">
        <w:rPr>
          <w:lang w:val="en-GB"/>
        </w:rPr>
        <w:t>mismatch</w:t>
      </w:r>
      <w:r w:rsidRPr="00100BF5">
        <w:rPr>
          <w:lang w:val="en-GB"/>
        </w:rPr>
        <w:t xml:space="preserve"> driven by the active management of retail assets, </w:t>
      </w:r>
      <w:r w:rsidR="003D6EF4" w:rsidRPr="00100BF5">
        <w:rPr>
          <w:lang w:val="en-GB"/>
        </w:rPr>
        <w:t>particularly in Spain</w:t>
      </w:r>
    </w:p>
    <w:p w:rsidR="00A12DCA" w:rsidRPr="00100BF5" w:rsidRDefault="00A12DCA" w:rsidP="00A12DCA">
      <w:pPr>
        <w:pStyle w:val="Level1Bullet-BarcRA300"/>
        <w:numPr>
          <w:ilvl w:val="0"/>
          <w:numId w:val="32"/>
        </w:numPr>
        <w:rPr>
          <w:lang w:val="en-GB"/>
        </w:rPr>
      </w:pPr>
      <w:r w:rsidRPr="00100BF5">
        <w:rPr>
          <w:lang w:val="en-GB"/>
        </w:rPr>
        <w:t>Income declined 20% to £486m reflecting the challenging economic environment across Europe</w:t>
      </w:r>
    </w:p>
    <w:p w:rsidR="00A12DCA" w:rsidRPr="00100BF5" w:rsidRDefault="00A12DCA" w:rsidP="00A12DCA">
      <w:pPr>
        <w:pStyle w:val="Level1Bullet-BarcRA300"/>
        <w:numPr>
          <w:ilvl w:val="0"/>
          <w:numId w:val="32"/>
        </w:numPr>
        <w:rPr>
          <w:lang w:val="en-GB"/>
        </w:rPr>
      </w:pPr>
      <w:r w:rsidRPr="00100BF5">
        <w:rPr>
          <w:lang w:val="en-GB"/>
        </w:rPr>
        <w:t>Net interest income declined 14% to £309m reflecting lower asset and liability balances, partially offset by higher liability margins</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 xml:space="preserve">Customer asset margin decreased 14bps to 80bps with net interest margin down to 108bps (2011: 118bps), driven by higher funding </w:t>
      </w:r>
      <w:r w:rsidR="00931FB3" w:rsidRPr="00100BF5">
        <w:rPr>
          <w:lang w:val="en-GB"/>
        </w:rPr>
        <w:t>rate</w:t>
      </w:r>
      <w:r w:rsidR="0053171D">
        <w:rPr>
          <w:lang w:val="en-GB"/>
        </w:rPr>
        <w:t>s</w:t>
      </w:r>
      <w:r w:rsidRPr="00100BF5">
        <w:rPr>
          <w:lang w:val="en-GB"/>
        </w:rPr>
        <w:t xml:space="preserve"> </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Average customer assets decreased 3% to £42.0bn driven by active manageme</w:t>
      </w:r>
      <w:r w:rsidR="005E15A7" w:rsidRPr="00100BF5">
        <w:rPr>
          <w:lang w:val="en-GB"/>
        </w:rPr>
        <w:t>nt to reduce funding mismatch</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 xml:space="preserve">Customer liability margin increased 6bps to 47bps mainly due to re-pricing initiatives </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Average customer liabilities decreased 14% to £15.5bn reflecting competitive pressures</w:t>
      </w:r>
    </w:p>
    <w:p w:rsidR="00A12DCA" w:rsidRPr="00100BF5" w:rsidRDefault="00A12DCA" w:rsidP="00CA0778">
      <w:pPr>
        <w:pStyle w:val="Level1Bullet-BarcRA03"/>
        <w:rPr>
          <w:lang w:val="en-GB"/>
        </w:rPr>
      </w:pPr>
      <w:r w:rsidRPr="00100BF5">
        <w:rPr>
          <w:lang w:val="en-GB"/>
        </w:rPr>
        <w:t xml:space="preserve">Net fee and commission income declined 31% to £152m, reflecting lower income from Italy mortgage sales and lower sales of investment products </w:t>
      </w:r>
    </w:p>
    <w:p w:rsidR="00A12DCA" w:rsidRPr="00100BF5" w:rsidRDefault="00A12DCA" w:rsidP="00CA0778">
      <w:pPr>
        <w:pStyle w:val="Level1Bullet-BarcRA03"/>
        <w:rPr>
          <w:lang w:val="en-GB"/>
        </w:rPr>
      </w:pPr>
      <w:r w:rsidRPr="00100BF5">
        <w:rPr>
          <w:lang w:val="en-GB"/>
        </w:rPr>
        <w:t xml:space="preserve">Net premiums from insurance contracts declined 13% to £220m, with a corresponding 13% decline in net claims and benefits to £237m </w:t>
      </w:r>
    </w:p>
    <w:p w:rsidR="00A12DCA" w:rsidRPr="00100BF5" w:rsidRDefault="00A12DCA" w:rsidP="00CA0778">
      <w:pPr>
        <w:pStyle w:val="Level1Bullet-BarcRA03"/>
        <w:rPr>
          <w:lang w:val="en-GB"/>
        </w:rPr>
      </w:pPr>
      <w:r w:rsidRPr="00100BF5">
        <w:rPr>
          <w:lang w:val="en-GB"/>
        </w:rPr>
        <w:t xml:space="preserve">Credit impairment charges increased 35% to £157m </w:t>
      </w:r>
      <w:r w:rsidR="00EE0959" w:rsidRPr="00100BF5">
        <w:rPr>
          <w:lang w:val="en-GB"/>
        </w:rPr>
        <w:t>reflecting deterioration in credit performance in Spain and Portugal as economic conditions continued to worsen</w:t>
      </w:r>
      <w:r w:rsidRPr="00100BF5">
        <w:rPr>
          <w:lang w:val="en-GB"/>
        </w:rPr>
        <w:t xml:space="preserve">  </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Loan loss rate increased to 75bps (2011: 50bps)</w:t>
      </w:r>
    </w:p>
    <w:p w:rsidR="00A12DCA" w:rsidRPr="00100BF5" w:rsidRDefault="00A12DCA" w:rsidP="00CA0778">
      <w:pPr>
        <w:pStyle w:val="Level2Bullet-BarcRA2"/>
        <w:numPr>
          <w:ilvl w:val="2"/>
          <w:numId w:val="9"/>
        </w:numPr>
        <w:tabs>
          <w:tab w:val="num" w:pos="567"/>
        </w:tabs>
        <w:ind w:left="567" w:hanging="283"/>
        <w:rPr>
          <w:lang w:val="en-GB"/>
        </w:rPr>
      </w:pPr>
      <w:r w:rsidRPr="00100BF5">
        <w:rPr>
          <w:lang w:val="en-GB"/>
        </w:rPr>
        <w:t>90 day arrears rate</w:t>
      </w:r>
      <w:r w:rsidR="003D6EF4" w:rsidRPr="00100BF5">
        <w:rPr>
          <w:lang w:val="en-GB"/>
        </w:rPr>
        <w:t xml:space="preserve"> for h</w:t>
      </w:r>
      <w:r w:rsidRPr="00100BF5">
        <w:rPr>
          <w:lang w:val="en-GB"/>
        </w:rPr>
        <w:t xml:space="preserve">ome </w:t>
      </w:r>
      <w:r w:rsidR="00713318" w:rsidRPr="00100BF5">
        <w:rPr>
          <w:lang w:val="en-GB"/>
        </w:rPr>
        <w:t>l</w:t>
      </w:r>
      <w:r w:rsidRPr="00100BF5">
        <w:rPr>
          <w:lang w:val="en-GB"/>
        </w:rPr>
        <w:t>oans deteriorated to 80bps (</w:t>
      </w:r>
      <w:r w:rsidR="009C5A7D">
        <w:rPr>
          <w:lang w:val="en-GB"/>
        </w:rPr>
        <w:t xml:space="preserve">30 June </w:t>
      </w:r>
      <w:r w:rsidRPr="00100BF5">
        <w:rPr>
          <w:lang w:val="en-GB"/>
        </w:rPr>
        <w:t xml:space="preserve">2011: </w:t>
      </w:r>
      <w:r w:rsidR="003D6EF4" w:rsidRPr="00100BF5">
        <w:rPr>
          <w:lang w:val="en-GB"/>
        </w:rPr>
        <w:t>60</w:t>
      </w:r>
      <w:r w:rsidRPr="00100BF5">
        <w:rPr>
          <w:lang w:val="en-GB"/>
        </w:rPr>
        <w:t xml:space="preserve">bps) </w:t>
      </w:r>
    </w:p>
    <w:p w:rsidR="00A12DCA" w:rsidRPr="00100BF5" w:rsidRDefault="00A12DCA" w:rsidP="00CA0778">
      <w:pPr>
        <w:pStyle w:val="Level1Bullet-BarcRA03"/>
      </w:pPr>
      <w:r w:rsidRPr="00100BF5">
        <w:t>Operating expenses decreased 35% to £428m</w:t>
      </w:r>
      <w:r w:rsidR="00E13E76" w:rsidRPr="00100BF5">
        <w:t>, reflecting</w:t>
      </w:r>
      <w:r w:rsidRPr="00100BF5">
        <w:t xml:space="preserve"> restructuring charges of £129m</w:t>
      </w:r>
      <w:r w:rsidR="00E13E76" w:rsidRPr="00100BF5">
        <w:t xml:space="preserve"> in 2011</w:t>
      </w:r>
      <w:r w:rsidRPr="00100BF5">
        <w:t xml:space="preserve"> and subsequent cost savings </w:t>
      </w:r>
    </w:p>
    <w:p w:rsidR="00A12DCA" w:rsidRPr="00100BF5" w:rsidRDefault="00A12DCA" w:rsidP="00CA0778">
      <w:pPr>
        <w:pStyle w:val="Level1Bullet-BarcRA03"/>
      </w:pPr>
      <w:r w:rsidRPr="00100BF5">
        <w:t>Return on average equity improved to negative 6.2% (2011: negative 9.3%) reflecting the improved loss before tax</w:t>
      </w:r>
    </w:p>
    <w:p w:rsidR="00A12DCA" w:rsidRPr="00100BF5" w:rsidRDefault="00A12DCA" w:rsidP="00A12DCA">
      <w:pPr>
        <w:pStyle w:val="Level1Bullet-BarcRA4002"/>
        <w:tabs>
          <w:tab w:val="clear" w:pos="284"/>
          <w:tab w:val="left" w:pos="720"/>
        </w:tabs>
        <w:ind w:left="0" w:firstLine="0"/>
        <w:rPr>
          <w:b/>
          <w:sz w:val="20"/>
          <w:lang w:val="en-GB"/>
        </w:rPr>
      </w:pPr>
      <w:r w:rsidRPr="00100BF5">
        <w:rPr>
          <w:b/>
          <w:sz w:val="20"/>
          <w:lang w:val="en-GB"/>
        </w:rPr>
        <w:lastRenderedPageBreak/>
        <w:t>Income Statement – Q2</w:t>
      </w:r>
      <w:r w:rsidR="00D6381B">
        <w:rPr>
          <w:b/>
          <w:sz w:val="20"/>
          <w:lang w:val="en-GB"/>
        </w:rPr>
        <w:t xml:space="preserve"> </w:t>
      </w:r>
      <w:r w:rsidRPr="00100BF5">
        <w:rPr>
          <w:b/>
          <w:sz w:val="20"/>
          <w:lang w:val="en-GB"/>
        </w:rPr>
        <w:t>12 compared to Q1</w:t>
      </w:r>
      <w:r w:rsidR="00D6381B">
        <w:rPr>
          <w:b/>
          <w:sz w:val="20"/>
          <w:lang w:val="en-GB"/>
        </w:rPr>
        <w:t xml:space="preserve"> </w:t>
      </w:r>
      <w:r w:rsidRPr="00100BF5">
        <w:rPr>
          <w:b/>
          <w:sz w:val="20"/>
          <w:lang w:val="en-GB"/>
        </w:rPr>
        <w:t>12</w:t>
      </w:r>
    </w:p>
    <w:p w:rsidR="00A12DCA" w:rsidRPr="00100BF5" w:rsidRDefault="00A12DCA" w:rsidP="00CA0778">
      <w:pPr>
        <w:pStyle w:val="Level1Bullet-BarcRA03"/>
        <w:rPr>
          <w:lang w:val="en-GB"/>
        </w:rPr>
      </w:pPr>
      <w:r w:rsidRPr="00100BF5">
        <w:rPr>
          <w:lang w:val="en-GB"/>
        </w:rPr>
        <w:t>Loss before tax of £49m (Q1</w:t>
      </w:r>
      <w:r w:rsidR="00D6381B">
        <w:rPr>
          <w:lang w:val="en-GB"/>
        </w:rPr>
        <w:t xml:space="preserve"> </w:t>
      </w:r>
      <w:r w:rsidRPr="00100BF5">
        <w:rPr>
          <w:lang w:val="en-GB"/>
        </w:rPr>
        <w:t xml:space="preserve">12: £43m) reflecting worsening delinquency trends on Spanish and </w:t>
      </w:r>
      <w:r w:rsidR="003D6EF4" w:rsidRPr="00100BF5">
        <w:rPr>
          <w:lang w:val="en-GB"/>
        </w:rPr>
        <w:t>Italian</w:t>
      </w:r>
      <w:r w:rsidRPr="00100BF5">
        <w:rPr>
          <w:lang w:val="en-GB"/>
        </w:rPr>
        <w:t xml:space="preserve"> mortgages</w:t>
      </w:r>
    </w:p>
    <w:p w:rsidR="00A12DCA" w:rsidRPr="00100BF5" w:rsidRDefault="00A12DCA" w:rsidP="00A12DCA">
      <w:pPr>
        <w:pStyle w:val="Level1Bullet-BarcRA4002"/>
        <w:tabs>
          <w:tab w:val="clear" w:pos="284"/>
          <w:tab w:val="left" w:pos="720"/>
        </w:tabs>
        <w:ind w:left="0" w:firstLine="0"/>
        <w:rPr>
          <w:b/>
          <w:sz w:val="20"/>
          <w:lang w:val="en-GB"/>
        </w:rPr>
      </w:pPr>
      <w:r w:rsidRPr="00100BF5">
        <w:rPr>
          <w:b/>
          <w:sz w:val="20"/>
          <w:lang w:val="en-GB"/>
        </w:rPr>
        <w:t>Balance Sheet – 30 June 2012 compared to 31 December 2011</w:t>
      </w:r>
    </w:p>
    <w:p w:rsidR="00A12DCA" w:rsidRPr="00100BF5" w:rsidRDefault="00A12DCA" w:rsidP="00CA0778">
      <w:pPr>
        <w:pStyle w:val="Level1Bullet-BarcRA03"/>
        <w:rPr>
          <w:lang w:val="en-GB"/>
        </w:rPr>
      </w:pPr>
      <w:r w:rsidRPr="00100BF5">
        <w:rPr>
          <w:lang w:val="en-GB"/>
        </w:rPr>
        <w:t>Loans and advances to customers decreased 6% to £41.2bn reflecting currency movements and strategy to reduce the</w:t>
      </w:r>
      <w:r w:rsidR="005E15A7" w:rsidRPr="00100BF5">
        <w:rPr>
          <w:lang w:val="en-GB"/>
        </w:rPr>
        <w:t xml:space="preserve"> net funding mismatch</w:t>
      </w:r>
      <w:r w:rsidRPr="00100BF5">
        <w:rPr>
          <w:lang w:val="en-GB"/>
        </w:rPr>
        <w:t xml:space="preserve">. This change has driven a 6% reduction in total assets to £48.1bn </w:t>
      </w:r>
    </w:p>
    <w:p w:rsidR="00A12DCA" w:rsidRPr="00100BF5" w:rsidRDefault="00A12DCA" w:rsidP="00CA0778">
      <w:pPr>
        <w:pStyle w:val="Level1Bullet-BarcRA03"/>
        <w:rPr>
          <w:lang w:val="en-GB"/>
        </w:rPr>
      </w:pPr>
      <w:r w:rsidRPr="00100BF5">
        <w:rPr>
          <w:lang w:val="en-GB"/>
        </w:rPr>
        <w:t xml:space="preserve">Customer deposits increased 12% to £18.4bn, reflecting active management to improve liquidity and reduce the funding </w:t>
      </w:r>
      <w:r w:rsidR="00911600" w:rsidRPr="00100BF5">
        <w:rPr>
          <w:lang w:val="en-GB"/>
        </w:rPr>
        <w:t>mismatch</w:t>
      </w:r>
    </w:p>
    <w:p w:rsidR="00A12DCA" w:rsidRPr="00100BF5" w:rsidRDefault="00A12DCA" w:rsidP="00CA0778">
      <w:pPr>
        <w:pStyle w:val="Level1Bullet-BarcRA03"/>
        <w:rPr>
          <w:lang w:val="en-GB"/>
        </w:rPr>
      </w:pPr>
      <w:r w:rsidRPr="00100BF5">
        <w:rPr>
          <w:lang w:val="en-GB"/>
        </w:rPr>
        <w:t>Risk weighted assets decreased 5% to £16.6bn reflecting reduced loans and advances to customers</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val="31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Africa Retail and Business Banking</w:t>
            </w:r>
            <w:r w:rsidRPr="00100BF5">
              <w:rPr>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24"/>
              </w:rPr>
              <w:t xml:space="preserve"> </w:t>
            </w:r>
            <w:r w:rsidRPr="00100BF5">
              <w:rPr>
                <w:b/>
                <w:sz w:val="24"/>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r w:rsidRPr="00100BF5">
              <w:rPr>
                <w:b/>
                <w:sz w:val="24"/>
                <w:vertAlign w:val="superscript"/>
              </w:rPr>
              <w:t xml:space="preserve"> </w:t>
            </w:r>
          </w:p>
        </w:tc>
      </w:tr>
      <w:tr w:rsidR="000810BB" w:rsidRPr="00100BF5" w:rsidTr="00993BB2">
        <w:tblPrEx>
          <w:tblCellMar>
            <w:top w:w="0" w:type="dxa"/>
            <w:bottom w:w="0" w:type="dxa"/>
          </w:tblCellMar>
        </w:tblPrEx>
        <w:trPr>
          <w:trHeight w:val="25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rPr>
            </w:pPr>
            <w:r w:rsidRPr="00100BF5">
              <w:rPr>
                <w:sz w:val="16"/>
              </w:rPr>
              <w:t xml:space="preserve"> </w:t>
            </w:r>
            <w:r w:rsidRPr="00100BF5">
              <w:rPr>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b/>
                <w:sz w:val="16"/>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Half Year Ended</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20"/>
              </w:rPr>
              <w:t>Income Statement Information</w:t>
            </w:r>
            <w:r w:rsidRPr="00100BF5">
              <w:rPr>
                <w:b/>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20"/>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sz w:val="16"/>
              </w:rPr>
              <w:t xml:space="preserve"> </w:t>
            </w:r>
            <w:r w:rsidRPr="00100BF5">
              <w:rPr>
                <w:b/>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20"/>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b/>
                <w:sz w:val="16"/>
              </w:rPr>
              <w:t>30.06.11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YoY</w:t>
            </w:r>
            <w:r w:rsidRPr="00100BF5">
              <w:rPr>
                <w:b/>
                <w:sz w:val="20"/>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Change</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Net interest income </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897 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1,021 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957 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fee and commission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561 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584 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612 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trading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investment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Net premiums from insurance contracts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214 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216 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Other income</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25 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 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1,733 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1,903 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1,883 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(8)</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Net claims and benefits incurred under insurance contracts</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(108)</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(113)</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Total income net of insurance claims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1,625 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1,801 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1,770 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(8)</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Credit impairment charges and other provisions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(321)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(196)</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(270)</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Net operating 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1,304 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1,605 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1,500 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(13)</w:t>
            </w:r>
            <w:r w:rsidRPr="00100BF5">
              <w:rPr>
                <w:b/>
                <w:sz w:val="16"/>
                <w:vertAlign w:val="superscript"/>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Operating expenses </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(1,033)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(1,118)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(1,161)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w:t>
            </w:r>
            <w:r w:rsidRPr="00100BF5">
              <w:rPr>
                <w:b/>
                <w:sz w:val="16"/>
                <w:vertAlign w:val="superscript"/>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D6745F" w:rsidRPr="00100BF5" w:rsidTr="00D6745F">
        <w:tblPrEx>
          <w:tblCellMar>
            <w:top w:w="0" w:type="dxa"/>
            <w:bottom w:w="0" w:type="dxa"/>
          </w:tblCellMar>
        </w:tblPrEx>
        <w:trPr>
          <w:trHeight w:val="240"/>
        </w:trPr>
        <w:tc>
          <w:tcPr>
            <w:tcW w:w="4275"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rPr>
                <w:sz w:val="16"/>
              </w:rPr>
            </w:pPr>
            <w:r w:rsidRPr="00100BF5">
              <w:rPr>
                <w:sz w:val="16"/>
                <w:szCs w:val="14"/>
              </w:rPr>
              <w:t>Other net income</w:t>
            </w:r>
          </w:p>
        </w:tc>
        <w:tc>
          <w:tcPr>
            <w:tcW w:w="75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pPr>
              <w:jc w:val="right"/>
              <w:rPr>
                <w:sz w:val="16"/>
              </w:rPr>
            </w:pPr>
          </w:p>
        </w:tc>
        <w:tc>
          <w:tcPr>
            <w:tcW w:w="75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pPr>
              <w:jc w:val="right"/>
              <w:rPr>
                <w:sz w:val="16"/>
              </w:rPr>
            </w:pPr>
            <w:r w:rsidRPr="00100BF5">
              <w:rPr>
                <w:sz w:val="16"/>
              </w:rPr>
              <w:t>3 </w:t>
            </w: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rPr>
            </w:pPr>
          </w:p>
        </w:tc>
        <w:tc>
          <w:tcPr>
            <w:tcW w:w="105"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rPr>
            </w:pP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rPr>
            </w:pPr>
            <w:r w:rsidRPr="00100BF5">
              <w:rPr>
                <w:sz w:val="16"/>
              </w:rPr>
              <w:t>3 </w:t>
            </w: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rPr>
            </w:pP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rPr>
            </w:pPr>
            <w:r w:rsidRPr="00100BF5">
              <w:rPr>
                <w:sz w:val="16"/>
              </w:rPr>
              <w:t>3 </w:t>
            </w:r>
          </w:p>
        </w:tc>
        <w:tc>
          <w:tcPr>
            <w:tcW w:w="795"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rPr>
            </w:pP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Profit before tax</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274 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490 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342 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(20)</w:t>
            </w:r>
            <w:r w:rsidRPr="00100BF5">
              <w:rPr>
                <w:b/>
                <w:sz w:val="16"/>
                <w:vertAlign w:val="superscript"/>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Adjusted profit before tax</w:t>
            </w:r>
            <w:r w:rsidRPr="00100BF5">
              <w:rPr>
                <w:b/>
                <w:sz w:val="16"/>
                <w:vertAlign w:val="superscript"/>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274 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488 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342 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(20)</w:t>
            </w:r>
            <w:r w:rsidRPr="00100BF5">
              <w:rPr>
                <w:b/>
                <w:sz w:val="16"/>
                <w:vertAlign w:val="superscript"/>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20"/>
              </w:rPr>
              <w:t>Balance Sheet Information</w:t>
            </w:r>
            <w:r w:rsidRPr="00100BF5">
              <w:rPr>
                <w:b/>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r w:rsidRPr="00100BF5">
              <w:rPr>
                <w:b/>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r w:rsidRPr="00100BF5">
              <w:rPr>
                <w:b/>
                <w:sz w:val="20"/>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Loans and advances to customers at amortised cost</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£34.1bn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£34.4bn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£39.9bn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Customer deposits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£22.3bn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£22.6bn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£24.2bn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Total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£47.4bn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£48.2bn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£55.1bn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£27.9bn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£30.3bn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£32.7bn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0810BB" w:rsidRPr="00100BF5" w:rsidTr="00993BB2">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225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center"/>
              <w:rPr>
                <w:sz w:val="16"/>
                <w:vertAlign w:val="superscript"/>
              </w:rPr>
            </w:pPr>
            <w:r w:rsidRPr="00100BF5">
              <w:rPr>
                <w:b/>
                <w:sz w:val="16"/>
              </w:rPr>
              <w:t>Adjusted</w:t>
            </w:r>
            <w:r w:rsidRPr="00100BF5">
              <w:rPr>
                <w:b/>
                <w:sz w:val="16"/>
                <w:vertAlign w:val="superscript"/>
              </w:rPr>
              <w:t>1</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center"/>
              <w:rPr>
                <w:b/>
                <w:sz w:val="16"/>
                <w:vertAlign w:val="superscript"/>
              </w:rPr>
            </w:pPr>
          </w:p>
        </w:tc>
        <w:tc>
          <w:tcPr>
            <w:tcW w:w="225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center"/>
              <w:rPr>
                <w:sz w:val="16"/>
              </w:rPr>
            </w:pPr>
            <w:r w:rsidRPr="00100BF5">
              <w:rPr>
                <w:b/>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20"/>
              </w:rPr>
              <w:t>Performance Measures</w:t>
            </w:r>
            <w:r w:rsidRPr="00100BF5">
              <w:rPr>
                <w:b/>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r w:rsidRPr="00100BF5">
              <w:rPr>
                <w:b/>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b/>
                <w:sz w:val="16"/>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20"/>
                <w:vertAlign w:val="superscript"/>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Return on average equity</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7.6%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7.9%</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Return on average 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Cost: income ratio</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66%</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64%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66%</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Loan loss rate (bps)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182 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130 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20"/>
              </w:rPr>
              <w:t>Key Facts</w:t>
            </w:r>
            <w:r w:rsidRPr="00100BF5">
              <w:rPr>
                <w:b/>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20"/>
              </w:rPr>
            </w:pPr>
            <w:r w:rsidRPr="00100BF5">
              <w:rPr>
                <w:b/>
                <w:sz w:val="16"/>
              </w:rPr>
              <w:t>30.06.12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r w:rsidRPr="00100BF5">
              <w:rPr>
                <w:b/>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b/>
                <w:sz w:val="20"/>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31.12.11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20"/>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3D6EF4" w:rsidP="002254D5">
            <w:pPr>
              <w:rPr>
                <w:b/>
                <w:sz w:val="20"/>
                <w:vertAlign w:val="superscript"/>
              </w:rPr>
            </w:pPr>
            <w:r w:rsidRPr="00100BF5">
              <w:rPr>
                <w:sz w:val="16"/>
              </w:rPr>
              <w:t>90 day arrears rate</w:t>
            </w:r>
            <w:r w:rsidR="001A77E4" w:rsidRPr="00100BF5">
              <w:rPr>
                <w:sz w:val="16"/>
              </w:rPr>
              <w:t xml:space="preserve"> </w:t>
            </w:r>
            <w:r w:rsidR="002254D5">
              <w:rPr>
                <w:sz w:val="16"/>
              </w:rPr>
              <w:t>–</w:t>
            </w:r>
            <w:r w:rsidRPr="00100BF5">
              <w:rPr>
                <w:sz w:val="16"/>
              </w:rPr>
              <w:t xml:space="preserve"> </w:t>
            </w:r>
            <w:r w:rsidR="002254D5">
              <w:rPr>
                <w:sz w:val="16"/>
              </w:rPr>
              <w:t xml:space="preserve">South African </w:t>
            </w:r>
            <w:r w:rsidRPr="00100BF5">
              <w:rPr>
                <w:sz w:val="16"/>
              </w:rPr>
              <w:t>h</w:t>
            </w:r>
            <w:r w:rsidR="00A12DCA" w:rsidRPr="00100BF5">
              <w:rPr>
                <w:sz w:val="16"/>
              </w:rPr>
              <w:t>ome loans</w:t>
            </w:r>
            <w:r w:rsidR="00A12DCA" w:rsidRPr="00100BF5">
              <w:rPr>
                <w:b/>
                <w:sz w:val="20"/>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2254D5" w:rsidP="00993BB2">
            <w:pPr>
              <w:jc w:val="right"/>
              <w:rPr>
                <w:sz w:val="20"/>
              </w:rPr>
            </w:pPr>
            <w:r>
              <w:rPr>
                <w:sz w:val="16"/>
              </w:rPr>
              <w:t>2.8</w:t>
            </w:r>
            <w:r w:rsidR="00A12DCA" w:rsidRPr="00100BF5">
              <w:rPr>
                <w:sz w:val="16"/>
              </w:rPr>
              <w:t>%</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20"/>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sz w:val="20"/>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2254D5" w:rsidP="00993BB2">
            <w:pPr>
              <w:jc w:val="right"/>
              <w:rPr>
                <w:sz w:val="16"/>
              </w:rPr>
            </w:pPr>
            <w:r>
              <w:rPr>
                <w:sz w:val="16"/>
              </w:rPr>
              <w:t>3.2</w:t>
            </w:r>
            <w:r w:rsidR="00A12DCA" w:rsidRPr="00100BF5">
              <w:rPr>
                <w:sz w:val="16"/>
              </w:rPr>
              <w:t>%</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2254D5" w:rsidP="002254D5">
            <w:pPr>
              <w:jc w:val="right"/>
              <w:rPr>
                <w:sz w:val="16"/>
              </w:rPr>
            </w:pPr>
            <w:r>
              <w:rPr>
                <w:sz w:val="16"/>
              </w:rPr>
              <w:t>3.5</w:t>
            </w:r>
            <w:r w:rsidR="00A12DCA" w:rsidRPr="00100BF5">
              <w:rPr>
                <w:sz w:val="16"/>
              </w:rPr>
              <w:t>%</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r w:rsidRPr="00100BF5">
              <w:rPr>
                <w:b/>
                <w:sz w:val="20"/>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sz w:val="16"/>
              </w:rPr>
              <w:t>Number of customers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2254D5" w:rsidP="00993BB2">
            <w:pPr>
              <w:jc w:val="right"/>
              <w:rPr>
                <w:sz w:val="16"/>
              </w:rPr>
            </w:pPr>
            <w:r>
              <w:rPr>
                <w:sz w:val="16"/>
              </w:rPr>
              <w:t>14.8</w:t>
            </w:r>
            <w:r w:rsidR="00A12DCA" w:rsidRPr="00100BF5">
              <w:rPr>
                <w:sz w:val="16"/>
              </w:rPr>
              <w:t>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14.5m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14.5m</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ATMs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2254D5">
            <w:pPr>
              <w:jc w:val="right"/>
              <w:rPr>
                <w:sz w:val="16"/>
              </w:rPr>
            </w:pPr>
            <w:r w:rsidRPr="00100BF5">
              <w:rPr>
                <w:sz w:val="16"/>
              </w:rPr>
              <w:t>10,</w:t>
            </w:r>
            <w:r w:rsidR="002254D5">
              <w:rPr>
                <w:sz w:val="16"/>
              </w:rPr>
              <w:t>365</w:t>
            </w: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10,068 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9,816 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Number of branches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993BB2">
            <w:pPr>
              <w:jc w:val="right"/>
              <w:rPr>
                <w:sz w:val="16"/>
              </w:rPr>
            </w:pPr>
            <w:r w:rsidRPr="00100BF5">
              <w:rPr>
                <w:sz w:val="16"/>
              </w:rPr>
              <w:t>1,34</w:t>
            </w:r>
            <w:r w:rsidR="00EF71AA" w:rsidRPr="00100BF5">
              <w:rPr>
                <w:sz w:val="16"/>
              </w:rPr>
              <w:t>2</w:t>
            </w: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1,354 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1,317 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Number of sales centres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93BB2">
            <w:pPr>
              <w:jc w:val="right"/>
              <w:rPr>
                <w:sz w:val="16"/>
              </w:rPr>
            </w:pPr>
            <w:r w:rsidRPr="00100BF5">
              <w:rPr>
                <w:sz w:val="16"/>
              </w:rPr>
              <w:t>106 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r w:rsidRPr="00100BF5">
              <w:rPr>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139 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sz w:val="16"/>
              </w:rPr>
              <w:t>189 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Number of distribution points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93BB2">
            <w:pPr>
              <w:jc w:val="right"/>
              <w:rPr>
                <w:b/>
                <w:sz w:val="16"/>
              </w:rPr>
            </w:pPr>
            <w:r w:rsidRPr="00100BF5">
              <w:rPr>
                <w:b/>
                <w:sz w:val="16"/>
              </w:rPr>
              <w:t>1,44</w:t>
            </w:r>
            <w:r w:rsidR="00EF71AA" w:rsidRPr="00100BF5">
              <w:rPr>
                <w:b/>
                <w:sz w:val="16"/>
              </w:rPr>
              <w:t>8</w:t>
            </w:r>
            <w:r w:rsidRPr="00100BF5">
              <w:rPr>
                <w:b/>
                <w:sz w:val="16"/>
              </w:rPr>
              <w:t>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r w:rsidRPr="00100BF5">
              <w:rPr>
                <w:b/>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1,493 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1,506 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rsidTr="00993BB2">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rsidTr="00993BB2">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Number of employees (full time equivalent)</w:t>
            </w:r>
            <w:r w:rsidRPr="00100BF5">
              <w:rPr>
                <w:b/>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2254D5" w:rsidP="00993BB2">
            <w:pPr>
              <w:jc w:val="right"/>
              <w:rPr>
                <w:sz w:val="16"/>
              </w:rPr>
            </w:pPr>
            <w:r>
              <w:rPr>
                <w:sz w:val="16"/>
              </w:rPr>
              <w:t>42,7</w:t>
            </w:r>
            <w:r w:rsidR="00A12DCA" w:rsidRPr="00100BF5">
              <w:rPr>
                <w:sz w:val="16"/>
              </w:rPr>
              <w:t>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b/>
                <w:sz w:val="16"/>
              </w:rPr>
              <w:t xml:space="preserve"> </w:t>
            </w:r>
            <w:r w:rsidRPr="00100BF5">
              <w:rPr>
                <w:b/>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sz w:val="16"/>
              </w:rPr>
              <w:t>43,800 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993BB2">
            <w:pPr>
              <w:jc w:val="right"/>
              <w:rPr>
                <w:b/>
                <w:sz w:val="16"/>
              </w:rPr>
            </w:pPr>
            <w:r w:rsidRPr="00100BF5">
              <w:rPr>
                <w:sz w:val="16"/>
              </w:rPr>
              <w:t>45,500 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r w:rsidRPr="00100BF5">
              <w:rPr>
                <w:b/>
                <w:sz w:val="16"/>
                <w:vertAlign w:val="superscript"/>
              </w:rPr>
              <w:t xml:space="preserve"> </w:t>
            </w:r>
          </w:p>
        </w:tc>
      </w:tr>
    </w:tbl>
    <w:p w:rsidR="00A12DCA" w:rsidRPr="00100BF5" w:rsidRDefault="00A12DCA"/>
    <w:p w:rsidR="00A12DCA" w:rsidRPr="00100BF5" w:rsidRDefault="00A12DCA" w:rsidP="00A12DCA">
      <w:pPr>
        <w:pStyle w:val="BodyText-BarcRA17"/>
      </w:pPr>
    </w:p>
    <w:p w:rsidR="00A12DCA" w:rsidRPr="00100BF5" w:rsidRDefault="00A12DCA" w:rsidP="00A12DCA">
      <w:pPr>
        <w:pStyle w:val="Normal20"/>
        <w:ind w:left="284" w:hanging="284"/>
        <w:rPr>
          <w:i/>
          <w:sz w:val="14"/>
        </w:rPr>
      </w:pPr>
    </w:p>
    <w:p w:rsidR="00A12DCA" w:rsidRPr="00100BF5" w:rsidRDefault="00A12DCA" w:rsidP="00A12DCA">
      <w:pPr>
        <w:pStyle w:val="Normal20"/>
        <w:ind w:left="284" w:hanging="284"/>
        <w:rPr>
          <w:i/>
          <w:sz w:val="14"/>
        </w:rPr>
      </w:pPr>
    </w:p>
    <w:p w:rsidR="00A12DCA" w:rsidRPr="00100BF5" w:rsidRDefault="00A12DCA" w:rsidP="00A12DCA">
      <w:pPr>
        <w:pStyle w:val="Normal20"/>
        <w:ind w:left="284" w:hanging="284"/>
        <w:rPr>
          <w:i/>
          <w:sz w:val="14"/>
        </w:rPr>
      </w:pPr>
    </w:p>
    <w:p w:rsidR="00A12DCA" w:rsidRPr="00100BF5" w:rsidRDefault="00A12DCA" w:rsidP="00A12DCA">
      <w:pPr>
        <w:pStyle w:val="Normal20"/>
        <w:ind w:left="284" w:hanging="284"/>
        <w:rPr>
          <w:i/>
          <w:sz w:val="14"/>
        </w:rPr>
      </w:pPr>
    </w:p>
    <w:p w:rsidR="00A12DCA" w:rsidRPr="00100BF5" w:rsidRDefault="00A12DCA" w:rsidP="00A12DCA">
      <w:pPr>
        <w:pStyle w:val="Normal20"/>
        <w:ind w:left="284" w:hanging="284"/>
        <w:rPr>
          <w:i/>
          <w:sz w:val="14"/>
        </w:rPr>
      </w:pPr>
    </w:p>
    <w:p w:rsidR="00A12DCA" w:rsidRPr="00100BF5" w:rsidRDefault="00A12DCA" w:rsidP="00A12DCA">
      <w:pPr>
        <w:pStyle w:val="Normal20"/>
        <w:ind w:left="284" w:hanging="284"/>
        <w:rPr>
          <w:i/>
          <w:sz w:val="14"/>
        </w:rPr>
      </w:pPr>
    </w:p>
    <w:p w:rsidR="00D6745F" w:rsidRPr="00100BF5" w:rsidRDefault="00D6745F" w:rsidP="00A12DCA">
      <w:pPr>
        <w:pStyle w:val="Normal20"/>
        <w:ind w:left="284" w:hanging="284"/>
        <w:rPr>
          <w:i/>
          <w:sz w:val="14"/>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D6745F" w:rsidRPr="00100BF5" w:rsidRDefault="00D6745F" w:rsidP="00A12DCA">
      <w:pPr>
        <w:pStyle w:val="Normal20"/>
        <w:ind w:left="284" w:hanging="284"/>
        <w:rPr>
          <w:i/>
          <w:sz w:val="2"/>
          <w:szCs w:val="2"/>
        </w:rPr>
      </w:pPr>
    </w:p>
    <w:p w:rsidR="00A12DCA" w:rsidRPr="00100BF5" w:rsidRDefault="00A12DCA" w:rsidP="00A12DCA">
      <w:pPr>
        <w:pStyle w:val="Normal20"/>
        <w:numPr>
          <w:ilvl w:val="0"/>
          <w:numId w:val="34"/>
        </w:numPr>
        <w:ind w:left="284" w:hanging="284"/>
        <w:jc w:val="both"/>
        <w:rPr>
          <w:i/>
          <w:sz w:val="14"/>
        </w:rPr>
      </w:pPr>
      <w:r w:rsidRPr="00100BF5">
        <w:rPr>
          <w:i/>
          <w:sz w:val="14"/>
        </w:rPr>
        <w:t>Adjusted profit before tax and adjusted performance measures excludes the impact of profit on disposals of subsidiaries, associates and joint ventu</w:t>
      </w:r>
      <w:r w:rsidR="00882E4A">
        <w:rPr>
          <w:i/>
          <w:sz w:val="14"/>
        </w:rPr>
        <w:t xml:space="preserve">res of £nil (H2 11: £2m; H1 </w:t>
      </w:r>
      <w:r w:rsidRPr="00100BF5">
        <w:rPr>
          <w:i/>
          <w:sz w:val="14"/>
        </w:rPr>
        <w:t xml:space="preserve">11: £nil).   </w:t>
      </w:r>
    </w:p>
    <w:p w:rsidR="005F437E" w:rsidRDefault="00A12DCA" w:rsidP="005F437E">
      <w:pPr>
        <w:pStyle w:val="HeadingLevel1-BarcRA"/>
      </w:pPr>
      <w:r w:rsidRPr="00100BF5">
        <w:br w:type="page"/>
      </w:r>
      <w:r w:rsidR="005F437E">
        <w:lastRenderedPageBreak/>
        <w:t>Results by Business</w:t>
      </w:r>
    </w:p>
    <w:p w:rsidR="00A12DCA" w:rsidRPr="00100BF5" w:rsidRDefault="00A12DCA" w:rsidP="00A12DCA">
      <w:pPr>
        <w:pStyle w:val="Normal20"/>
      </w:pPr>
      <w:r w:rsidRPr="00100BF5">
        <w:rPr>
          <w:b/>
          <w:sz w:val="24"/>
        </w:rPr>
        <w:t>Africa Retail and Business Banking</w:t>
      </w:r>
    </w:p>
    <w:p w:rsidR="00A12DCA" w:rsidRPr="00100BF5" w:rsidRDefault="00A12DCA" w:rsidP="00A12DCA">
      <w:pPr>
        <w:pStyle w:val="Level1Bullet-BarcRA201"/>
        <w:tabs>
          <w:tab w:val="clear" w:pos="284"/>
          <w:tab w:val="left" w:pos="720"/>
        </w:tabs>
        <w:rPr>
          <w:b/>
          <w:sz w:val="20"/>
        </w:rPr>
      </w:pPr>
      <w:r w:rsidRPr="00100BF5">
        <w:rPr>
          <w:b/>
          <w:sz w:val="20"/>
          <w:lang w:val="en-GB"/>
        </w:rPr>
        <w:t>Income Statement – H1</w:t>
      </w:r>
      <w:r w:rsidR="00D6381B">
        <w:rPr>
          <w:b/>
          <w:sz w:val="20"/>
          <w:lang w:val="en-GB"/>
        </w:rPr>
        <w:t xml:space="preserve"> </w:t>
      </w:r>
      <w:r w:rsidRPr="00100BF5">
        <w:rPr>
          <w:b/>
          <w:sz w:val="20"/>
          <w:lang w:val="en-GB"/>
        </w:rPr>
        <w:t>12 compared to H1</w:t>
      </w:r>
      <w:r w:rsidR="00D6381B">
        <w:rPr>
          <w:b/>
          <w:sz w:val="20"/>
          <w:lang w:val="en-GB"/>
        </w:rPr>
        <w:t xml:space="preserve"> </w:t>
      </w:r>
      <w:r w:rsidRPr="00100BF5">
        <w:rPr>
          <w:b/>
          <w:sz w:val="20"/>
          <w:lang w:val="en-GB"/>
        </w:rPr>
        <w:t>11</w:t>
      </w:r>
    </w:p>
    <w:p w:rsidR="00A12DCA" w:rsidRPr="00100BF5" w:rsidRDefault="00A12DCA" w:rsidP="00B36768">
      <w:pPr>
        <w:pStyle w:val="Level1Bullet-BarcRA03"/>
        <w:rPr>
          <w:lang w:val="en-GB"/>
        </w:rPr>
      </w:pPr>
      <w:r w:rsidRPr="00100BF5">
        <w:rPr>
          <w:lang w:val="en-GB"/>
        </w:rPr>
        <w:t>Profit before tax declined 20% to £274m</w:t>
      </w:r>
    </w:p>
    <w:p w:rsidR="003D6EF4" w:rsidRPr="00100BF5" w:rsidRDefault="00A12DCA" w:rsidP="00B36768">
      <w:pPr>
        <w:pStyle w:val="Level2Bullet-BarcRA2"/>
        <w:numPr>
          <w:ilvl w:val="2"/>
          <w:numId w:val="9"/>
        </w:numPr>
        <w:tabs>
          <w:tab w:val="num" w:pos="567"/>
        </w:tabs>
        <w:ind w:left="567" w:hanging="283"/>
        <w:rPr>
          <w:lang w:val="en-GB"/>
        </w:rPr>
      </w:pPr>
      <w:r w:rsidRPr="00100BF5">
        <w:rPr>
          <w:lang w:val="en-GB"/>
        </w:rPr>
        <w:t>Highe</w:t>
      </w:r>
      <w:r w:rsidR="003D6EF4" w:rsidRPr="00100BF5">
        <w:rPr>
          <w:lang w:val="en-GB"/>
        </w:rPr>
        <w:t>r credit impairment</w:t>
      </w:r>
      <w:r w:rsidRPr="00100BF5">
        <w:rPr>
          <w:lang w:val="en-GB"/>
        </w:rPr>
        <w:t xml:space="preserve"> in the South African </w:t>
      </w:r>
      <w:r w:rsidR="003D6EF4" w:rsidRPr="00100BF5">
        <w:rPr>
          <w:lang w:val="en-GB"/>
        </w:rPr>
        <w:t>home loans portfolio</w:t>
      </w:r>
    </w:p>
    <w:p w:rsidR="00A12DCA" w:rsidRPr="00100BF5" w:rsidRDefault="00A12DCA" w:rsidP="00B36768">
      <w:pPr>
        <w:pStyle w:val="Level2Bullet-BarcRA2"/>
        <w:numPr>
          <w:ilvl w:val="2"/>
          <w:numId w:val="9"/>
        </w:numPr>
        <w:tabs>
          <w:tab w:val="num" w:pos="567"/>
        </w:tabs>
        <w:ind w:left="567" w:hanging="283"/>
        <w:rPr>
          <w:lang w:val="en-GB"/>
        </w:rPr>
      </w:pPr>
      <w:r w:rsidRPr="00100BF5">
        <w:rPr>
          <w:lang w:val="en-GB"/>
        </w:rPr>
        <w:t>Adverse currency movements due to depreciation of major African currencies against Sterling</w:t>
      </w:r>
    </w:p>
    <w:p w:rsidR="00A12DCA" w:rsidRPr="00100BF5" w:rsidRDefault="00A12DCA" w:rsidP="00B36768">
      <w:pPr>
        <w:pStyle w:val="Level1Bullet-BarcRA03"/>
      </w:pPr>
      <w:r w:rsidRPr="00100BF5">
        <w:t>Income declined 8% to £1,625m driven by currency movements, partially offset by</w:t>
      </w:r>
      <w:r w:rsidR="00EF71AA" w:rsidRPr="00100BF5">
        <w:t xml:space="preserve"> modest</w:t>
      </w:r>
      <w:r w:rsidRPr="00100BF5">
        <w:t xml:space="preserve"> pricing incr</w:t>
      </w:r>
      <w:r w:rsidR="00EF71AA" w:rsidRPr="00100BF5">
        <w:t>eases and volume growth</w:t>
      </w:r>
    </w:p>
    <w:p w:rsidR="00A12DCA" w:rsidRPr="00100BF5" w:rsidRDefault="00A12DCA" w:rsidP="00B36768">
      <w:pPr>
        <w:pStyle w:val="Level1Bullet-BarcRA03"/>
      </w:pPr>
      <w:r w:rsidRPr="00100BF5">
        <w:t>Net interest income declined 6% to £897m with the net interest margin up 16bps to 318bps primarily due to a change in composition to higher margin business</w:t>
      </w:r>
    </w:p>
    <w:p w:rsidR="00A12DCA" w:rsidRPr="00100BF5" w:rsidRDefault="00A12DCA" w:rsidP="00B36768">
      <w:pPr>
        <w:pStyle w:val="Level2Bullet-BarcRA2"/>
        <w:numPr>
          <w:ilvl w:val="2"/>
          <w:numId w:val="9"/>
        </w:numPr>
        <w:tabs>
          <w:tab w:val="num" w:pos="567"/>
        </w:tabs>
        <w:ind w:left="567" w:hanging="283"/>
        <w:rPr>
          <w:lang w:val="en-GB"/>
        </w:rPr>
      </w:pPr>
      <w:r w:rsidRPr="00100BF5">
        <w:rPr>
          <w:lang w:val="en-GB"/>
        </w:rPr>
        <w:t>Customer asset margin increased 15bps to 310bps reflecting</w:t>
      </w:r>
      <w:r w:rsidR="00E13E76" w:rsidRPr="00100BF5">
        <w:rPr>
          <w:lang w:val="en-GB"/>
        </w:rPr>
        <w:t xml:space="preserve"> </w:t>
      </w:r>
      <w:r w:rsidRPr="00100BF5">
        <w:rPr>
          <w:lang w:val="en-GB"/>
        </w:rPr>
        <w:t>a change in composition towards higher margin business</w:t>
      </w:r>
      <w:r w:rsidR="003D6EF4" w:rsidRPr="00100BF5">
        <w:rPr>
          <w:lang w:val="en-GB"/>
        </w:rPr>
        <w:t xml:space="preserve"> and lower funding </w:t>
      </w:r>
      <w:r w:rsidR="00931FB3" w:rsidRPr="00100BF5">
        <w:rPr>
          <w:lang w:val="en-GB"/>
        </w:rPr>
        <w:t>rate</w:t>
      </w:r>
      <w:r w:rsidR="007216E7">
        <w:rPr>
          <w:lang w:val="en-GB"/>
        </w:rPr>
        <w:t>s</w:t>
      </w:r>
    </w:p>
    <w:p w:rsidR="00A12DCA" w:rsidRPr="00100BF5" w:rsidRDefault="00A12DCA" w:rsidP="00B36768">
      <w:pPr>
        <w:pStyle w:val="Level2Bullet-BarcRA2"/>
        <w:numPr>
          <w:ilvl w:val="2"/>
          <w:numId w:val="9"/>
        </w:numPr>
        <w:tabs>
          <w:tab w:val="num" w:pos="567"/>
        </w:tabs>
        <w:ind w:left="567" w:hanging="283"/>
        <w:rPr>
          <w:lang w:val="en-GB"/>
        </w:rPr>
      </w:pPr>
      <w:r w:rsidRPr="00100BF5">
        <w:rPr>
          <w:lang w:val="en-GB"/>
        </w:rPr>
        <w:t>Average customer assets decreased 14% to £34.4bn, driven by currency movements and a modest decrease in the mortgage book</w:t>
      </w:r>
    </w:p>
    <w:p w:rsidR="00A12DCA" w:rsidRPr="00100BF5" w:rsidRDefault="00A12DCA" w:rsidP="00B36768">
      <w:pPr>
        <w:pStyle w:val="Level2Bullet-BarcRA2"/>
        <w:numPr>
          <w:ilvl w:val="2"/>
          <w:numId w:val="9"/>
        </w:numPr>
        <w:tabs>
          <w:tab w:val="num" w:pos="567"/>
        </w:tabs>
        <w:ind w:left="567" w:hanging="283"/>
        <w:rPr>
          <w:lang w:val="en-GB"/>
        </w:rPr>
      </w:pPr>
      <w:r w:rsidRPr="00100BF5">
        <w:rPr>
          <w:lang w:val="en-GB"/>
        </w:rPr>
        <w:t>Customer liability margin increased 8bps to 266bps driven by improving margins across a number of African countries partially offset by a decline in South Africa</w:t>
      </w:r>
    </w:p>
    <w:p w:rsidR="00A12DCA" w:rsidRPr="00100BF5" w:rsidRDefault="00A12DCA" w:rsidP="00B36768">
      <w:pPr>
        <w:pStyle w:val="Level2Bullet-BarcRA2"/>
        <w:numPr>
          <w:ilvl w:val="2"/>
          <w:numId w:val="9"/>
        </w:numPr>
        <w:tabs>
          <w:tab w:val="num" w:pos="567"/>
        </w:tabs>
        <w:ind w:left="567" w:hanging="283"/>
        <w:rPr>
          <w:lang w:val="en-GB"/>
        </w:rPr>
      </w:pPr>
      <w:r w:rsidRPr="00100BF5">
        <w:rPr>
          <w:lang w:val="en-GB"/>
        </w:rPr>
        <w:t>Average customer liabilities decreased 7% to £22.3bn, driven by currency movements partially offset by 10% underlying growth in deposits in South Africa where Absa remains a leader in customer deposits</w:t>
      </w:r>
    </w:p>
    <w:p w:rsidR="00A12DCA" w:rsidRPr="00100BF5" w:rsidRDefault="00A12DCA" w:rsidP="00B36768">
      <w:pPr>
        <w:pStyle w:val="Level1Bullet-BarcRA03"/>
      </w:pPr>
      <w:r w:rsidRPr="00100BF5">
        <w:t>Net fee and commission income declined 8% to £561m driven by currency movements</w:t>
      </w:r>
      <w:r w:rsidR="008441F8">
        <w:t>, partially offset by modest</w:t>
      </w:r>
      <w:r w:rsidR="008441F8" w:rsidRPr="00100BF5">
        <w:t xml:space="preserve"> pricing increases </w:t>
      </w:r>
      <w:r w:rsidR="008441F8">
        <w:rPr>
          <w:lang w:val="en-GB"/>
        </w:rPr>
        <w:t xml:space="preserve">and </w:t>
      </w:r>
      <w:r w:rsidRPr="00100BF5">
        <w:t>volume growth</w:t>
      </w:r>
    </w:p>
    <w:p w:rsidR="0053171D" w:rsidRPr="00100BF5" w:rsidRDefault="0053171D" w:rsidP="00B36768">
      <w:pPr>
        <w:pStyle w:val="Level1Bullet-BarcRA03"/>
      </w:pPr>
      <w:r w:rsidRPr="0053171D">
        <w:t>Credit impairment charges increased 19% to £321m reflecting higher impairment charges in the South African home loans portfolio due to higher write-offs</w:t>
      </w:r>
    </w:p>
    <w:p w:rsidR="00EF71AA" w:rsidRPr="00100BF5" w:rsidRDefault="00A12DCA" w:rsidP="00B36768">
      <w:pPr>
        <w:pStyle w:val="Level1Bullet-BarcRA03"/>
      </w:pPr>
      <w:r w:rsidRPr="00100BF5">
        <w:t>Operating expenses decreased 11% to £1,033m primarily driven by currency movements and</w:t>
      </w:r>
      <w:r w:rsidR="00EF71AA" w:rsidRPr="00100BF5">
        <w:t xml:space="preserve"> tight cost control</w:t>
      </w:r>
    </w:p>
    <w:p w:rsidR="00A12DCA" w:rsidRPr="00100BF5" w:rsidRDefault="00A12DCA" w:rsidP="00B36768">
      <w:pPr>
        <w:pStyle w:val="Level1Bullet-BarcRA03"/>
      </w:pPr>
      <w:r w:rsidRPr="00100BF5">
        <w:t>Adju</w:t>
      </w:r>
      <w:r w:rsidR="00EF71AA" w:rsidRPr="00100BF5">
        <w:t>sted return on average equity decreased to</w:t>
      </w:r>
      <w:r w:rsidRPr="00100BF5">
        <w:t xml:space="preserve"> 7.6% (2011: 7.9%)</w:t>
      </w:r>
    </w:p>
    <w:p w:rsidR="00A12DCA" w:rsidRPr="00100BF5" w:rsidRDefault="00A12DCA" w:rsidP="00A12DCA">
      <w:pPr>
        <w:pStyle w:val="Level1Bullet-BarcRA201"/>
        <w:tabs>
          <w:tab w:val="clear" w:pos="284"/>
          <w:tab w:val="left" w:pos="720"/>
        </w:tabs>
        <w:rPr>
          <w:b/>
          <w:sz w:val="20"/>
          <w:lang w:val="en-GB"/>
        </w:rPr>
      </w:pPr>
      <w:r w:rsidRPr="00100BF5">
        <w:rPr>
          <w:b/>
          <w:sz w:val="20"/>
          <w:lang w:val="en-GB"/>
        </w:rPr>
        <w:t>Income Statement – Q2</w:t>
      </w:r>
      <w:r w:rsidR="00D6381B">
        <w:rPr>
          <w:b/>
          <w:sz w:val="20"/>
          <w:lang w:val="en-GB"/>
        </w:rPr>
        <w:t xml:space="preserve"> </w:t>
      </w:r>
      <w:r w:rsidRPr="00100BF5">
        <w:rPr>
          <w:b/>
          <w:sz w:val="20"/>
          <w:lang w:val="en-GB"/>
        </w:rPr>
        <w:t>12 compared to Q1</w:t>
      </w:r>
      <w:r w:rsidR="00D6381B">
        <w:rPr>
          <w:b/>
          <w:sz w:val="20"/>
          <w:lang w:val="en-GB"/>
        </w:rPr>
        <w:t xml:space="preserve"> </w:t>
      </w:r>
      <w:r w:rsidRPr="00100BF5">
        <w:rPr>
          <w:b/>
          <w:sz w:val="20"/>
          <w:lang w:val="en-GB"/>
        </w:rPr>
        <w:t>12</w:t>
      </w:r>
    </w:p>
    <w:p w:rsidR="00A12DCA" w:rsidRPr="00100BF5" w:rsidRDefault="00A12DCA" w:rsidP="00B36768">
      <w:pPr>
        <w:pStyle w:val="Level1Bullet-BarcRA03"/>
        <w:rPr>
          <w:lang w:val="en-GB"/>
        </w:rPr>
      </w:pPr>
      <w:r w:rsidRPr="00100BF5">
        <w:rPr>
          <w:lang w:val="en-GB"/>
        </w:rPr>
        <w:t>Profit before tax of £97m (Q1</w:t>
      </w:r>
      <w:r w:rsidR="00D6381B">
        <w:rPr>
          <w:lang w:val="en-GB"/>
        </w:rPr>
        <w:t xml:space="preserve"> </w:t>
      </w:r>
      <w:r w:rsidRPr="00100BF5">
        <w:rPr>
          <w:lang w:val="en-GB"/>
        </w:rPr>
        <w:t>12: £177m) driven by higher impairments in South Africa retail mortgages and currency movements</w:t>
      </w:r>
    </w:p>
    <w:p w:rsidR="00A12DCA" w:rsidRPr="00100BF5" w:rsidRDefault="00A12DCA" w:rsidP="00A12DCA">
      <w:pPr>
        <w:pStyle w:val="Level1Bullet-BarcRA201"/>
        <w:tabs>
          <w:tab w:val="clear" w:pos="284"/>
          <w:tab w:val="left" w:pos="720"/>
        </w:tabs>
        <w:rPr>
          <w:lang w:val="en-GB"/>
        </w:rPr>
      </w:pPr>
      <w:r w:rsidRPr="00100BF5">
        <w:rPr>
          <w:b/>
          <w:sz w:val="20"/>
          <w:lang w:val="en-GB"/>
        </w:rPr>
        <w:t>Balance Sheet – 30 June 2012 compared to 31 December 2011</w:t>
      </w:r>
    </w:p>
    <w:p w:rsidR="0056165E" w:rsidRPr="00100BF5" w:rsidRDefault="0056165E" w:rsidP="00B36768">
      <w:pPr>
        <w:pStyle w:val="Level1Bullet-BarcRA03"/>
        <w:rPr>
          <w:lang w:val="en-GB"/>
        </w:rPr>
      </w:pPr>
      <w:r w:rsidRPr="00100BF5">
        <w:rPr>
          <w:lang w:val="en-GB"/>
        </w:rPr>
        <w:t>Loans and advances to customers decreased 1% to £34.1bn and total assets decreased 2% to £47.4bn mainly due to currency movements</w:t>
      </w:r>
    </w:p>
    <w:p w:rsidR="00A12DCA" w:rsidRPr="00100BF5" w:rsidRDefault="00A12DCA" w:rsidP="00B36768">
      <w:pPr>
        <w:pStyle w:val="Level1Bullet-BarcRA03"/>
        <w:rPr>
          <w:lang w:val="en-GB"/>
        </w:rPr>
      </w:pPr>
      <w:r w:rsidRPr="00100BF5">
        <w:rPr>
          <w:lang w:val="en-GB"/>
        </w:rPr>
        <w:t>Customer deposits decreased 1% to £22.3bn due to currency movements partially offset by growth in deposits in South Africa</w:t>
      </w:r>
    </w:p>
    <w:p w:rsidR="00A12DCA" w:rsidRPr="00100BF5" w:rsidRDefault="00A12DCA" w:rsidP="00B36768">
      <w:pPr>
        <w:pStyle w:val="Level1Bullet-BarcRA03"/>
        <w:rPr>
          <w:lang w:val="en-GB"/>
        </w:rPr>
      </w:pPr>
      <w:r w:rsidRPr="00100BF5">
        <w:rPr>
          <w:lang w:val="en-GB"/>
        </w:rPr>
        <w:t xml:space="preserve">Risk weighted assets decreased 8% to £27.9bn primarily </w:t>
      </w:r>
      <w:r w:rsidR="003B1B94" w:rsidRPr="00100BF5">
        <w:rPr>
          <w:lang w:val="en-GB"/>
        </w:rPr>
        <w:t>driven by</w:t>
      </w:r>
      <w:r w:rsidRPr="00100BF5">
        <w:rPr>
          <w:lang w:val="en-GB"/>
        </w:rPr>
        <w:t xml:space="preserve"> change</w:t>
      </w:r>
      <w:r w:rsidR="003B1B94" w:rsidRPr="00100BF5">
        <w:rPr>
          <w:lang w:val="en-GB"/>
        </w:rPr>
        <w:t>s</w:t>
      </w:r>
      <w:r w:rsidRPr="00100BF5">
        <w:rPr>
          <w:lang w:val="en-GB"/>
        </w:rPr>
        <w:t xml:space="preserve"> in exposure risk weightings and currency movements</w:t>
      </w:r>
    </w:p>
    <w:p w:rsidR="00A12DCA" w:rsidRPr="00100BF5" w:rsidRDefault="00A12DCA">
      <w:pPr>
        <w:rPr>
          <w:lang w:val="en-GB"/>
        </w:r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val="31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lang w:val="en-GB"/>
              </w:rPr>
            </w:pPr>
            <w:r w:rsidRPr="00100BF5">
              <w:rPr>
                <w:b/>
                <w:sz w:val="24"/>
                <w:lang w:val="en-GB"/>
              </w:rPr>
              <w:t>Barclaycard</w:t>
            </w:r>
            <w:r w:rsidRPr="00100BF5">
              <w:rPr>
                <w:b/>
                <w:sz w:val="2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lang w:val="en-GB"/>
              </w:rPr>
            </w:pPr>
            <w:r w:rsidRPr="00100BF5">
              <w:rPr>
                <w:b/>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r w:rsidRPr="00100BF5">
              <w:rPr>
                <w:b/>
                <w:sz w:val="2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r>
      <w:tr w:rsidR="000810BB" w:rsidRPr="00100BF5" w:rsidTr="00D54056">
        <w:tblPrEx>
          <w:tblCellMar>
            <w:top w:w="0" w:type="dxa"/>
            <w:bottom w:w="0" w:type="dxa"/>
          </w:tblCellMar>
        </w:tblPrEx>
        <w:trPr>
          <w:trHeight w:val="27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16"/>
                <w:lang w:val="en-GB"/>
              </w:rPr>
              <w:t xml:space="preserve"> </w:t>
            </w:r>
            <w:r w:rsidRPr="00100BF5">
              <w:rPr>
                <w:sz w:val="16"/>
                <w:vertAlign w:val="superscript"/>
                <w:lang w:val="en-GB"/>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sz w:val="16"/>
                <w:vertAlign w:val="superscript"/>
                <w:lang w:val="en-GB"/>
              </w:rPr>
            </w:pPr>
            <w:r w:rsidRPr="00100BF5">
              <w:rPr>
                <w:b/>
                <w:sz w:val="16"/>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16"/>
                <w:lang w:val="en-GB"/>
              </w:rPr>
            </w:pPr>
            <w:r w:rsidRPr="00100BF5">
              <w:rPr>
                <w:b/>
                <w:sz w:val="16"/>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16"/>
                <w:lang w:val="en-GB"/>
              </w:rPr>
            </w:pPr>
            <w:r w:rsidRPr="00100BF5">
              <w:rPr>
                <w:b/>
                <w:sz w:val="16"/>
                <w:lang w:val="en-GB"/>
              </w:rPr>
              <w:t>Half Year Ended</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rsidTr="0081359F">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20"/>
                <w:lang w:val="en-GB"/>
              </w:rPr>
              <w:t>Income Statement Information</w:t>
            </w:r>
            <w:r w:rsidRPr="00100BF5">
              <w:rPr>
                <w:b/>
                <w:sz w:val="20"/>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20"/>
                <w:vertAlign w:val="superscript"/>
                <w:lang w:val="en-GB"/>
              </w:rPr>
            </w:pPr>
            <w:r w:rsidRPr="00100BF5">
              <w:rPr>
                <w:b/>
                <w:sz w:val="20"/>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20"/>
                <w:lang w:val="en-GB"/>
              </w:rPr>
            </w:pPr>
            <w:r w:rsidRPr="00100BF5">
              <w:rPr>
                <w:b/>
                <w:sz w:val="16"/>
                <w:lang w:val="en-GB"/>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16"/>
                <w:lang w:val="en-GB"/>
              </w:rPr>
            </w:pPr>
            <w:r w:rsidRPr="00100BF5">
              <w:rPr>
                <w:b/>
                <w:sz w:val="16"/>
                <w:lang w:val="en-GB"/>
              </w:rPr>
              <w:t xml:space="preserve"> </w:t>
            </w:r>
            <w:r w:rsidRPr="00100BF5">
              <w:rPr>
                <w:b/>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20"/>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16"/>
                <w:lang w:val="en-GB"/>
              </w:rPr>
            </w:pPr>
            <w:r w:rsidRPr="00100BF5">
              <w:rPr>
                <w:b/>
                <w:sz w:val="16"/>
                <w:lang w:val="en-GB"/>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81359F">
            <w:pPr>
              <w:jc w:val="right"/>
              <w:rPr>
                <w:b/>
                <w:sz w:val="16"/>
                <w:lang w:val="en-GB"/>
              </w:rPr>
            </w:pPr>
            <w:r w:rsidRPr="00100BF5">
              <w:rPr>
                <w:b/>
                <w:sz w:val="16"/>
                <w:lang w:val="en-GB"/>
              </w:rPr>
              <w:t>30.06.11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YoY</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r w:rsidRPr="00100BF5">
              <w:rPr>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Change</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interest income</w:t>
            </w:r>
            <w:r w:rsidRPr="00100BF5">
              <w:rPr>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1,394 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1,490 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1,370 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fee and commission income</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604 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571 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trading loss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investment income</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premiums from insurance contracts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21 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Other income</w:t>
            </w:r>
            <w:r w:rsidRPr="00100BF5">
              <w:rPr>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11 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15 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Total income</w:t>
            </w:r>
            <w:r w:rsidRPr="00100BF5">
              <w:rPr>
                <w:b/>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2,027 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2,122 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1,974 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Net claims and benefits incurred under insurance contracts</w:t>
            </w:r>
            <w:r w:rsidRPr="00100BF5">
              <w:rPr>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Total income net of insurance claims</w:t>
            </w:r>
            <w:r w:rsidRPr="00100BF5">
              <w:rPr>
                <w:b/>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2,026 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2,123 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1,972 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Credit impairment charges and other provisions</w:t>
            </w:r>
            <w:r w:rsidRPr="00100BF5">
              <w:rPr>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(460)</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(648)</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(29)</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Net operating income</w:t>
            </w:r>
            <w:r w:rsidRPr="00100BF5">
              <w:rPr>
                <w:b/>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1,566 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1,512 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1,324 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18 </w:t>
            </w:r>
          </w:p>
        </w:tc>
      </w:tr>
      <w:tr w:rsidR="00A12DCA" w:rsidRPr="00100BF5">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Operating expenses (excluding provision for PPI redress and goodwill impairment) </w:t>
            </w:r>
            <w:r w:rsidRPr="00100BF5">
              <w:rPr>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(830)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(888)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(771)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Provision for PPI redress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(600)</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Goodwill impairment</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(47)</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Operating expenses</w:t>
            </w:r>
            <w:r w:rsidRPr="00100BF5">
              <w:rPr>
                <w:b/>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(830)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(888)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(1,418)</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(41)</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D6745F">
            <w:pPr>
              <w:rPr>
                <w:b/>
                <w:sz w:val="16"/>
                <w:lang w:val="en-GB"/>
              </w:rPr>
            </w:pPr>
            <w:r w:rsidRPr="00100BF5">
              <w:rPr>
                <w:sz w:val="16"/>
                <w:szCs w:val="14"/>
              </w:rPr>
              <w:t>Other net income</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18 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Profit/(loss) before tax</w:t>
            </w:r>
            <w:r w:rsidRPr="00100BF5">
              <w:rPr>
                <w:b/>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753 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637 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(76)</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b/>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Adjusted profit before tax</w:t>
            </w:r>
            <w:r w:rsidRPr="00100BF5">
              <w:rPr>
                <w:b/>
                <w:sz w:val="16"/>
                <w:vertAlign w:val="superscript"/>
                <w:lang w:val="en-GB"/>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753 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637 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571 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32 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b/>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20"/>
                <w:lang w:val="en-GB"/>
              </w:rPr>
              <w:t>Balance Sheet Information</w:t>
            </w:r>
            <w:r w:rsidRPr="00100BF5">
              <w:rPr>
                <w:b/>
                <w:sz w:val="20"/>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r w:rsidRPr="00100BF5">
              <w:rPr>
                <w:b/>
                <w:sz w:val="20"/>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20"/>
                <w:lang w:val="en-GB"/>
              </w:rPr>
            </w:pPr>
            <w:r w:rsidRPr="00100BF5">
              <w:rPr>
                <w:sz w:val="16"/>
                <w:lang w:val="en-GB"/>
              </w:rPr>
              <w:t>Loans and advances to customers at amortised cost</w:t>
            </w:r>
            <w:r w:rsidRPr="00100BF5">
              <w:rPr>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£30.6bn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£30.1bn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£28.3bn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Customer deposits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£2.0bn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£0.6bn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£0.6bn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Total assets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£34.6bn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£33.8bn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£32.5bn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Risk weighted assets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£33.1bn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£34.2bn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£34.0bn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0810BB" w:rsidRPr="00100BF5" w:rsidTr="00D5405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vertAlign w:val="superscript"/>
                <w:lang w:val="en-GB"/>
              </w:rPr>
            </w:pPr>
            <w:r w:rsidRPr="00100BF5">
              <w:rPr>
                <w:b/>
                <w:sz w:val="16"/>
                <w:lang w:val="en-GB"/>
              </w:rPr>
              <w:t>Adjusted</w:t>
            </w:r>
            <w:r w:rsidRPr="00100BF5">
              <w:rPr>
                <w:b/>
                <w:sz w:val="16"/>
                <w:vertAlign w:val="superscript"/>
                <w:lang w:val="en-GB"/>
              </w:rPr>
              <w:t>1 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lang w:val="en-GB"/>
              </w:rPr>
            </w:pPr>
            <w:r w:rsidRPr="00100BF5">
              <w:rPr>
                <w:b/>
                <w:sz w:val="16"/>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b/>
                <w:sz w:val="16"/>
                <w:lang w:val="en-GB"/>
              </w:rPr>
              <w:t>Statutory</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b/>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20"/>
                <w:lang w:val="en-GB"/>
              </w:rPr>
              <w:t>Performance Measures</w:t>
            </w:r>
            <w:r w:rsidRPr="00100BF5">
              <w:rPr>
                <w:b/>
                <w:sz w:val="20"/>
                <w:vertAlign w:val="superscript"/>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b/>
                <w:sz w:val="16"/>
                <w:lang w:val="en-GB"/>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30.06.11</w:t>
            </w:r>
            <w:r w:rsidRPr="00100BF5">
              <w:rPr>
                <w:b/>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b/>
                <w:sz w:val="16"/>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Return on average equity</w:t>
            </w:r>
            <w:r w:rsidRPr="00100BF5">
              <w:rPr>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22.0%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17.1%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17.7%</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22.0%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17.1%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(3.6%)</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Return on average risk weighted assets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3.3%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2.7%</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3.3%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(0.3%)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Loan loss rate (bps)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285 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376 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420 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285 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376 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420 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Cost: income ratio</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41%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39%</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72%</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20"/>
                <w:lang w:val="en-GB"/>
              </w:rPr>
              <w:t>Key Facts</w:t>
            </w:r>
            <w:r w:rsidRPr="00100BF5">
              <w:rPr>
                <w:b/>
                <w:sz w:val="20"/>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b/>
                <w:sz w:val="16"/>
                <w:lang w:val="en-GB"/>
              </w:rPr>
              <w:t>30.06.12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r w:rsidRPr="00100BF5">
              <w:rPr>
                <w:b/>
                <w:sz w:val="20"/>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31.12.11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30 day arrears rates - UK cards</w:t>
            </w:r>
            <w:r w:rsidRPr="00100BF5">
              <w:rPr>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F72CF">
            <w:pPr>
              <w:jc w:val="right"/>
              <w:rPr>
                <w:sz w:val="16"/>
                <w:lang w:val="en-GB"/>
              </w:rPr>
            </w:pPr>
            <w:r w:rsidRPr="00100BF5">
              <w:rPr>
                <w:sz w:val="16"/>
                <w:lang w:val="en-GB"/>
              </w:rPr>
              <w:t>2.7</w:t>
            </w:r>
            <w:r w:rsidR="00A12DCA" w:rsidRPr="00100BF5">
              <w:rPr>
                <w:sz w:val="16"/>
                <w:lang w:val="en-GB"/>
              </w:rPr>
              <w:t>%</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3.0%</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30 day arrears rates - US cards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3.2%</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30 day arrears rates - South Africa cards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5.1%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5.4%</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Total number of Barclaycard customers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23.0m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22.6m</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22.2m</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Total average customer assets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£31.8bn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£31.1bn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£29.4bn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Number of retailer relationships</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89,000 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87,000 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90,000 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Number of employees (full time equivalent)</w:t>
            </w:r>
            <w:r w:rsidRPr="00100BF5">
              <w:rPr>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10,600 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10,400 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10,400 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bl>
    <w:p w:rsidR="00A12DCA" w:rsidRPr="00100BF5" w:rsidRDefault="00A12DCA">
      <w:pPr>
        <w:rPr>
          <w:lang w:val="en-GB"/>
        </w:rPr>
      </w:pPr>
    </w:p>
    <w:p w:rsidR="00A12DCA" w:rsidRPr="00100BF5" w:rsidRDefault="00A12DCA" w:rsidP="00A12DCA">
      <w:pPr>
        <w:pStyle w:val="Normal21"/>
        <w:ind w:left="284" w:hanging="284"/>
        <w:rPr>
          <w:i/>
          <w:sz w:val="14"/>
        </w:rPr>
      </w:pPr>
    </w:p>
    <w:p w:rsidR="00A12DCA" w:rsidRPr="00100BF5" w:rsidRDefault="00A12DCA" w:rsidP="00A12DCA">
      <w:pPr>
        <w:pStyle w:val="Normal21"/>
        <w:ind w:left="284" w:hanging="284"/>
        <w:rPr>
          <w:i/>
          <w:sz w:val="14"/>
        </w:rPr>
      </w:pPr>
    </w:p>
    <w:p w:rsidR="00A12DCA" w:rsidRPr="00100BF5" w:rsidRDefault="00A12DCA" w:rsidP="00A12DCA">
      <w:pPr>
        <w:pStyle w:val="Normal21"/>
        <w:ind w:left="284" w:hanging="284"/>
        <w:rPr>
          <w:i/>
          <w:sz w:val="14"/>
        </w:rPr>
      </w:pPr>
    </w:p>
    <w:p w:rsidR="00A12DCA" w:rsidRPr="00100BF5" w:rsidRDefault="00A12DCA" w:rsidP="00A12DCA">
      <w:pPr>
        <w:pStyle w:val="Normal21"/>
        <w:ind w:left="284"/>
        <w:rPr>
          <w:i/>
        </w:rPr>
      </w:pPr>
    </w:p>
    <w:p w:rsidR="00A12DCA" w:rsidRPr="00100BF5" w:rsidRDefault="00A12DCA" w:rsidP="00A12DCA">
      <w:pPr>
        <w:pStyle w:val="Normal21"/>
        <w:ind w:left="284"/>
        <w:rPr>
          <w:i/>
        </w:rPr>
      </w:pPr>
    </w:p>
    <w:p w:rsidR="00A12DCA" w:rsidRPr="00100BF5" w:rsidRDefault="00A12DCA" w:rsidP="00A12DCA">
      <w:pPr>
        <w:pStyle w:val="Normal21"/>
        <w:ind w:left="284"/>
        <w:rPr>
          <w:i/>
        </w:rPr>
      </w:pPr>
    </w:p>
    <w:p w:rsidR="00A12DCA" w:rsidRPr="00100BF5" w:rsidRDefault="00A12DCA" w:rsidP="00A12DCA">
      <w:pPr>
        <w:pStyle w:val="Normal21"/>
        <w:ind w:left="284"/>
        <w:rPr>
          <w:i/>
        </w:rPr>
      </w:pPr>
    </w:p>
    <w:p w:rsidR="00A12DCA" w:rsidRPr="00100BF5" w:rsidRDefault="00A12DCA" w:rsidP="00AF72CF">
      <w:pPr>
        <w:pStyle w:val="Normal21"/>
        <w:ind w:left="284"/>
        <w:rPr>
          <w:i/>
          <w:sz w:val="2"/>
          <w:szCs w:val="2"/>
        </w:rPr>
      </w:pPr>
    </w:p>
    <w:p w:rsidR="00AF72CF" w:rsidRPr="00100BF5" w:rsidRDefault="00AF72CF" w:rsidP="00AF72CF">
      <w:pPr>
        <w:pStyle w:val="Normal21"/>
        <w:ind w:left="284"/>
        <w:rPr>
          <w:i/>
          <w:sz w:val="2"/>
          <w:szCs w:val="2"/>
        </w:rPr>
      </w:pPr>
    </w:p>
    <w:p w:rsidR="00AF72CF" w:rsidRPr="00100BF5" w:rsidRDefault="00AF72CF" w:rsidP="00AF72CF">
      <w:pPr>
        <w:pStyle w:val="Normal21"/>
        <w:ind w:left="284"/>
        <w:rPr>
          <w:i/>
          <w:sz w:val="2"/>
          <w:szCs w:val="2"/>
        </w:rPr>
      </w:pPr>
    </w:p>
    <w:p w:rsidR="00AF72CF" w:rsidRPr="00100BF5" w:rsidRDefault="00AF72CF" w:rsidP="00AF72CF">
      <w:pPr>
        <w:pStyle w:val="Normal21"/>
        <w:ind w:left="284"/>
        <w:rPr>
          <w:i/>
          <w:sz w:val="2"/>
          <w:szCs w:val="2"/>
        </w:rPr>
      </w:pPr>
    </w:p>
    <w:p w:rsidR="00AF72CF" w:rsidRPr="00100BF5" w:rsidRDefault="00AF72CF" w:rsidP="00AF72CF">
      <w:pPr>
        <w:pStyle w:val="Normal21"/>
        <w:ind w:left="284"/>
        <w:rPr>
          <w:i/>
          <w:sz w:val="2"/>
          <w:szCs w:val="2"/>
        </w:rPr>
      </w:pPr>
    </w:p>
    <w:p w:rsidR="00AF72CF" w:rsidRPr="00100BF5" w:rsidRDefault="00AF72CF" w:rsidP="00AF72CF">
      <w:pPr>
        <w:pStyle w:val="Normal21"/>
        <w:ind w:left="284"/>
        <w:rPr>
          <w:i/>
          <w:sz w:val="2"/>
          <w:szCs w:val="2"/>
        </w:rPr>
      </w:pPr>
    </w:p>
    <w:p w:rsidR="00A12DCA" w:rsidRPr="00100BF5" w:rsidRDefault="00A12DCA" w:rsidP="00A12DCA">
      <w:pPr>
        <w:pStyle w:val="Normal21"/>
        <w:numPr>
          <w:ilvl w:val="0"/>
          <w:numId w:val="39"/>
        </w:numPr>
        <w:ind w:left="284" w:hanging="284"/>
        <w:rPr>
          <w:i/>
        </w:rPr>
      </w:pPr>
      <w:r w:rsidRPr="00100BF5">
        <w:rPr>
          <w:i/>
          <w:sz w:val="14"/>
        </w:rPr>
        <w:t>Adjusted profit before tax and adjusted performance measures excludes the impact of the provision for PPI redre</w:t>
      </w:r>
      <w:r w:rsidR="00882E4A">
        <w:rPr>
          <w:i/>
          <w:sz w:val="14"/>
        </w:rPr>
        <w:t xml:space="preserve">ss of £nil (H2 11: £nil; H1 </w:t>
      </w:r>
      <w:r w:rsidRPr="00100BF5">
        <w:rPr>
          <w:i/>
          <w:sz w:val="14"/>
        </w:rPr>
        <w:t>11: £600m) and goodwill impairme</w:t>
      </w:r>
      <w:r w:rsidR="00882E4A">
        <w:rPr>
          <w:i/>
          <w:sz w:val="14"/>
        </w:rPr>
        <w:t xml:space="preserve">nt of £nil (H2 11: £nil; H1 </w:t>
      </w:r>
      <w:r w:rsidRPr="00100BF5">
        <w:rPr>
          <w:i/>
          <w:sz w:val="14"/>
        </w:rPr>
        <w:t>11: £47m).</w:t>
      </w:r>
    </w:p>
    <w:p w:rsidR="005F437E" w:rsidRDefault="00A12DCA" w:rsidP="005F437E">
      <w:pPr>
        <w:pStyle w:val="HeadingLevel1-BarcRA"/>
      </w:pPr>
      <w:r w:rsidRPr="00100BF5">
        <w:br w:type="page"/>
      </w:r>
      <w:r w:rsidR="005F437E">
        <w:lastRenderedPageBreak/>
        <w:t>Results by Business</w:t>
      </w:r>
    </w:p>
    <w:p w:rsidR="00A12DCA" w:rsidRPr="00100BF5" w:rsidRDefault="00A12DCA" w:rsidP="00A12DCA">
      <w:pPr>
        <w:pStyle w:val="Normal21"/>
      </w:pPr>
      <w:r w:rsidRPr="00100BF5">
        <w:rPr>
          <w:b/>
          <w:sz w:val="24"/>
        </w:rPr>
        <w:t>Barclaycard</w:t>
      </w:r>
    </w:p>
    <w:p w:rsidR="00A12DCA" w:rsidRPr="00100BF5" w:rsidRDefault="00A12DCA" w:rsidP="00A12DCA">
      <w:pPr>
        <w:pStyle w:val="Level1Bullet-BarcRA202"/>
        <w:tabs>
          <w:tab w:val="clear" w:pos="284"/>
          <w:tab w:val="left" w:pos="720"/>
        </w:tabs>
        <w:rPr>
          <w:b/>
          <w:sz w:val="20"/>
        </w:rPr>
      </w:pPr>
      <w:r w:rsidRPr="00100BF5">
        <w:rPr>
          <w:b/>
          <w:sz w:val="20"/>
          <w:lang w:val="en-GB"/>
        </w:rPr>
        <w:t>Income Statement – H1</w:t>
      </w:r>
      <w:r w:rsidR="00D6381B">
        <w:rPr>
          <w:b/>
          <w:sz w:val="20"/>
          <w:lang w:val="en-GB"/>
        </w:rPr>
        <w:t xml:space="preserve"> </w:t>
      </w:r>
      <w:r w:rsidRPr="00100BF5">
        <w:rPr>
          <w:b/>
          <w:sz w:val="20"/>
          <w:lang w:val="en-GB"/>
        </w:rPr>
        <w:t>12 compared to H1</w:t>
      </w:r>
      <w:r w:rsidR="00D6381B">
        <w:rPr>
          <w:b/>
          <w:sz w:val="20"/>
          <w:lang w:val="en-GB"/>
        </w:rPr>
        <w:t xml:space="preserve"> </w:t>
      </w:r>
      <w:r w:rsidRPr="00100BF5">
        <w:rPr>
          <w:b/>
          <w:sz w:val="20"/>
          <w:lang w:val="en-GB"/>
        </w:rPr>
        <w:t>11</w:t>
      </w:r>
    </w:p>
    <w:p w:rsidR="00A12DCA" w:rsidRPr="00100BF5" w:rsidRDefault="00A12DCA" w:rsidP="00AE7061">
      <w:pPr>
        <w:pStyle w:val="Level1Bullet-BarcRA03"/>
        <w:rPr>
          <w:lang w:val="en-GB"/>
        </w:rPr>
      </w:pPr>
      <w:r w:rsidRPr="00100BF5">
        <w:rPr>
          <w:lang w:val="en-GB"/>
        </w:rPr>
        <w:t xml:space="preserve">Adjusted profit before tax improved 32% to £753m.  Profit before tax increased by £829m to £753m reflecting £600m provision for PPI redress and £47m goodwill impairment in FirstPlus secured lending </w:t>
      </w:r>
      <w:r w:rsidR="00882E4A">
        <w:rPr>
          <w:lang w:val="en-GB"/>
        </w:rPr>
        <w:t xml:space="preserve">portfolio, both charged in H1 </w:t>
      </w:r>
      <w:r w:rsidRPr="00100BF5">
        <w:rPr>
          <w:lang w:val="en-GB"/>
        </w:rPr>
        <w:t>11</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 xml:space="preserve">International profit increased driven by significant improvement in the US </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UK consumer card profit increased due to balance growth and 2011 portfolio acquisitions</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Solid profit growth within the Business Payments portfolio due to higher volumes</w:t>
      </w:r>
    </w:p>
    <w:p w:rsidR="00A12DCA" w:rsidRPr="00100BF5" w:rsidRDefault="00A12DCA" w:rsidP="00AE7061">
      <w:pPr>
        <w:pStyle w:val="Level1Bullet-BarcRA03"/>
        <w:rPr>
          <w:lang w:val="en-GB"/>
        </w:rPr>
      </w:pPr>
      <w:r w:rsidRPr="00100BF5">
        <w:rPr>
          <w:lang w:val="en-GB"/>
        </w:rPr>
        <w:t xml:space="preserve">Income improved 3% to £2,026m reflecting continued growth across the business and contributions from 2011 portfolio acquisitions, partially offset by higher funding </w:t>
      </w:r>
      <w:r w:rsidR="00931FB3" w:rsidRPr="00100BF5">
        <w:rPr>
          <w:lang w:val="en-GB"/>
        </w:rPr>
        <w:t>rate</w:t>
      </w:r>
      <w:r w:rsidR="007216E7">
        <w:rPr>
          <w:lang w:val="en-GB"/>
        </w:rPr>
        <w:t>s</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 xml:space="preserve">UK income increased by 2% to £1,281m including contribution from 2011 portfolio acquisitions offset by higher funding </w:t>
      </w:r>
      <w:r w:rsidR="00931FB3" w:rsidRPr="00100BF5">
        <w:rPr>
          <w:lang w:val="en-GB"/>
        </w:rPr>
        <w:t>rate</w:t>
      </w:r>
      <w:r w:rsidR="007216E7">
        <w:rPr>
          <w:lang w:val="en-GB"/>
        </w:rPr>
        <w:t>s</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 xml:space="preserve">International income improved 3% to £745m reflecting higher US </w:t>
      </w:r>
      <w:r w:rsidR="00E13E76" w:rsidRPr="00100BF5">
        <w:rPr>
          <w:lang w:val="en-GB"/>
        </w:rPr>
        <w:t>outstanding</w:t>
      </w:r>
      <w:r w:rsidRPr="00100BF5">
        <w:rPr>
          <w:lang w:val="en-GB"/>
        </w:rPr>
        <w:t xml:space="preserve"> balances partially offset by increased funding </w:t>
      </w:r>
      <w:r w:rsidR="00931FB3" w:rsidRPr="00100BF5">
        <w:rPr>
          <w:lang w:val="en-GB"/>
        </w:rPr>
        <w:t>rate</w:t>
      </w:r>
      <w:r w:rsidR="007216E7">
        <w:rPr>
          <w:lang w:val="en-GB"/>
        </w:rPr>
        <w:t>s</w:t>
      </w:r>
    </w:p>
    <w:p w:rsidR="00A12DCA" w:rsidRPr="00100BF5" w:rsidRDefault="00A12DCA" w:rsidP="00AE7061">
      <w:pPr>
        <w:pStyle w:val="Level1Bullet-BarcRA03"/>
        <w:rPr>
          <w:lang w:val="en-GB"/>
        </w:rPr>
      </w:pPr>
      <w:r w:rsidRPr="00100BF5">
        <w:rPr>
          <w:lang w:val="en-GB"/>
        </w:rPr>
        <w:t>Net interest income increased by 2% to £1,394m driven by volume growth, partially offset by lower net interest margin of 881bps (2011: 939bps)</w:t>
      </w:r>
      <w:r w:rsidR="003D6EF4" w:rsidRPr="00100BF5">
        <w:rPr>
          <w:lang w:val="en-GB"/>
        </w:rPr>
        <w:t xml:space="preserve"> </w:t>
      </w:r>
      <w:r w:rsidR="00911600" w:rsidRPr="00100BF5">
        <w:rPr>
          <w:lang w:val="en-GB"/>
        </w:rPr>
        <w:t>including</w:t>
      </w:r>
      <w:r w:rsidR="003D6EF4" w:rsidRPr="00100BF5">
        <w:rPr>
          <w:lang w:val="en-GB"/>
        </w:rPr>
        <w:t xml:space="preserve"> </w:t>
      </w:r>
      <w:r w:rsidR="002461E7" w:rsidRPr="00100BF5">
        <w:rPr>
          <w:lang w:val="en-GB"/>
        </w:rPr>
        <w:t>an</w:t>
      </w:r>
      <w:r w:rsidR="003D6EF4" w:rsidRPr="00100BF5">
        <w:rPr>
          <w:lang w:val="en-GB"/>
        </w:rPr>
        <w:t xml:space="preserve"> adverse impact from structural hedges</w:t>
      </w:r>
      <w:r w:rsidRPr="00100BF5">
        <w:rPr>
          <w:lang w:val="en-GB"/>
        </w:rPr>
        <w:t xml:space="preserve"> </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Average customer assets increased 8% to £31.8bn due to 2011 portfolio acquisitions and business growth, partially offset by the continued run-off of FirstPlus</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 xml:space="preserve">Customer asset margin was down 5bps to 953bps due to higher funding </w:t>
      </w:r>
      <w:r w:rsidR="00931FB3" w:rsidRPr="00100BF5">
        <w:rPr>
          <w:lang w:val="en-GB"/>
        </w:rPr>
        <w:t>rate</w:t>
      </w:r>
      <w:r w:rsidR="007216E7">
        <w:rPr>
          <w:lang w:val="en-GB"/>
        </w:rPr>
        <w:t>s</w:t>
      </w:r>
    </w:p>
    <w:p w:rsidR="00A12DCA" w:rsidRPr="00100BF5" w:rsidRDefault="00A12DCA" w:rsidP="00AE7061">
      <w:pPr>
        <w:pStyle w:val="Level1Bullet-BarcRA03"/>
      </w:pPr>
      <w:r w:rsidRPr="00100BF5">
        <w:t xml:space="preserve">Net fee and commission income improved 6% to £604m due to increased business volumes </w:t>
      </w:r>
    </w:p>
    <w:p w:rsidR="00A12DCA" w:rsidRPr="00100BF5" w:rsidRDefault="00A12DCA" w:rsidP="00AE7061">
      <w:pPr>
        <w:pStyle w:val="Level1Bullet-BarcRA03"/>
      </w:pPr>
      <w:r w:rsidRPr="00100BF5">
        <w:t xml:space="preserve">Credit impairment charges decreased 29% to £460m </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 xml:space="preserve">Loan loss rate reduced to 285bps (2011: 420bps) principally driven by lower charges in the cards portfolios, reflecting improved underlying delinquency performance </w:t>
      </w:r>
    </w:p>
    <w:p w:rsidR="00A12DCA" w:rsidRPr="00100BF5" w:rsidRDefault="00A12DCA" w:rsidP="00AE7061">
      <w:pPr>
        <w:pStyle w:val="Level2Bullet-BarcRA2"/>
        <w:numPr>
          <w:ilvl w:val="2"/>
          <w:numId w:val="9"/>
        </w:numPr>
        <w:tabs>
          <w:tab w:val="num" w:pos="567"/>
        </w:tabs>
        <w:ind w:left="567" w:hanging="283"/>
        <w:rPr>
          <w:lang w:val="en-GB"/>
        </w:rPr>
      </w:pPr>
      <w:r w:rsidRPr="00100BF5">
        <w:rPr>
          <w:lang w:val="en-GB"/>
        </w:rPr>
        <w:t>30 day arrears rates for consum</w:t>
      </w:r>
      <w:r w:rsidR="009C5A7D">
        <w:rPr>
          <w:lang w:val="en-GB"/>
        </w:rPr>
        <w:t>er cards in UK down 30bps to 2.7</w:t>
      </w:r>
      <w:r w:rsidRPr="00100BF5">
        <w:rPr>
          <w:lang w:val="en-GB"/>
        </w:rPr>
        <w:t xml:space="preserve">%, in the US down 70bps to 2.5% and in South Africa down 30bps to 5.1% </w:t>
      </w:r>
    </w:p>
    <w:p w:rsidR="00A12DCA" w:rsidRPr="00100BF5" w:rsidRDefault="00A12DCA" w:rsidP="00AE7061">
      <w:pPr>
        <w:pStyle w:val="Level1Bullet-BarcRA03"/>
      </w:pPr>
      <w:r w:rsidRPr="00100BF5">
        <w:t>Operating expenses decreased 41% to £830m. Excluding the provision for PPI redress and FirstPlus goodwill impairment, operating expenses increased 8% reflecting 2011 portfolio acquisitions, investment spend and PPI related operating costs</w:t>
      </w:r>
    </w:p>
    <w:p w:rsidR="00A12DCA" w:rsidRPr="00100BF5" w:rsidRDefault="00A12DCA" w:rsidP="00AE7061">
      <w:pPr>
        <w:pStyle w:val="Level1Bullet-BarcRA03"/>
      </w:pPr>
      <w:r w:rsidRPr="00100BF5">
        <w:t>Adjusted return on average equity improved to 22.0% (2011: 17.7%). Return on average equity improved to 22.0% (2011: negative 3.6%)</w:t>
      </w:r>
    </w:p>
    <w:p w:rsidR="00A12DCA" w:rsidRPr="00100BF5" w:rsidRDefault="00A12DCA" w:rsidP="00A12DCA">
      <w:pPr>
        <w:pStyle w:val="Level1Bullet-BarcRA202"/>
        <w:tabs>
          <w:tab w:val="clear" w:pos="284"/>
          <w:tab w:val="left" w:pos="720"/>
        </w:tabs>
        <w:rPr>
          <w:b/>
          <w:sz w:val="20"/>
          <w:lang w:val="en-GB"/>
        </w:rPr>
      </w:pPr>
      <w:r w:rsidRPr="00100BF5">
        <w:rPr>
          <w:b/>
          <w:sz w:val="20"/>
          <w:lang w:val="en-GB"/>
        </w:rPr>
        <w:t>Income Statement – Q2</w:t>
      </w:r>
      <w:r w:rsidR="00D6381B">
        <w:rPr>
          <w:b/>
          <w:sz w:val="20"/>
          <w:lang w:val="en-GB"/>
        </w:rPr>
        <w:t xml:space="preserve"> </w:t>
      </w:r>
      <w:r w:rsidRPr="00100BF5">
        <w:rPr>
          <w:b/>
          <w:sz w:val="20"/>
          <w:lang w:val="en-GB"/>
        </w:rPr>
        <w:t>12 compared to Q1</w:t>
      </w:r>
      <w:r w:rsidR="00D6381B">
        <w:rPr>
          <w:b/>
          <w:sz w:val="20"/>
          <w:lang w:val="en-GB"/>
        </w:rPr>
        <w:t xml:space="preserve"> </w:t>
      </w:r>
      <w:r w:rsidRPr="00100BF5">
        <w:rPr>
          <w:b/>
          <w:sz w:val="20"/>
          <w:lang w:val="en-GB"/>
        </w:rPr>
        <w:t>12</w:t>
      </w:r>
    </w:p>
    <w:p w:rsidR="00A12DCA" w:rsidRPr="00100BF5" w:rsidRDefault="00A12DCA" w:rsidP="00AE7061">
      <w:pPr>
        <w:pStyle w:val="Level1Bullet-BarcRA03"/>
        <w:rPr>
          <w:lang w:val="en-GB"/>
        </w:rPr>
      </w:pPr>
      <w:r w:rsidRPr="00100BF5">
        <w:rPr>
          <w:lang w:val="en-GB"/>
        </w:rPr>
        <w:t xml:space="preserve">Profit before tax improved 16% to £404m driven by higher income reflecting seasonal trends and business growth        </w:t>
      </w:r>
    </w:p>
    <w:p w:rsidR="00A12DCA" w:rsidRPr="00100BF5" w:rsidRDefault="00A12DCA" w:rsidP="00A12DCA">
      <w:pPr>
        <w:pStyle w:val="Level1Bullet-BarcRA202"/>
        <w:tabs>
          <w:tab w:val="clear" w:pos="284"/>
          <w:tab w:val="left" w:pos="720"/>
        </w:tabs>
        <w:rPr>
          <w:b/>
          <w:sz w:val="20"/>
          <w:lang w:val="en-GB"/>
        </w:rPr>
      </w:pPr>
      <w:r w:rsidRPr="00100BF5">
        <w:rPr>
          <w:b/>
          <w:sz w:val="20"/>
          <w:lang w:val="en-GB"/>
        </w:rPr>
        <w:t>Balance Sheet – 30 June 2012 compared to 31 December 2011</w:t>
      </w:r>
    </w:p>
    <w:p w:rsidR="00A12DCA" w:rsidRPr="00100BF5" w:rsidRDefault="00A12DCA" w:rsidP="00AE7061">
      <w:pPr>
        <w:pStyle w:val="Level1Bullet-BarcRA03"/>
        <w:rPr>
          <w:lang w:val="en-GB"/>
        </w:rPr>
      </w:pPr>
      <w:r w:rsidRPr="00100BF5">
        <w:rPr>
          <w:lang w:val="en-GB"/>
        </w:rPr>
        <w:lastRenderedPageBreak/>
        <w:t>Total assets increased 2% to £34.6bn in line with loans and advances to customers, primarily within the US</w:t>
      </w:r>
    </w:p>
    <w:p w:rsidR="00A12DCA" w:rsidRPr="00100BF5" w:rsidRDefault="00A12DCA" w:rsidP="00AE7061">
      <w:pPr>
        <w:pStyle w:val="Level1Bullet-BarcRA03"/>
        <w:rPr>
          <w:lang w:val="en-GB"/>
        </w:rPr>
      </w:pPr>
      <w:r w:rsidRPr="00100BF5">
        <w:rPr>
          <w:lang w:val="en-GB"/>
        </w:rPr>
        <w:t>Customer deposits increased by £1.4bn due to business funding initiatives in the US and Germany</w:t>
      </w:r>
    </w:p>
    <w:p w:rsidR="00A12DCA" w:rsidRPr="00100BF5" w:rsidRDefault="00A12DCA" w:rsidP="00AE7061">
      <w:pPr>
        <w:pStyle w:val="Level1Bullet-BarcRA03"/>
        <w:rPr>
          <w:lang w:val="en-GB"/>
        </w:rPr>
      </w:pPr>
      <w:r w:rsidRPr="00100BF5">
        <w:rPr>
          <w:lang w:val="en-GB"/>
        </w:rPr>
        <w:t>Risk weighted assets decreased 3% to £33.1bn, driven by impairment trends and</w:t>
      </w:r>
      <w:r w:rsidR="003D6EF4" w:rsidRPr="00100BF5">
        <w:rPr>
          <w:lang w:val="en-GB"/>
        </w:rPr>
        <w:t xml:space="preserve"> a change in </w:t>
      </w:r>
      <w:r w:rsidRPr="00100BF5">
        <w:rPr>
          <w:lang w:val="en-GB"/>
        </w:rPr>
        <w:t>risk weightings more than offsetting volume growth</w:t>
      </w:r>
    </w:p>
    <w:p w:rsidR="00A12DCA" w:rsidRPr="00100BF5" w:rsidRDefault="00A12DCA">
      <w:pPr>
        <w:rPr>
          <w:lang w:val="en-GB"/>
        </w:r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147"/>
        <w:gridCol w:w="803"/>
        <w:gridCol w:w="750"/>
        <w:gridCol w:w="750"/>
        <w:gridCol w:w="105"/>
        <w:gridCol w:w="750"/>
        <w:gridCol w:w="750"/>
        <w:gridCol w:w="750"/>
        <w:gridCol w:w="870"/>
      </w:tblGrid>
      <w:tr w:rsidR="00A12DCA" w:rsidRPr="00100BF5" w:rsidTr="00FB505A">
        <w:tblPrEx>
          <w:tblCellMar>
            <w:top w:w="0" w:type="dxa"/>
            <w:bottom w:w="0" w:type="dxa"/>
          </w:tblCellMar>
        </w:tblPrEx>
        <w:trPr>
          <w:trHeight w:val="315"/>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lang w:val="en-GB"/>
              </w:rPr>
            </w:pPr>
            <w:r w:rsidRPr="00100BF5">
              <w:rPr>
                <w:b/>
                <w:sz w:val="24"/>
                <w:lang w:val="en-GB"/>
              </w:rPr>
              <w:t>Investment Bank</w:t>
            </w:r>
            <w:r w:rsidRPr="00100BF5">
              <w:rPr>
                <w:b/>
                <w:sz w:val="24"/>
                <w:vertAlign w:val="superscript"/>
                <w:lang w:val="en-GB"/>
              </w:rPr>
              <w:t xml:space="preserve"> </w:t>
            </w:r>
          </w:p>
        </w:tc>
        <w:tc>
          <w:tcPr>
            <w:tcW w:w="803"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lang w:val="en-GB"/>
              </w:rPr>
            </w:pPr>
            <w:r w:rsidRPr="00100BF5">
              <w:rPr>
                <w:b/>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lang w:val="en-GB"/>
              </w:rPr>
            </w:pPr>
            <w:r w:rsidRPr="00100BF5">
              <w:rPr>
                <w:b/>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lang w:val="en-GB"/>
              </w:rPr>
            </w:pPr>
            <w:r w:rsidRPr="00100BF5">
              <w:rPr>
                <w:sz w:val="24"/>
                <w:lang w:val="en-GB"/>
              </w:rPr>
              <w:t xml:space="preserve"> </w:t>
            </w:r>
            <w:r w:rsidRPr="00100BF5">
              <w:rPr>
                <w:b/>
                <w:sz w:val="2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24"/>
                <w:lang w:val="en-GB"/>
              </w:rPr>
              <w:t xml:space="preserve"> </w:t>
            </w:r>
          </w:p>
        </w:tc>
      </w:tr>
      <w:tr w:rsidR="000810BB" w:rsidRPr="00100BF5" w:rsidTr="00FB505A">
        <w:tblPrEx>
          <w:tblCellMar>
            <w:top w:w="0" w:type="dxa"/>
            <w:bottom w:w="0" w:type="dxa"/>
          </w:tblCellMar>
        </w:tblPrEx>
        <w:trPr>
          <w:trHeight w:val="27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16"/>
                <w:lang w:val="en-GB"/>
              </w:rPr>
              <w:t xml:space="preserve"> </w:t>
            </w:r>
            <w:r w:rsidRPr="00100BF5">
              <w:rPr>
                <w:sz w:val="16"/>
                <w:vertAlign w:val="superscript"/>
                <w:lang w:val="en-GB"/>
              </w:rPr>
              <w:t xml:space="preserve"> </w:t>
            </w:r>
          </w:p>
        </w:tc>
        <w:tc>
          <w:tcPr>
            <w:tcW w:w="155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b/>
                <w:sz w:val="16"/>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Half Year Ended</w:t>
            </w:r>
          </w:p>
        </w:tc>
        <w:tc>
          <w:tcPr>
            <w:tcW w:w="87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20"/>
                <w:lang w:val="en-GB"/>
              </w:rPr>
              <w:t>Income Statement Information</w:t>
            </w:r>
            <w:r w:rsidRPr="00100BF5">
              <w:rPr>
                <w:b/>
                <w:sz w:val="20"/>
                <w:vertAlign w:val="superscript"/>
                <w:lang w:val="en-GB"/>
              </w:rPr>
              <w:t xml:space="preserve"> </w:t>
            </w:r>
          </w:p>
        </w:tc>
        <w:tc>
          <w:tcPr>
            <w:tcW w:w="803"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20"/>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20"/>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30.06.11</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YoY</w:t>
            </w:r>
          </w:p>
        </w:tc>
      </w:tr>
      <w:tr w:rsidR="00A12DCA" w:rsidRPr="00100BF5" w:rsidTr="00FB505A">
        <w:tblPrEx>
          <w:tblCellMar>
            <w:top w:w="0" w:type="dxa"/>
            <w:bottom w:w="0" w:type="dxa"/>
          </w:tblCellMar>
        </w:tblPrEx>
        <w:trPr>
          <w:trHeigh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r w:rsidRPr="00100BF5">
              <w:rPr>
                <w:sz w:val="16"/>
                <w:vertAlign w:val="superscript"/>
                <w:lang w:val="en-GB"/>
              </w:rPr>
              <w:t xml:space="preserve"> </w:t>
            </w:r>
          </w:p>
        </w:tc>
        <w:tc>
          <w:tcPr>
            <w:tcW w:w="803"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Change</w:t>
            </w:r>
          </w:p>
        </w:tc>
      </w:tr>
      <w:tr w:rsidR="00A12DCA" w:rsidRPr="00100BF5" w:rsidTr="00FB505A">
        <w:tblPrEx>
          <w:tblCellMar>
            <w:top w:w="0" w:type="dxa"/>
            <w:bottom w:w="0" w:type="dxa"/>
          </w:tblCellMar>
        </w:tblPrEx>
        <w:trPr>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interest income</w:t>
            </w:r>
            <w:r w:rsidRPr="00100BF5">
              <w:rPr>
                <w:sz w:val="16"/>
                <w:vertAlign w:val="superscript"/>
                <w:lang w:val="en-GB"/>
              </w:rPr>
              <w:t xml:space="preserve"> </w:t>
            </w:r>
          </w:p>
        </w:tc>
        <w:tc>
          <w:tcPr>
            <w:tcW w:w="803"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426 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666 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511 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(17)</w:t>
            </w:r>
          </w:p>
        </w:tc>
      </w:tr>
      <w:tr w:rsidR="00A12DCA" w:rsidRPr="00100BF5" w:rsidTr="00FB505A">
        <w:tblPrEx>
          <w:tblCellMar>
            <w:top w:w="0" w:type="dxa"/>
            <w:bottom w:w="0" w:type="dxa"/>
          </w:tblCellMar>
        </w:tblPrEx>
        <w:trPr>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fee and commission income</w:t>
            </w:r>
            <w:r w:rsidRPr="00100BF5">
              <w:rPr>
                <w:sz w:val="16"/>
                <w:vertAlign w:val="superscript"/>
                <w:lang w:val="en-GB"/>
              </w:rPr>
              <w:t xml:space="preserve"> </w:t>
            </w:r>
          </w:p>
        </w:tc>
        <w:tc>
          <w:tcPr>
            <w:tcW w:w="803"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1,527 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1,483 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1,543 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w:t>
            </w:r>
          </w:p>
        </w:tc>
      </w:tr>
      <w:tr w:rsidR="00A12DCA" w:rsidRPr="00100BF5" w:rsidTr="00FB505A">
        <w:tblPrEx>
          <w:tblCellMar>
            <w:top w:w="0" w:type="dxa"/>
            <w:bottom w:w="0" w:type="dxa"/>
          </w:tblCellMar>
        </w:tblPrEx>
        <w:trPr>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trading income</w:t>
            </w:r>
            <w:r w:rsidRPr="00100BF5">
              <w:rPr>
                <w:sz w:val="16"/>
                <w:vertAlign w:val="superscript"/>
                <w:lang w:val="en-GB"/>
              </w:rPr>
              <w:t xml:space="preserve"> </w:t>
            </w:r>
          </w:p>
        </w:tc>
        <w:tc>
          <w:tcPr>
            <w:tcW w:w="803"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4,269 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1,544 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3,720 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15 </w:t>
            </w:r>
          </w:p>
        </w:tc>
      </w:tr>
      <w:tr w:rsidR="00A12DCA" w:rsidRPr="00100BF5" w:rsidTr="00FB505A">
        <w:tblPrEx>
          <w:tblCellMar>
            <w:top w:w="0" w:type="dxa"/>
            <w:bottom w:w="0" w:type="dxa"/>
          </w:tblCellMar>
        </w:tblPrEx>
        <w:trPr>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investment income</w:t>
            </w:r>
            <w:r w:rsidRPr="00100BF5">
              <w:rPr>
                <w:sz w:val="16"/>
                <w:vertAlign w:val="superscript"/>
                <w:lang w:val="en-GB"/>
              </w:rPr>
              <w:t xml:space="preserve"> </w:t>
            </w:r>
          </w:p>
        </w:tc>
        <w:tc>
          <w:tcPr>
            <w:tcW w:w="803"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270 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382 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491 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(45)</w:t>
            </w:r>
          </w:p>
        </w:tc>
      </w:tr>
      <w:tr w:rsidR="00A12DCA" w:rsidRPr="00100BF5" w:rsidTr="00FB505A">
        <w:tblPrEx>
          <w:tblCellMar>
            <w:top w:w="0" w:type="dxa"/>
            <w:bottom w:w="0" w:type="dxa"/>
          </w:tblCellMar>
        </w:tblPrEx>
        <w:trPr>
          <w:trHeigh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lang w:val="en-GB"/>
              </w:rPr>
            </w:pPr>
            <w:r w:rsidRPr="00100BF5">
              <w:rPr>
                <w:sz w:val="16"/>
                <w:lang w:val="en-GB"/>
              </w:rPr>
              <w:t>Other income/(expense)</w:t>
            </w:r>
            <w:r w:rsidRPr="00100BF5">
              <w:rPr>
                <w:sz w:val="16"/>
                <w:vertAlign w:val="superscript"/>
                <w:lang w:val="en-GB"/>
              </w:rPr>
              <w:t xml:space="preserve"> </w:t>
            </w:r>
          </w:p>
        </w:tc>
        <w:tc>
          <w:tcPr>
            <w:tcW w:w="803"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4 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(3)</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(2)</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Total income</w:t>
            </w:r>
            <w:r w:rsidRPr="00100BF5">
              <w:rPr>
                <w:b/>
                <w:sz w:val="16"/>
                <w:vertAlign w:val="superscript"/>
                <w:lang w:val="en-GB"/>
              </w:rPr>
              <w:t xml:space="preserve"> </w:t>
            </w:r>
          </w:p>
        </w:tc>
        <w:tc>
          <w:tcPr>
            <w:tcW w:w="803"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b/>
                <w:sz w:val="16"/>
                <w:lang w:val="en-GB"/>
              </w:rPr>
            </w:pPr>
            <w:r w:rsidRPr="00100BF5">
              <w:rPr>
                <w:b/>
                <w:sz w:val="16"/>
                <w:lang w:val="en-GB"/>
              </w:rPr>
              <w:t>6,496 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4,072 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6,263 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4 </w:t>
            </w:r>
          </w:p>
        </w:tc>
      </w:tr>
      <w:tr w:rsidR="00A12DCA" w:rsidRPr="00100BF5" w:rsidTr="00FB505A">
        <w:tblPrEx>
          <w:tblCellMar>
            <w:top w:w="0" w:type="dxa"/>
            <w:bottom w:w="0" w:type="dxa"/>
          </w:tblCellMar>
        </w:tblPrEx>
        <w:trPr>
          <w:trHeigh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Credit impairment charges and other provisions</w:t>
            </w:r>
            <w:r w:rsidRPr="00100BF5">
              <w:rPr>
                <w:sz w:val="16"/>
                <w:vertAlign w:val="superscript"/>
                <w:lang w:val="en-GB"/>
              </w:rPr>
              <w:t xml:space="preserve"> </w:t>
            </w:r>
          </w:p>
        </w:tc>
        <w:tc>
          <w:tcPr>
            <w:tcW w:w="803"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(323)</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(204)</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111 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Net operating income</w:t>
            </w:r>
            <w:r w:rsidRPr="00100BF5">
              <w:rPr>
                <w:b/>
                <w:sz w:val="16"/>
                <w:vertAlign w:val="superscript"/>
                <w:lang w:val="en-GB"/>
              </w:rPr>
              <w:t xml:space="preserve"> </w:t>
            </w:r>
          </w:p>
        </w:tc>
        <w:tc>
          <w:tcPr>
            <w:tcW w:w="803"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b/>
                <w:sz w:val="16"/>
                <w:lang w:val="en-GB"/>
              </w:rPr>
            </w:pPr>
            <w:r w:rsidRPr="00100BF5">
              <w:rPr>
                <w:b/>
                <w:sz w:val="16"/>
                <w:lang w:val="en-GB"/>
              </w:rPr>
              <w:t>6,173 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3,868 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6,374 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w:t>
            </w:r>
          </w:p>
        </w:tc>
      </w:tr>
      <w:tr w:rsidR="00A12DCA" w:rsidRPr="00100BF5" w:rsidTr="00FB505A">
        <w:tblPrEx>
          <w:tblCellMar>
            <w:top w:w="0" w:type="dxa"/>
            <w:bottom w:w="0" w:type="dxa"/>
          </w:tblCellMar>
        </w:tblPrEx>
        <w:trPr>
          <w:trHeight w:hRule="exac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803"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Operating expenses</w:t>
            </w:r>
            <w:r w:rsidRPr="00100BF5">
              <w:rPr>
                <w:b/>
                <w:sz w:val="16"/>
                <w:vertAlign w:val="superscript"/>
                <w:lang w:val="en-GB"/>
              </w:rPr>
              <w:t xml:space="preserve"> </w:t>
            </w:r>
          </w:p>
        </w:tc>
        <w:tc>
          <w:tcPr>
            <w:tcW w:w="803"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b/>
                <w:sz w:val="16"/>
                <w:lang w:val="en-GB"/>
              </w:rPr>
            </w:pPr>
            <w:r w:rsidRPr="00100BF5">
              <w:rPr>
                <w:b/>
                <w:sz w:val="16"/>
                <w:lang w:val="en-GB"/>
              </w:rPr>
              <w:t>(3,933)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(3,216)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(4,073)</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w:t>
            </w:r>
          </w:p>
        </w:tc>
      </w:tr>
      <w:tr w:rsidR="00A12DCA" w:rsidRPr="00100BF5" w:rsidTr="00FB505A">
        <w:tblPrEx>
          <w:tblCellMar>
            <w:top w:w="0" w:type="dxa"/>
            <w:bottom w:w="0" w:type="dxa"/>
          </w:tblCellMar>
        </w:tblPrEx>
        <w:trPr>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803"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D6745F" w:rsidP="00D6745F">
            <w:pPr>
              <w:rPr>
                <w:b/>
                <w:sz w:val="16"/>
                <w:lang w:val="en-GB"/>
              </w:rPr>
            </w:pPr>
            <w:r w:rsidRPr="00100BF5">
              <w:rPr>
                <w:sz w:val="16"/>
                <w:szCs w:val="14"/>
              </w:rPr>
              <w:t>Other net income</w:t>
            </w:r>
            <w:r w:rsidRPr="00100BF5">
              <w:rPr>
                <w:sz w:val="16"/>
              </w:rPr>
              <w:t> </w:t>
            </w:r>
            <w:r w:rsidR="00A12DCA" w:rsidRPr="00100BF5">
              <w:rPr>
                <w:sz w:val="16"/>
                <w:lang w:val="en-GB"/>
              </w:rPr>
              <w:t xml:space="preserve"> </w:t>
            </w:r>
            <w:r w:rsidR="00A12DCA" w:rsidRPr="00100BF5">
              <w:rPr>
                <w:sz w:val="16"/>
                <w:vertAlign w:val="superscript"/>
                <w:lang w:val="en-GB"/>
              </w:rPr>
              <w:t xml:space="preserve"> </w:t>
            </w:r>
          </w:p>
        </w:tc>
        <w:tc>
          <w:tcPr>
            <w:tcW w:w="803"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28 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3 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9 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Profit before tax</w:t>
            </w:r>
            <w:r w:rsidRPr="00100BF5">
              <w:rPr>
                <w:b/>
                <w:sz w:val="16"/>
                <w:vertAlign w:val="superscript"/>
                <w:lang w:val="en-GB"/>
              </w:rPr>
              <w:t xml:space="preserve"> </w:t>
            </w:r>
          </w:p>
        </w:tc>
        <w:tc>
          <w:tcPr>
            <w:tcW w:w="803"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b/>
                <w:sz w:val="16"/>
                <w:lang w:val="en-GB"/>
              </w:rPr>
            </w:pPr>
            <w:r w:rsidRPr="00100BF5">
              <w:rPr>
                <w:b/>
                <w:sz w:val="16"/>
                <w:lang w:val="en-GB"/>
              </w:rPr>
              <w:t>2,268 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655 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2,310 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(2)</w:t>
            </w:r>
          </w:p>
        </w:tc>
      </w:tr>
      <w:tr w:rsidR="00A12DCA" w:rsidRPr="00100BF5" w:rsidTr="00FB505A">
        <w:tblPrEx>
          <w:tblCellMar>
            <w:top w:w="0" w:type="dxa"/>
            <w:bottom w:w="0" w:type="dxa"/>
          </w:tblCellMar>
        </w:tblPrEx>
        <w:trPr>
          <w:trHeight w:hRule="exac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r w:rsidRPr="00100BF5">
              <w:rPr>
                <w:sz w:val="16"/>
                <w:vertAlign w:val="superscript"/>
                <w:lang w:val="en-GB"/>
              </w:rPr>
              <w:t xml:space="preserve"> </w:t>
            </w:r>
          </w:p>
        </w:tc>
        <w:tc>
          <w:tcPr>
            <w:tcW w:w="803"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Adjusted profit before tax</w:t>
            </w:r>
            <w:r w:rsidRPr="00100BF5">
              <w:rPr>
                <w:b/>
                <w:sz w:val="16"/>
                <w:vertAlign w:val="superscript"/>
                <w:lang w:val="en-GB"/>
              </w:rPr>
              <w:t xml:space="preserve"> </w:t>
            </w:r>
          </w:p>
        </w:tc>
        <w:tc>
          <w:tcPr>
            <w:tcW w:w="803"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b/>
                <w:sz w:val="16"/>
                <w:lang w:val="en-GB"/>
              </w:rPr>
            </w:pPr>
            <w:r w:rsidRPr="00100BF5">
              <w:rPr>
                <w:b/>
                <w:sz w:val="16"/>
                <w:lang w:val="en-GB"/>
              </w:rPr>
              <w:t>2,268 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vertAlign w:val="superscript"/>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655 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2,310 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(2)</w:t>
            </w:r>
          </w:p>
        </w:tc>
      </w:tr>
    </w:tbl>
    <w:p w:rsidR="00295281" w:rsidRPr="00100BF5" w:rsidRDefault="00295281"/>
    <w:p w:rsidR="00FB505A" w:rsidRPr="00100BF5" w:rsidRDefault="00FB505A"/>
    <w:p w:rsidR="00FB505A" w:rsidRPr="00100BF5" w:rsidRDefault="00FB505A"/>
    <w:p w:rsidR="00FB505A" w:rsidRPr="00100BF5" w:rsidRDefault="00FB505A"/>
    <w:p w:rsidR="00FB505A" w:rsidRPr="00100BF5" w:rsidRDefault="00FB505A"/>
    <w:p w:rsidR="00FB505A" w:rsidRPr="00100BF5" w:rsidRDefault="00FB505A"/>
    <w:p w:rsidR="00FB505A" w:rsidRPr="00100BF5" w:rsidRDefault="00FB505A"/>
    <w:p w:rsidR="00FB505A" w:rsidRPr="00100BF5" w:rsidRDefault="00FB505A"/>
    <w:tbl>
      <w:tblPr>
        <w:tblW w:w="0" w:type="auto"/>
        <w:tblLayout w:type="fixed"/>
        <w:tblLook w:val="04A0" w:firstRow="1" w:lastRow="0" w:firstColumn="1" w:lastColumn="0" w:noHBand="0" w:noVBand="1"/>
      </w:tblPr>
      <w:tblGrid>
        <w:gridCol w:w="4226"/>
        <w:gridCol w:w="363"/>
        <w:gridCol w:w="1125"/>
        <w:gridCol w:w="375"/>
        <w:gridCol w:w="250"/>
        <w:gridCol w:w="1125"/>
        <w:gridCol w:w="375"/>
        <w:gridCol w:w="1125"/>
        <w:gridCol w:w="796"/>
      </w:tblGrid>
      <w:tr w:rsidR="00FB505A" w:rsidRPr="00100BF5" w:rsidTr="00FB505A">
        <w:trPr>
          <w:trHeight w:val="240"/>
        </w:trPr>
        <w:tc>
          <w:tcPr>
            <w:tcW w:w="4226"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r w:rsidRPr="00100BF5">
              <w:rPr>
                <w:b/>
                <w:sz w:val="20"/>
              </w:rPr>
              <w:t>Balance Sheet Information and Key Facts</w:t>
            </w:r>
            <w:r w:rsidRPr="00100BF5">
              <w:rPr>
                <w:sz w:val="20"/>
                <w:vertAlign w:val="superscript"/>
              </w:rPr>
              <w:t xml:space="preserve"> </w:t>
            </w:r>
          </w:p>
        </w:tc>
        <w:tc>
          <w:tcPr>
            <w:tcW w:w="363"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vertAlign w:val="superscript"/>
              </w:rPr>
            </w:pPr>
            <w:r w:rsidRPr="00100BF5">
              <w:rPr>
                <w:sz w:val="20"/>
              </w:rPr>
              <w:t xml:space="preserve"> </w:t>
            </w:r>
          </w:p>
        </w:tc>
        <w:tc>
          <w:tcPr>
            <w:tcW w:w="1125"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rPr>
            </w:pPr>
            <w:r w:rsidRPr="00100BF5">
              <w:rPr>
                <w:sz w:val="20"/>
              </w:rPr>
              <w:t xml:space="preserve"> </w:t>
            </w:r>
          </w:p>
        </w:tc>
        <w:tc>
          <w:tcPr>
            <w:tcW w:w="375"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rPr>
            </w:pPr>
            <w:r w:rsidRPr="00100BF5">
              <w:rPr>
                <w:sz w:val="20"/>
              </w:rPr>
              <w:t xml:space="preserve"> </w:t>
            </w:r>
            <w:r w:rsidRPr="00100BF5">
              <w:rPr>
                <w:b/>
                <w:sz w:val="20"/>
                <w:vertAlign w:val="superscript"/>
              </w:rPr>
              <w:t xml:space="preserve"> </w:t>
            </w:r>
          </w:p>
        </w:tc>
        <w:tc>
          <w:tcPr>
            <w:tcW w:w="250"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b/>
                <w:sz w:val="20"/>
                <w:vertAlign w:val="superscript"/>
              </w:rPr>
            </w:pPr>
            <w:r w:rsidRPr="00100BF5">
              <w:rPr>
                <w:sz w:val="20"/>
              </w:rPr>
              <w:t xml:space="preserve"> </w:t>
            </w:r>
          </w:p>
        </w:tc>
        <w:tc>
          <w:tcPr>
            <w:tcW w:w="1125"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rPr>
            </w:pPr>
            <w:r w:rsidRPr="00100BF5">
              <w:rPr>
                <w:sz w:val="20"/>
              </w:rPr>
              <w:t xml:space="preserve"> </w:t>
            </w:r>
          </w:p>
        </w:tc>
        <w:tc>
          <w:tcPr>
            <w:tcW w:w="375"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rPr>
            </w:pPr>
            <w:r w:rsidRPr="00100BF5">
              <w:rPr>
                <w:sz w:val="20"/>
              </w:rPr>
              <w:t xml:space="preserve"> </w:t>
            </w:r>
          </w:p>
        </w:tc>
        <w:tc>
          <w:tcPr>
            <w:tcW w:w="1125"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rPr>
            </w:pPr>
            <w:r w:rsidRPr="00100BF5">
              <w:rPr>
                <w:sz w:val="20"/>
              </w:rPr>
              <w:t xml:space="preserve"> </w:t>
            </w:r>
          </w:p>
        </w:tc>
        <w:tc>
          <w:tcPr>
            <w:tcW w:w="796" w:type="dxa"/>
            <w:tcBorders>
              <w:top w:val="nil"/>
              <w:left w:val="nil"/>
              <w:bottom w:val="single" w:sz="6" w:space="0" w:color="969696"/>
              <w:right w:val="nil"/>
            </w:tcBorders>
            <w:shd w:val="clear" w:color="auto" w:fill="FFFFFF"/>
            <w:tcMar>
              <w:top w:w="0" w:type="dxa"/>
              <w:left w:w="115" w:type="dxa"/>
              <w:bottom w:w="0" w:type="dxa"/>
              <w:right w:w="115" w:type="dxa"/>
            </w:tcMar>
            <w:vAlign w:val="center"/>
            <w:hideMark/>
          </w:tcPr>
          <w:p w:rsidR="00FB505A" w:rsidRPr="00100BF5" w:rsidRDefault="00FB505A">
            <w:pPr>
              <w:jc w:val="right"/>
              <w:rPr>
                <w:sz w:val="20"/>
              </w:rPr>
            </w:pPr>
            <w:r w:rsidRPr="00100BF5">
              <w:rPr>
                <w:sz w:val="20"/>
              </w:rPr>
              <w:t xml:space="preserve"> </w:t>
            </w:r>
          </w:p>
        </w:tc>
      </w:tr>
      <w:tr w:rsidR="00FB505A" w:rsidRPr="00100BF5" w:rsidTr="00FB505A">
        <w:trPr>
          <w:trHeight w:val="240"/>
        </w:trPr>
        <w:tc>
          <w:tcPr>
            <w:tcW w:w="4226"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rPr>
                <w:sz w:val="20"/>
              </w:rPr>
            </w:pPr>
            <w:r w:rsidRPr="00100BF5">
              <w:rPr>
                <w:sz w:val="16"/>
              </w:rPr>
              <w:t>Loans and advances to banks and customers at amortised cost</w:t>
            </w:r>
            <w:r w:rsidRPr="00100BF5">
              <w:rPr>
                <w:sz w:val="16"/>
                <w:vertAlign w:val="superscript"/>
              </w:rPr>
              <w:t xml:space="preserve"> </w:t>
            </w:r>
          </w:p>
        </w:tc>
        <w:tc>
          <w:tcPr>
            <w:tcW w:w="363" w:type="dxa"/>
            <w:tcBorders>
              <w:top w:val="single" w:sz="6" w:space="0" w:color="969696"/>
              <w:left w:val="nil"/>
              <w:bottom w:val="nil"/>
              <w:right w:val="nil"/>
            </w:tcBorders>
            <w:shd w:val="clear" w:color="auto" w:fill="EAEAEA"/>
            <w:tcMar>
              <w:top w:w="0" w:type="dxa"/>
              <w:left w:w="115" w:type="dxa"/>
              <w:bottom w:w="0" w:type="dxa"/>
              <w:right w:w="115" w:type="dxa"/>
            </w:tcMar>
            <w:vAlign w:val="center"/>
            <w:hideMark/>
          </w:tcPr>
          <w:p w:rsidR="00FB505A" w:rsidRPr="00100BF5" w:rsidRDefault="00FB505A">
            <w:pPr>
              <w:jc w:val="right"/>
              <w:rPr>
                <w:sz w:val="16"/>
                <w:vertAlign w:val="superscript"/>
              </w:rPr>
            </w:pPr>
            <w:r w:rsidRPr="00100BF5">
              <w:rPr>
                <w:sz w:val="16"/>
              </w:rPr>
              <w:t xml:space="preserve"> </w:t>
            </w:r>
          </w:p>
        </w:tc>
        <w:tc>
          <w:tcPr>
            <w:tcW w:w="1125" w:type="dxa"/>
            <w:tcBorders>
              <w:top w:val="single" w:sz="6" w:space="0" w:color="969696"/>
              <w:left w:val="nil"/>
              <w:bottom w:val="nil"/>
              <w:right w:val="nil"/>
            </w:tcBorders>
            <w:shd w:val="clear" w:color="auto" w:fill="EAEAEA"/>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£185.9bn</w:t>
            </w:r>
          </w:p>
        </w:tc>
        <w:tc>
          <w:tcPr>
            <w:tcW w:w="375"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£158.6bn</w:t>
            </w:r>
          </w:p>
        </w:tc>
        <w:tc>
          <w:tcPr>
            <w:tcW w:w="375"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£180.7bn</w:t>
            </w:r>
          </w:p>
        </w:tc>
        <w:tc>
          <w:tcPr>
            <w:tcW w:w="796" w:type="dxa"/>
            <w:tcBorders>
              <w:top w:val="single" w:sz="6" w:space="0" w:color="969696"/>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r w:rsidR="00FB505A" w:rsidRPr="00100BF5" w:rsidTr="00FB505A">
        <w:trPr>
          <w:trHeight w:val="240"/>
        </w:trPr>
        <w:tc>
          <w:tcPr>
            <w:tcW w:w="4226" w:type="dxa"/>
            <w:shd w:val="clear" w:color="auto" w:fill="FFFFFF"/>
            <w:tcMar>
              <w:top w:w="0" w:type="dxa"/>
              <w:left w:w="115" w:type="dxa"/>
              <w:bottom w:w="0" w:type="dxa"/>
              <w:right w:w="115" w:type="dxa"/>
            </w:tcMar>
            <w:vAlign w:val="center"/>
            <w:hideMark/>
          </w:tcPr>
          <w:p w:rsidR="00FB505A" w:rsidRPr="00100BF5" w:rsidRDefault="00FB505A" w:rsidP="00FB505A">
            <w:pPr>
              <w:rPr>
                <w:sz w:val="16"/>
              </w:rPr>
            </w:pPr>
            <w:r w:rsidRPr="00100BF5">
              <w:rPr>
                <w:sz w:val="16"/>
              </w:rPr>
              <w:t>Customer deposits</w:t>
            </w:r>
            <w:r w:rsidRPr="00100BF5">
              <w:rPr>
                <w:sz w:val="16"/>
                <w:vertAlign w:val="superscript"/>
              </w:rPr>
              <w:t xml:space="preserve"> </w:t>
            </w:r>
          </w:p>
        </w:tc>
        <w:tc>
          <w:tcPr>
            <w:tcW w:w="363" w:type="dxa"/>
            <w:shd w:val="clear" w:color="auto" w:fill="EAEAEA"/>
            <w:tcMar>
              <w:top w:w="0" w:type="dxa"/>
              <w:left w:w="115" w:type="dxa"/>
              <w:bottom w:w="0" w:type="dxa"/>
              <w:right w:w="115" w:type="dxa"/>
            </w:tcMar>
            <w:vAlign w:val="center"/>
            <w:hideMark/>
          </w:tcPr>
          <w:p w:rsidR="00FB505A" w:rsidRPr="00100BF5" w:rsidRDefault="00FB505A">
            <w:pPr>
              <w:jc w:val="right"/>
              <w:rPr>
                <w:sz w:val="16"/>
                <w:vertAlign w:val="superscript"/>
              </w:rPr>
            </w:pPr>
            <w:r w:rsidRPr="00100BF5">
              <w:rPr>
                <w:sz w:val="16"/>
              </w:rPr>
              <w:t xml:space="preserve"> </w:t>
            </w:r>
          </w:p>
        </w:tc>
        <w:tc>
          <w:tcPr>
            <w:tcW w:w="1125" w:type="dxa"/>
            <w:shd w:val="clear" w:color="auto" w:fill="EAEAEA"/>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£114.5bn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£83.1bn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£92.0bn</w:t>
            </w:r>
          </w:p>
        </w:tc>
        <w:tc>
          <w:tcPr>
            <w:tcW w:w="796"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r w:rsidR="00FB505A" w:rsidRPr="00100BF5" w:rsidTr="00FB505A">
        <w:trPr>
          <w:trHeight w:val="240"/>
        </w:trPr>
        <w:tc>
          <w:tcPr>
            <w:tcW w:w="4226" w:type="dxa"/>
            <w:shd w:val="clear" w:color="auto" w:fill="FFFFFF"/>
            <w:tcMar>
              <w:top w:w="0" w:type="dxa"/>
              <w:left w:w="115" w:type="dxa"/>
              <w:bottom w:w="0" w:type="dxa"/>
              <w:right w:w="115" w:type="dxa"/>
            </w:tcMar>
            <w:vAlign w:val="center"/>
            <w:hideMark/>
          </w:tcPr>
          <w:p w:rsidR="00FB505A" w:rsidRPr="00100BF5" w:rsidRDefault="00FB505A" w:rsidP="00FB505A">
            <w:pPr>
              <w:rPr>
                <w:sz w:val="16"/>
              </w:rPr>
            </w:pPr>
            <w:r w:rsidRPr="00100BF5">
              <w:rPr>
                <w:sz w:val="16"/>
              </w:rPr>
              <w:t>Total assets</w:t>
            </w:r>
            <w:r w:rsidRPr="00100BF5">
              <w:rPr>
                <w:sz w:val="16"/>
                <w:vertAlign w:val="superscript"/>
              </w:rPr>
              <w:t xml:space="preserve"> </w:t>
            </w:r>
          </w:p>
        </w:tc>
        <w:tc>
          <w:tcPr>
            <w:tcW w:w="363" w:type="dxa"/>
            <w:shd w:val="clear" w:color="auto" w:fill="EAEAEA"/>
            <w:tcMar>
              <w:top w:w="0" w:type="dxa"/>
              <w:left w:w="115" w:type="dxa"/>
              <w:bottom w:w="0" w:type="dxa"/>
              <w:right w:w="115" w:type="dxa"/>
            </w:tcMar>
            <w:vAlign w:val="center"/>
            <w:hideMark/>
          </w:tcPr>
          <w:p w:rsidR="00FB505A" w:rsidRPr="00100BF5" w:rsidRDefault="00FB505A">
            <w:pPr>
              <w:rPr>
                <w:sz w:val="16"/>
                <w:vertAlign w:val="superscript"/>
              </w:rPr>
            </w:pPr>
            <w:r w:rsidRPr="00100BF5">
              <w:rPr>
                <w:sz w:val="16"/>
              </w:rPr>
              <w:t xml:space="preserve"> </w:t>
            </w:r>
          </w:p>
        </w:tc>
        <w:tc>
          <w:tcPr>
            <w:tcW w:w="1125" w:type="dxa"/>
            <w:shd w:val="clear" w:color="auto" w:fill="EAEAEA"/>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£1,225.4bn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£1,158.4bn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£1,076.0bn</w:t>
            </w:r>
          </w:p>
        </w:tc>
        <w:tc>
          <w:tcPr>
            <w:tcW w:w="796"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r w:rsidR="00FB505A" w:rsidRPr="00100BF5" w:rsidTr="00FB505A">
        <w:trPr>
          <w:trHeight w:val="240"/>
        </w:trPr>
        <w:tc>
          <w:tcPr>
            <w:tcW w:w="4226" w:type="dxa"/>
            <w:shd w:val="clear" w:color="auto" w:fill="FFFFFF"/>
            <w:tcMar>
              <w:top w:w="0" w:type="dxa"/>
              <w:left w:w="115" w:type="dxa"/>
              <w:bottom w:w="0" w:type="dxa"/>
              <w:right w:w="115" w:type="dxa"/>
            </w:tcMar>
            <w:vAlign w:val="center"/>
            <w:hideMark/>
          </w:tcPr>
          <w:p w:rsidR="00FB505A" w:rsidRPr="00100BF5" w:rsidRDefault="00FB505A" w:rsidP="00FB505A">
            <w:pPr>
              <w:rPr>
                <w:sz w:val="16"/>
              </w:rPr>
            </w:pPr>
            <w:r w:rsidRPr="00100BF5">
              <w:rPr>
                <w:sz w:val="16"/>
              </w:rPr>
              <w:t>Assets contributing to adjusted gross leverage</w:t>
            </w:r>
            <w:r w:rsidRPr="00100BF5">
              <w:rPr>
                <w:sz w:val="16"/>
                <w:vertAlign w:val="superscript"/>
              </w:rPr>
              <w:t xml:space="preserve"> </w:t>
            </w:r>
          </w:p>
        </w:tc>
        <w:tc>
          <w:tcPr>
            <w:tcW w:w="363" w:type="dxa"/>
            <w:shd w:val="clear" w:color="auto" w:fill="EAEAEA"/>
            <w:tcMar>
              <w:top w:w="0" w:type="dxa"/>
              <w:left w:w="115" w:type="dxa"/>
              <w:bottom w:w="0" w:type="dxa"/>
              <w:right w:w="115" w:type="dxa"/>
            </w:tcMar>
            <w:vAlign w:val="center"/>
            <w:hideMark/>
          </w:tcPr>
          <w:p w:rsidR="00FB505A" w:rsidRPr="00100BF5" w:rsidRDefault="00FB505A">
            <w:pPr>
              <w:jc w:val="right"/>
              <w:rPr>
                <w:sz w:val="16"/>
                <w:vertAlign w:val="superscript"/>
              </w:rPr>
            </w:pPr>
            <w:r w:rsidRPr="00100BF5">
              <w:rPr>
                <w:sz w:val="16"/>
              </w:rPr>
              <w:t xml:space="preserve"> </w:t>
            </w:r>
          </w:p>
        </w:tc>
        <w:tc>
          <w:tcPr>
            <w:tcW w:w="1125" w:type="dxa"/>
            <w:shd w:val="clear" w:color="auto" w:fill="EAEAEA"/>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£650.4bn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£604.0bn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£653.6bn</w:t>
            </w:r>
          </w:p>
        </w:tc>
        <w:tc>
          <w:tcPr>
            <w:tcW w:w="796"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r w:rsidR="00FB505A" w:rsidRPr="00100BF5" w:rsidTr="00FB505A">
        <w:trPr>
          <w:trHeight w:val="240"/>
        </w:trPr>
        <w:tc>
          <w:tcPr>
            <w:tcW w:w="4226" w:type="dxa"/>
            <w:shd w:val="clear" w:color="auto" w:fill="FFFFFF"/>
            <w:tcMar>
              <w:top w:w="0" w:type="dxa"/>
              <w:left w:w="115" w:type="dxa"/>
              <w:bottom w:w="0" w:type="dxa"/>
              <w:right w:w="115" w:type="dxa"/>
            </w:tcMar>
            <w:vAlign w:val="center"/>
            <w:hideMark/>
          </w:tcPr>
          <w:p w:rsidR="00FB505A" w:rsidRPr="00100BF5" w:rsidRDefault="00FB505A" w:rsidP="00FB505A">
            <w:pPr>
              <w:rPr>
                <w:sz w:val="16"/>
              </w:rPr>
            </w:pPr>
            <w:r w:rsidRPr="00100BF5">
              <w:rPr>
                <w:sz w:val="16"/>
              </w:rPr>
              <w:t>Risk weighted assets</w:t>
            </w:r>
            <w:r w:rsidRPr="00100BF5">
              <w:rPr>
                <w:sz w:val="16"/>
                <w:vertAlign w:val="superscript"/>
              </w:rPr>
              <w:t xml:space="preserve"> </w:t>
            </w:r>
          </w:p>
        </w:tc>
        <w:tc>
          <w:tcPr>
            <w:tcW w:w="363" w:type="dxa"/>
            <w:shd w:val="clear" w:color="auto" w:fill="EAEAEA"/>
            <w:tcMar>
              <w:top w:w="0" w:type="dxa"/>
              <w:left w:w="115" w:type="dxa"/>
              <w:bottom w:w="0" w:type="dxa"/>
              <w:right w:w="115" w:type="dxa"/>
            </w:tcMar>
            <w:vAlign w:val="center"/>
            <w:hideMark/>
          </w:tcPr>
          <w:p w:rsidR="00FB505A" w:rsidRPr="00100BF5" w:rsidRDefault="00FB505A">
            <w:pPr>
              <w:jc w:val="right"/>
              <w:rPr>
                <w:sz w:val="16"/>
                <w:vertAlign w:val="superscript"/>
              </w:rPr>
            </w:pPr>
            <w:r w:rsidRPr="00100BF5">
              <w:rPr>
                <w:sz w:val="16"/>
              </w:rPr>
              <w:t xml:space="preserve"> </w:t>
            </w:r>
          </w:p>
        </w:tc>
        <w:tc>
          <w:tcPr>
            <w:tcW w:w="1125" w:type="dxa"/>
            <w:shd w:val="clear" w:color="auto" w:fill="EAEAEA"/>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£190.6bn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£186.7bn</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£190.0bn</w:t>
            </w:r>
          </w:p>
        </w:tc>
        <w:tc>
          <w:tcPr>
            <w:tcW w:w="796"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r w:rsidR="00FB505A" w:rsidRPr="00100BF5" w:rsidTr="00FB505A">
        <w:trPr>
          <w:trHeight w:val="240"/>
        </w:trPr>
        <w:tc>
          <w:tcPr>
            <w:tcW w:w="4226"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rPr>
                <w:sz w:val="16"/>
              </w:rPr>
            </w:pPr>
            <w:r w:rsidRPr="00100BF5">
              <w:rPr>
                <w:sz w:val="16"/>
              </w:rPr>
              <w:t>Average DVaR (95%)</w:t>
            </w:r>
            <w:r w:rsidRPr="00100BF5">
              <w:rPr>
                <w:sz w:val="16"/>
                <w:vertAlign w:val="superscript"/>
              </w:rPr>
              <w:t xml:space="preserve"> </w:t>
            </w:r>
          </w:p>
        </w:tc>
        <w:tc>
          <w:tcPr>
            <w:tcW w:w="363" w:type="dxa"/>
            <w:shd w:val="clear" w:color="auto" w:fill="EAEAEA"/>
            <w:tcMar>
              <w:top w:w="0" w:type="dxa"/>
              <w:left w:w="115" w:type="dxa"/>
              <w:bottom w:w="0" w:type="dxa"/>
              <w:right w:w="115" w:type="dxa"/>
            </w:tcMar>
            <w:vAlign w:val="center"/>
            <w:hideMark/>
          </w:tcPr>
          <w:p w:rsidR="00FB505A" w:rsidRPr="00100BF5" w:rsidRDefault="00FB505A">
            <w:pPr>
              <w:jc w:val="right"/>
              <w:rPr>
                <w:sz w:val="16"/>
                <w:vertAlign w:val="superscript"/>
              </w:rPr>
            </w:pPr>
            <w:r w:rsidRPr="00100BF5">
              <w:rPr>
                <w:b/>
                <w:sz w:val="16"/>
              </w:rPr>
              <w:t xml:space="preserve"> </w:t>
            </w:r>
          </w:p>
        </w:tc>
        <w:tc>
          <w:tcPr>
            <w:tcW w:w="1125" w:type="dxa"/>
            <w:shd w:val="clear" w:color="auto" w:fill="EAEAEA"/>
            <w:tcMar>
              <w:top w:w="0" w:type="dxa"/>
              <w:left w:w="115" w:type="dxa"/>
              <w:bottom w:w="0" w:type="dxa"/>
              <w:right w:w="115" w:type="dxa"/>
            </w:tcMar>
            <w:vAlign w:val="center"/>
            <w:hideMark/>
          </w:tcPr>
          <w:p w:rsidR="00FB505A" w:rsidRPr="00100BF5" w:rsidRDefault="00FB505A" w:rsidP="00FB505A">
            <w:pPr>
              <w:jc w:val="right"/>
              <w:rPr>
                <w:b/>
                <w:sz w:val="16"/>
              </w:rPr>
            </w:pPr>
            <w:r w:rsidRPr="00100BF5">
              <w:rPr>
                <w:sz w:val="16"/>
              </w:rPr>
              <w:t>£42m</w:t>
            </w:r>
          </w:p>
        </w:tc>
        <w:tc>
          <w:tcPr>
            <w:tcW w:w="375"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£65m</w:t>
            </w:r>
          </w:p>
        </w:tc>
        <w:tc>
          <w:tcPr>
            <w:tcW w:w="375"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£48m</w:t>
            </w:r>
          </w:p>
        </w:tc>
        <w:tc>
          <w:tcPr>
            <w:tcW w:w="796" w:type="dxa"/>
            <w:tcBorders>
              <w:left w:val="nil"/>
              <w:bottom w:val="nil"/>
              <w:right w:val="nil"/>
            </w:tcBorders>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r w:rsidR="00FB505A" w:rsidRPr="00100BF5" w:rsidTr="00FB505A">
        <w:trPr>
          <w:trHeight w:val="240"/>
        </w:trPr>
        <w:tc>
          <w:tcPr>
            <w:tcW w:w="4226" w:type="dxa"/>
            <w:shd w:val="clear" w:color="auto" w:fill="FFFFFF"/>
            <w:tcMar>
              <w:top w:w="0" w:type="dxa"/>
              <w:left w:w="115" w:type="dxa"/>
              <w:bottom w:w="0" w:type="dxa"/>
              <w:right w:w="115" w:type="dxa"/>
            </w:tcMar>
            <w:vAlign w:val="center"/>
            <w:hideMark/>
          </w:tcPr>
          <w:p w:rsidR="00FB505A" w:rsidRPr="00100BF5" w:rsidRDefault="00FB505A" w:rsidP="00FB505A">
            <w:pPr>
              <w:rPr>
                <w:sz w:val="16"/>
              </w:rPr>
            </w:pPr>
            <w:r w:rsidRPr="00100BF5">
              <w:rPr>
                <w:sz w:val="16"/>
              </w:rPr>
              <w:t>Number of employees (full time equivalent)</w:t>
            </w:r>
            <w:r w:rsidRPr="00100BF5">
              <w:rPr>
                <w:sz w:val="16"/>
                <w:vertAlign w:val="superscript"/>
              </w:rPr>
              <w:t>1 </w:t>
            </w:r>
          </w:p>
        </w:tc>
        <w:tc>
          <w:tcPr>
            <w:tcW w:w="363" w:type="dxa"/>
            <w:shd w:val="clear" w:color="auto" w:fill="EAEAEA"/>
            <w:tcMar>
              <w:top w:w="0" w:type="dxa"/>
              <w:left w:w="115" w:type="dxa"/>
              <w:bottom w:w="0" w:type="dxa"/>
              <w:right w:w="115" w:type="dxa"/>
            </w:tcMar>
            <w:vAlign w:val="center"/>
            <w:hideMark/>
          </w:tcPr>
          <w:p w:rsidR="00FB505A" w:rsidRPr="00100BF5" w:rsidRDefault="00FB505A">
            <w:pPr>
              <w:jc w:val="right"/>
              <w:rPr>
                <w:sz w:val="16"/>
                <w:vertAlign w:val="superscript"/>
              </w:rPr>
            </w:pPr>
            <w:r w:rsidRPr="00100BF5">
              <w:rPr>
                <w:sz w:val="16"/>
              </w:rPr>
              <w:t xml:space="preserve"> </w:t>
            </w:r>
          </w:p>
        </w:tc>
        <w:tc>
          <w:tcPr>
            <w:tcW w:w="1125" w:type="dxa"/>
            <w:shd w:val="clear" w:color="auto" w:fill="EAEAEA"/>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23,300 </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r w:rsidRPr="00100BF5">
              <w:rPr>
                <w:sz w:val="16"/>
                <w:vertAlign w:val="superscript"/>
              </w:rPr>
              <w:t xml:space="preserve"> </w:t>
            </w:r>
          </w:p>
        </w:tc>
        <w:tc>
          <w:tcPr>
            <w:tcW w:w="250"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vertAlign w:val="superscript"/>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23,600 </w:t>
            </w:r>
          </w:p>
        </w:tc>
        <w:tc>
          <w:tcPr>
            <w:tcW w:w="37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c>
          <w:tcPr>
            <w:tcW w:w="1125"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23,600 </w:t>
            </w:r>
          </w:p>
        </w:tc>
        <w:tc>
          <w:tcPr>
            <w:tcW w:w="796" w:type="dxa"/>
            <w:shd w:val="clear" w:color="auto" w:fill="FFFFFF"/>
            <w:tcMar>
              <w:top w:w="0" w:type="dxa"/>
              <w:left w:w="115" w:type="dxa"/>
              <w:bottom w:w="0" w:type="dxa"/>
              <w:right w:w="115" w:type="dxa"/>
            </w:tcMar>
            <w:vAlign w:val="center"/>
            <w:hideMark/>
          </w:tcPr>
          <w:p w:rsidR="00FB505A" w:rsidRPr="00100BF5" w:rsidRDefault="00FB505A" w:rsidP="00FB505A">
            <w:pPr>
              <w:jc w:val="right"/>
              <w:rPr>
                <w:sz w:val="16"/>
              </w:rPr>
            </w:pPr>
            <w:r w:rsidRPr="00100BF5">
              <w:rPr>
                <w:sz w:val="16"/>
              </w:rPr>
              <w:t xml:space="preserve"> </w:t>
            </w:r>
          </w:p>
        </w:tc>
      </w:tr>
    </w:tbl>
    <w:p w:rsidR="00FB505A" w:rsidRPr="00100BF5" w:rsidRDefault="00FB505A"/>
    <w:p w:rsidR="00D54056" w:rsidRPr="00100BF5" w:rsidRDefault="00D54056"/>
    <w:tbl>
      <w:tblPr>
        <w:tblW w:w="0" w:type="auto"/>
        <w:tblLayout w:type="fixed"/>
        <w:tblLook w:val="0000" w:firstRow="0" w:lastRow="0" w:firstColumn="0" w:lastColumn="0" w:noHBand="0" w:noVBand="0"/>
      </w:tblPr>
      <w:tblGrid>
        <w:gridCol w:w="4147"/>
        <w:gridCol w:w="53"/>
        <w:gridCol w:w="750"/>
        <w:gridCol w:w="750"/>
        <w:gridCol w:w="6"/>
        <w:gridCol w:w="744"/>
        <w:gridCol w:w="6"/>
        <w:gridCol w:w="99"/>
        <w:gridCol w:w="6"/>
        <w:gridCol w:w="744"/>
        <w:gridCol w:w="6"/>
        <w:gridCol w:w="744"/>
        <w:gridCol w:w="6"/>
        <w:gridCol w:w="744"/>
        <w:gridCol w:w="6"/>
        <w:gridCol w:w="864"/>
        <w:gridCol w:w="6"/>
      </w:tblGrid>
      <w:tr w:rsidR="00A12DCA" w:rsidRPr="00100BF5" w:rsidTr="00FB505A">
        <w:tblPrEx>
          <w:tblCellMar>
            <w:top w:w="0" w:type="dxa"/>
            <w:bottom w:w="0" w:type="dxa"/>
          </w:tblCellMar>
        </w:tblPrEx>
        <w:trPr>
          <w:trHeight w:hRule="exact" w:val="240"/>
        </w:trPr>
        <w:tc>
          <w:tcPr>
            <w:tcW w:w="42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r w:rsidRPr="00100BF5">
              <w:rPr>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6"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b/>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0810BB"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2303" w:type="dxa"/>
            <w:gridSpan w:val="5"/>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center"/>
              <w:rPr>
                <w:sz w:val="16"/>
                <w:vertAlign w:val="superscript"/>
                <w:lang w:val="en-GB"/>
              </w:rPr>
            </w:pPr>
            <w:r w:rsidRPr="00100BF5">
              <w:rPr>
                <w:b/>
                <w:sz w:val="16"/>
                <w:lang w:val="en-GB"/>
              </w:rPr>
              <w:t>Adjusted</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center"/>
              <w:rPr>
                <w:b/>
                <w:sz w:val="16"/>
                <w:vertAlign w:val="superscript"/>
                <w:lang w:val="en-GB"/>
              </w:rPr>
            </w:pPr>
          </w:p>
        </w:tc>
        <w:tc>
          <w:tcPr>
            <w:tcW w:w="2250" w:type="dxa"/>
            <w:gridSpan w:val="6"/>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center"/>
              <w:rPr>
                <w:b/>
                <w:sz w:val="16"/>
                <w:lang w:val="en-GB"/>
              </w:rPr>
            </w:pPr>
            <w:r w:rsidRPr="00100BF5">
              <w:rPr>
                <w:b/>
                <w:sz w:val="16"/>
                <w:lang w:val="en-GB"/>
              </w:rPr>
              <w:t>Statutory</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b/>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rPr>
                <w:b/>
                <w:sz w:val="16"/>
                <w:lang w:val="en-GB"/>
              </w:rPr>
            </w:pPr>
            <w:r w:rsidRPr="00100BF5">
              <w:rPr>
                <w:b/>
                <w:sz w:val="20"/>
                <w:lang w:val="en-GB"/>
              </w:rPr>
              <w:t>Performance Measures</w:t>
            </w:r>
            <w:r w:rsidRPr="00100BF5">
              <w:rPr>
                <w:b/>
                <w:sz w:val="20"/>
                <w:vertAlign w:val="superscript"/>
                <w:lang w:val="en-GB"/>
              </w:rPr>
              <w:t xml:space="preserve"> </w:t>
            </w:r>
          </w:p>
        </w:tc>
        <w:tc>
          <w:tcPr>
            <w:tcW w:w="803" w:type="dxa"/>
            <w:gridSpan w:val="2"/>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20"/>
                <w:vertAlign w:val="superscript"/>
                <w:lang w:val="en-GB"/>
              </w:rPr>
            </w:pPr>
            <w:r w:rsidRPr="00100BF5">
              <w:rPr>
                <w:b/>
                <w:sz w:val="16"/>
                <w:lang w:val="en-GB"/>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31.12.11</w:t>
            </w:r>
          </w:p>
        </w:tc>
        <w:tc>
          <w:tcPr>
            <w:tcW w:w="750" w:type="dxa"/>
            <w:gridSpan w:val="2"/>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30.06.11</w:t>
            </w:r>
            <w:r w:rsidRPr="00100BF5">
              <w:rPr>
                <w:b/>
                <w:sz w:val="20"/>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20"/>
                <w:vertAlign w:val="superscript"/>
                <w:lang w:val="en-GB"/>
              </w:rPr>
            </w:pPr>
            <w:r w:rsidRPr="00100BF5">
              <w:rPr>
                <w:b/>
                <w:sz w:val="16"/>
                <w:lang w:val="en-GB"/>
              </w:rPr>
              <w:t xml:space="preserve"> </w:t>
            </w:r>
          </w:p>
        </w:tc>
        <w:tc>
          <w:tcPr>
            <w:tcW w:w="750" w:type="dxa"/>
            <w:gridSpan w:val="2"/>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30.06.12</w:t>
            </w:r>
          </w:p>
        </w:tc>
        <w:tc>
          <w:tcPr>
            <w:tcW w:w="750" w:type="dxa"/>
            <w:gridSpan w:val="2"/>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31.12.11</w:t>
            </w:r>
          </w:p>
        </w:tc>
        <w:tc>
          <w:tcPr>
            <w:tcW w:w="750" w:type="dxa"/>
            <w:gridSpan w:val="2"/>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AB314B">
            <w:pPr>
              <w:jc w:val="right"/>
              <w:rPr>
                <w:b/>
                <w:sz w:val="16"/>
                <w:lang w:val="en-GB"/>
              </w:rPr>
            </w:pPr>
            <w:r w:rsidRPr="00100BF5">
              <w:rPr>
                <w:b/>
                <w:sz w:val="16"/>
                <w:lang w:val="en-GB"/>
              </w:rPr>
              <w:t>30.06.11</w:t>
            </w:r>
          </w:p>
        </w:tc>
        <w:tc>
          <w:tcPr>
            <w:tcW w:w="87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rPr>
                <w:b/>
                <w:sz w:val="16"/>
                <w:lang w:val="en-GB"/>
              </w:rPr>
            </w:pPr>
            <w:r w:rsidRPr="00100BF5">
              <w:rPr>
                <w:sz w:val="16"/>
                <w:lang w:val="en-GB"/>
              </w:rPr>
              <w:t>Return on average equity</w:t>
            </w:r>
            <w:r w:rsidRPr="00100BF5">
              <w:rPr>
                <w:sz w:val="16"/>
                <w:vertAlign w:val="superscript"/>
                <w:lang w:val="en-GB"/>
              </w:rPr>
              <w:t xml:space="preserve"> </w:t>
            </w:r>
          </w:p>
        </w:tc>
        <w:tc>
          <w:tcPr>
            <w:tcW w:w="803" w:type="dxa"/>
            <w:gridSpan w:val="2"/>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14.9%</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5.0%</w:t>
            </w:r>
          </w:p>
        </w:tc>
        <w:tc>
          <w:tcPr>
            <w:tcW w:w="75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15.6%</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14.9%</w:t>
            </w:r>
          </w:p>
        </w:tc>
        <w:tc>
          <w:tcPr>
            <w:tcW w:w="75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5.0%</w:t>
            </w:r>
          </w:p>
        </w:tc>
        <w:tc>
          <w:tcPr>
            <w:tcW w:w="75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15.6%</w:t>
            </w:r>
          </w:p>
        </w:tc>
        <w:tc>
          <w:tcPr>
            <w:tcW w:w="87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rPr>
                <w:sz w:val="16"/>
                <w:lang w:val="en-GB"/>
              </w:rPr>
            </w:pPr>
            <w:r w:rsidRPr="00100BF5">
              <w:rPr>
                <w:sz w:val="16"/>
                <w:lang w:val="en-GB"/>
              </w:rPr>
              <w:t>Return on average risk weighted assets</w:t>
            </w:r>
            <w:r w:rsidRPr="00100BF5">
              <w:rPr>
                <w:sz w:val="16"/>
                <w:vertAlign w:val="superscript"/>
                <w:lang w:val="en-GB"/>
              </w:rPr>
              <w:t xml:space="preserve"> </w:t>
            </w:r>
          </w:p>
        </w:tc>
        <w:tc>
          <w:tcPr>
            <w:tcW w:w="803"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1.7%</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0.6%</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1.8%</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1.7%</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0.6%</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1.8%</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rPr>
                <w:sz w:val="16"/>
                <w:lang w:val="en-GB"/>
              </w:rPr>
            </w:pPr>
            <w:r w:rsidRPr="00100BF5">
              <w:rPr>
                <w:sz w:val="16"/>
                <w:lang w:val="en-GB"/>
              </w:rPr>
              <w:t xml:space="preserve">Cost: income ratio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61%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79%</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65%</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61%</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79%</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65%</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rPr>
                <w:sz w:val="16"/>
                <w:lang w:val="en-GB"/>
              </w:rPr>
            </w:pPr>
            <w:r w:rsidRPr="00100BF5">
              <w:rPr>
                <w:sz w:val="16"/>
                <w:lang w:val="en-GB"/>
              </w:rPr>
              <w:t xml:space="preserve">Cost: net operating income ratio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64%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83%</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64%</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64%</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83%</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64%</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rPr>
                <w:sz w:val="16"/>
                <w:lang w:val="en-GB"/>
              </w:rPr>
            </w:pPr>
            <w:r w:rsidRPr="00100BF5">
              <w:rPr>
                <w:sz w:val="16"/>
                <w:lang w:val="en-GB"/>
              </w:rPr>
              <w:t>Compensation: income ratio</w:t>
            </w:r>
            <w:r w:rsidRPr="00100BF5">
              <w:rPr>
                <w:sz w:val="16"/>
                <w:vertAlign w:val="superscript"/>
                <w:lang w:val="en-GB"/>
              </w:rPr>
              <w:t xml:space="preserve"> </w:t>
            </w:r>
          </w:p>
        </w:tc>
        <w:tc>
          <w:tcPr>
            <w:tcW w:w="803"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39%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49%</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45%</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39%</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49%</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45%</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rPr>
                <w:sz w:val="16"/>
                <w:lang w:val="en-GB"/>
              </w:rPr>
            </w:pPr>
            <w:r w:rsidRPr="00100BF5">
              <w:rPr>
                <w:sz w:val="16"/>
                <w:lang w:val="en-GB"/>
              </w:rPr>
              <w:t>Average income per employee (000s)</w:t>
            </w:r>
            <w:r w:rsidR="002102E7">
              <w:rPr>
                <w:sz w:val="16"/>
                <w:vertAlign w:val="superscript"/>
                <w:lang w:val="en-GB"/>
              </w:rPr>
              <w:t>1</w:t>
            </w:r>
          </w:p>
        </w:tc>
        <w:tc>
          <w:tcPr>
            <w:tcW w:w="803"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£276</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£170</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£259</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AB314B">
            <w:pPr>
              <w:jc w:val="right"/>
              <w:rPr>
                <w:sz w:val="16"/>
                <w:lang w:val="en-GB"/>
              </w:rPr>
            </w:pPr>
            <w:r w:rsidRPr="00100BF5">
              <w:rPr>
                <w:sz w:val="16"/>
                <w:lang w:val="en-GB"/>
              </w:rPr>
              <w:t>£276</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£170</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£259</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rPr>
                <w:sz w:val="16"/>
                <w:lang w:val="en-GB"/>
              </w:rPr>
            </w:pPr>
            <w:r w:rsidRPr="00100BF5">
              <w:rPr>
                <w:sz w:val="16"/>
                <w:lang w:val="en-GB"/>
              </w:rPr>
              <w:t>Loan loss rate (bps)</w:t>
            </w:r>
            <w:r w:rsidRPr="00100BF5">
              <w:rPr>
                <w:sz w:val="16"/>
                <w:vertAlign w:val="superscript"/>
                <w:lang w:val="en-GB"/>
              </w:rPr>
              <w:t xml:space="preserve"> </w:t>
            </w:r>
          </w:p>
        </w:tc>
        <w:tc>
          <w:tcPr>
            <w:tcW w:w="803"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7C49A8">
            <w:pPr>
              <w:jc w:val="right"/>
              <w:rPr>
                <w:sz w:val="16"/>
                <w:vertAlign w:val="superscript"/>
                <w:lang w:val="en-GB"/>
              </w:rPr>
            </w:pPr>
            <w:r w:rsidRPr="00100BF5">
              <w:rPr>
                <w:sz w:val="16"/>
                <w:lang w:val="en-GB"/>
              </w:rPr>
              <w:t>3</w:t>
            </w:r>
            <w:r w:rsidR="007C49A8" w:rsidRPr="00100BF5">
              <w:rPr>
                <w:sz w:val="16"/>
                <w:lang w:val="en-GB"/>
              </w:rPr>
              <w:t>5</w:t>
            </w:r>
            <w:r w:rsidRPr="00100BF5">
              <w:rPr>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22 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EAEAEA"/>
            <w:tcMar>
              <w:left w:w="36" w:type="dxa"/>
              <w:right w:w="36" w:type="dxa"/>
            </w:tcMar>
            <w:vAlign w:val="center"/>
          </w:tcPr>
          <w:p w:rsidR="00A12DCA" w:rsidRPr="00100BF5" w:rsidRDefault="00A12DCA" w:rsidP="007C49A8">
            <w:pPr>
              <w:jc w:val="right"/>
              <w:rPr>
                <w:sz w:val="16"/>
                <w:lang w:val="en-GB"/>
              </w:rPr>
            </w:pPr>
            <w:r w:rsidRPr="00100BF5">
              <w:rPr>
                <w:sz w:val="16"/>
                <w:lang w:val="en-GB"/>
              </w:rPr>
              <w:t>3</w:t>
            </w:r>
            <w:r w:rsidR="007C49A8" w:rsidRPr="00100BF5">
              <w:rPr>
                <w:sz w:val="16"/>
                <w:lang w:val="en-GB"/>
              </w:rPr>
              <w:t>5</w:t>
            </w:r>
            <w:r w:rsidRPr="00100BF5">
              <w:rPr>
                <w:sz w:val="16"/>
                <w:lang w:val="en-GB"/>
              </w:rPr>
              <w:t>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22 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sz w:val="16"/>
                <w:lang w:val="en-GB"/>
              </w:rPr>
            </w:pPr>
            <w:r w:rsidRPr="00100BF5">
              <w:rPr>
                <w:sz w:val="16"/>
                <w:lang w:val="en-GB"/>
              </w:rPr>
              <w:t>(6)</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B505A">
        <w:tblPrEx>
          <w:tblCellMar>
            <w:top w:w="0" w:type="dxa"/>
            <w:bottom w:w="0" w:type="dxa"/>
          </w:tblCellMar>
        </w:tblPrEx>
        <w:trPr>
          <w:gridAfter w:val="1"/>
          <w:wAfter w:w="6" w:type="dxa"/>
          <w:trHeight w:hRule="exact" w:val="240"/>
        </w:trPr>
        <w:tc>
          <w:tcPr>
            <w:tcW w:w="4147"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03"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10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5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0810BB" w:rsidRPr="00100BF5" w:rsidTr="00295281">
        <w:tblPrEx>
          <w:tblCellMar>
            <w:top w:w="0" w:type="dxa"/>
            <w:bottom w:w="0" w:type="dxa"/>
          </w:tblCellMar>
        </w:tblPrEx>
        <w:trPr>
          <w:gridAfter w:val="1"/>
          <w:wAfter w:w="6" w:type="dxa"/>
          <w:trHeight w:hRule="exact" w:val="435"/>
        </w:trPr>
        <w:tc>
          <w:tcPr>
            <w:tcW w:w="8805" w:type="dxa"/>
            <w:gridSpan w:val="14"/>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i/>
                <w:sz w:val="14"/>
                <w:lang w:val="en-GB"/>
              </w:rPr>
              <w:t xml:space="preserve"> </w:t>
            </w:r>
          </w:p>
        </w:tc>
        <w:tc>
          <w:tcPr>
            <w:tcW w:w="8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i/>
                <w:sz w:val="14"/>
                <w:lang w:val="en-GB"/>
              </w:rPr>
            </w:pPr>
            <w:r w:rsidRPr="00100BF5">
              <w:rPr>
                <w:i/>
                <w:sz w:val="14"/>
                <w:lang w:val="en-GB"/>
              </w:rPr>
              <w:t xml:space="preserve"> </w:t>
            </w:r>
          </w:p>
        </w:tc>
      </w:tr>
    </w:tbl>
    <w:p w:rsidR="00A12DCA" w:rsidRDefault="00A12DCA"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0C3F6A" w:rsidRDefault="000C3F6A"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F26CB3" w:rsidRDefault="00F26CB3" w:rsidP="00A12DCA">
      <w:pPr>
        <w:pStyle w:val="BodyText-BarcRA18"/>
        <w:spacing w:before="0" w:after="0"/>
        <w:rPr>
          <w:sz w:val="2"/>
          <w:szCs w:val="2"/>
        </w:rPr>
      </w:pPr>
    </w:p>
    <w:p w:rsidR="000C3F6A" w:rsidRDefault="00F26CB3" w:rsidP="00450A2A">
      <w:pPr>
        <w:pStyle w:val="Normal21"/>
        <w:numPr>
          <w:ilvl w:val="0"/>
          <w:numId w:val="139"/>
        </w:numPr>
        <w:ind w:left="284" w:hanging="284"/>
      </w:pPr>
      <w:r w:rsidRPr="00F26CB3">
        <w:rPr>
          <w:i/>
          <w:sz w:val="14"/>
          <w:szCs w:val="14"/>
        </w:rPr>
        <w:t>H2 11 and H1 11 comparatives have been revised to reflect the transfer of 400 and 500 respectively of dedicated shared service employees to Wealth and Investment Management.</w:t>
      </w:r>
    </w:p>
    <w:p w:rsidR="005F437E" w:rsidRDefault="000C3F6A" w:rsidP="005F437E">
      <w:pPr>
        <w:pStyle w:val="HeadingLevel1-BarcRA"/>
      </w:pPr>
      <w:r>
        <w:br w:type="page"/>
      </w:r>
      <w:r w:rsidR="005F437E">
        <w:lastRenderedPageBreak/>
        <w:t>Results by Business</w:t>
      </w:r>
    </w:p>
    <w:p w:rsidR="00A12DCA" w:rsidRPr="00F26CB3" w:rsidRDefault="00A12DCA" w:rsidP="000C3F6A">
      <w:pPr>
        <w:pStyle w:val="Normal21"/>
        <w:rPr>
          <w:i/>
        </w:rPr>
      </w:pPr>
      <w:r w:rsidRPr="00347CDE">
        <w:rPr>
          <w:rFonts w:eastAsia="Expert Sans Regular" w:cs="Expert Sans Regular"/>
          <w:b/>
          <w:sz w:val="24"/>
          <w:szCs w:val="14"/>
        </w:rPr>
        <w:t>Investment Bank</w:t>
      </w:r>
    </w:p>
    <w:p w:rsidR="00A12DCA" w:rsidRPr="00100BF5" w:rsidRDefault="00A12DCA" w:rsidP="00A12DCA">
      <w:pPr>
        <w:pStyle w:val="Level1Bullet-BarcRA70"/>
        <w:numPr>
          <w:ilvl w:val="0"/>
          <w:numId w:val="0"/>
        </w:numPr>
        <w:tabs>
          <w:tab w:val="left" w:pos="720"/>
        </w:tabs>
        <w:ind w:left="284" w:hanging="284"/>
        <w:rPr>
          <w:b/>
          <w:sz w:val="20"/>
        </w:rPr>
      </w:pPr>
      <w:r w:rsidRPr="00100BF5">
        <w:rPr>
          <w:b/>
          <w:sz w:val="20"/>
          <w:lang w:val="en-US"/>
        </w:rPr>
        <w:t>Income Statement – H1</w:t>
      </w:r>
      <w:r w:rsidR="00D6381B">
        <w:rPr>
          <w:b/>
          <w:sz w:val="20"/>
          <w:lang w:val="en-US"/>
        </w:rPr>
        <w:t xml:space="preserve"> </w:t>
      </w:r>
      <w:r w:rsidRPr="00100BF5">
        <w:rPr>
          <w:b/>
          <w:sz w:val="20"/>
          <w:lang w:val="en-US"/>
        </w:rPr>
        <w:t>12 compared to H1</w:t>
      </w:r>
      <w:r w:rsidR="00D6381B">
        <w:rPr>
          <w:b/>
          <w:sz w:val="20"/>
          <w:lang w:val="en-US"/>
        </w:rPr>
        <w:t xml:space="preserve"> </w:t>
      </w:r>
      <w:r w:rsidRPr="00100BF5">
        <w:rPr>
          <w:b/>
          <w:sz w:val="20"/>
          <w:lang w:val="en-US"/>
        </w:rPr>
        <w:t>11</w:t>
      </w:r>
    </w:p>
    <w:p w:rsidR="00A12DCA" w:rsidRPr="00100BF5" w:rsidRDefault="00A12DCA" w:rsidP="00AE7061">
      <w:pPr>
        <w:pStyle w:val="Level1Bullet-BarcRA03"/>
      </w:pPr>
      <w:r w:rsidRPr="00100BF5">
        <w:t>Profit before tax decreased 2% to £2,268m driven by 4% income growth and 3% improvement in operating expenses</w:t>
      </w:r>
      <w:r w:rsidR="00943E91" w:rsidRPr="00100BF5">
        <w:t xml:space="preserve"> more than offset by higher credit impairment charges</w:t>
      </w:r>
      <w:r w:rsidRPr="00100BF5">
        <w:t xml:space="preserve"> </w:t>
      </w:r>
    </w:p>
    <w:p w:rsidR="00A12DCA" w:rsidRPr="00100BF5" w:rsidRDefault="00A12DCA"/>
    <w:tbl>
      <w:tblPr>
        <w:tblW w:w="0" w:type="auto"/>
        <w:tblLayout w:type="fixed"/>
        <w:tblLook w:val="0000" w:firstRow="0" w:lastRow="0" w:firstColumn="0" w:lastColumn="0" w:noHBand="0" w:noVBand="0"/>
      </w:tblPr>
      <w:tblGrid>
        <w:gridCol w:w="4275"/>
        <w:gridCol w:w="1350"/>
        <w:gridCol w:w="1350"/>
        <w:gridCol w:w="1350"/>
        <w:gridCol w:w="1350"/>
      </w:tblGrid>
      <w:tr w:rsidR="00A12DCA" w:rsidRPr="00100BF5" w:rsidTr="00AB314B">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16"/>
              </w:rPr>
              <w:t xml:space="preserve">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rPr>
            </w:pPr>
            <w:r w:rsidRPr="00100BF5">
              <w:rPr>
                <w:b/>
                <w:sz w:val="16"/>
              </w:rPr>
              <w:t>Half Year Ended</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rPr>
            </w:pPr>
            <w:r w:rsidRPr="00100BF5">
              <w:rPr>
                <w:b/>
                <w:sz w:val="16"/>
              </w:rPr>
              <w:t>Half Year Ended</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rPr>
            </w:pPr>
            <w:r w:rsidRPr="00100BF5">
              <w:rPr>
                <w:b/>
                <w:sz w:val="16"/>
              </w:rPr>
              <w:t>Half Year Ended</w:t>
            </w:r>
          </w:p>
        </w:tc>
        <w:tc>
          <w:tcPr>
            <w:tcW w:w="135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r>
      <w:tr w:rsidR="00A12DCA" w:rsidRPr="00100BF5" w:rsidTr="00AB314B">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Analysis of Total Income</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20"/>
              </w:rPr>
            </w:pPr>
            <w:r w:rsidRPr="00100BF5">
              <w:rPr>
                <w:b/>
                <w:sz w:val="16"/>
              </w:rPr>
              <w:t>30.06.12</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rPr>
            </w:pPr>
            <w:r w:rsidRPr="00100BF5">
              <w:rPr>
                <w:b/>
                <w:sz w:val="16"/>
              </w:rPr>
              <w:t>31.12.11</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rPr>
            </w:pPr>
            <w:r w:rsidRPr="00100BF5">
              <w:rPr>
                <w:b/>
                <w:sz w:val="16"/>
              </w:rPr>
              <w:t>30.06.11</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rsidP="00AB314B">
            <w:pPr>
              <w:jc w:val="right"/>
              <w:rPr>
                <w:b/>
                <w:sz w:val="16"/>
              </w:rPr>
            </w:pPr>
            <w:r w:rsidRPr="00100BF5">
              <w:rPr>
                <w:b/>
                <w:sz w:val="16"/>
              </w:rPr>
              <w:t>YoY</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Change</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Fixed Income, Currency and Commodities</w:t>
            </w:r>
          </w:p>
        </w:tc>
        <w:tc>
          <w:tcPr>
            <w:tcW w:w="13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4,364 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2,409 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3,916 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11 </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Equities and Prime Services</w:t>
            </w:r>
          </w:p>
        </w:tc>
        <w:tc>
          <w:tcPr>
            <w:tcW w:w="13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973 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643 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1,108 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w:t>
            </w:r>
          </w:p>
        </w:tc>
      </w:tr>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Investment Banking</w:t>
            </w:r>
          </w:p>
        </w:tc>
        <w:tc>
          <w:tcPr>
            <w:tcW w:w="13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1,010 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895 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1,132 </w:t>
            </w:r>
          </w:p>
        </w:tc>
        <w:tc>
          <w:tcPr>
            <w:tcW w:w="13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w:t>
            </w:r>
          </w:p>
        </w:tc>
      </w:tr>
      <w:tr w:rsidR="00A12DCA" w:rsidRPr="00100BF5">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Principal Investments</w:t>
            </w:r>
          </w:p>
        </w:tc>
        <w:tc>
          <w:tcPr>
            <w:tcW w:w="13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149 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107 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39 </w:t>
            </w:r>
          </w:p>
        </w:tc>
      </w:tr>
      <w:tr w:rsidR="00A12DCA" w:rsidRPr="00100BF5">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income</w:t>
            </w:r>
          </w:p>
        </w:tc>
        <w:tc>
          <w:tcPr>
            <w:tcW w:w="13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6,496 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4,072 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6,263 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4 </w:t>
            </w:r>
          </w:p>
        </w:tc>
      </w:tr>
    </w:tbl>
    <w:p w:rsidR="00A12DCA" w:rsidRPr="00100BF5" w:rsidRDefault="00A12DCA"/>
    <w:p w:rsidR="00A12DCA" w:rsidRPr="00100BF5" w:rsidRDefault="00A12DCA" w:rsidP="00103E51">
      <w:pPr>
        <w:pStyle w:val="Level1Bullet-BarcRA03"/>
      </w:pPr>
      <w:r w:rsidRPr="00100BF5">
        <w:t>Total income increased 4% to £6,496m</w:t>
      </w:r>
    </w:p>
    <w:p w:rsidR="00A12DCA" w:rsidRPr="00100BF5" w:rsidRDefault="00A12DCA" w:rsidP="00103E51">
      <w:pPr>
        <w:pStyle w:val="Level2Bullet-BarcRA2"/>
        <w:numPr>
          <w:ilvl w:val="2"/>
          <w:numId w:val="9"/>
        </w:numPr>
        <w:tabs>
          <w:tab w:val="num" w:pos="567"/>
        </w:tabs>
        <w:ind w:left="567" w:hanging="283"/>
        <w:rPr>
          <w:lang w:val="en-GB"/>
        </w:rPr>
      </w:pPr>
      <w:r w:rsidRPr="00100BF5">
        <w:rPr>
          <w:lang w:val="en-GB"/>
        </w:rPr>
        <w:t xml:space="preserve">Fixed Income, Currency and Commodities (FICC) income increased 11% to £4,364m, reflecting improved performances in Rates and Commodities partly offset by lower contributions from Securitised Products </w:t>
      </w:r>
    </w:p>
    <w:p w:rsidR="00A12DCA" w:rsidRPr="00100BF5" w:rsidRDefault="00A12DCA" w:rsidP="00103E51">
      <w:pPr>
        <w:pStyle w:val="Level2Bullet-BarcRA2"/>
        <w:numPr>
          <w:ilvl w:val="2"/>
          <w:numId w:val="9"/>
        </w:numPr>
        <w:tabs>
          <w:tab w:val="num" w:pos="567"/>
        </w:tabs>
        <w:ind w:left="567" w:hanging="283"/>
        <w:rPr>
          <w:lang w:val="en-GB"/>
        </w:rPr>
      </w:pPr>
      <w:r w:rsidRPr="00100BF5">
        <w:rPr>
          <w:lang w:val="en-GB"/>
        </w:rPr>
        <w:t xml:space="preserve">Equities and Prime Services income decreased 12% to £973m, with reduced performance in cash equities and equity derivatives driven by declines in market volumes </w:t>
      </w:r>
    </w:p>
    <w:p w:rsidR="00A12DCA" w:rsidRPr="00100BF5" w:rsidRDefault="00A12DCA" w:rsidP="00103E51">
      <w:pPr>
        <w:pStyle w:val="Level2Bullet-BarcRA2"/>
        <w:numPr>
          <w:ilvl w:val="2"/>
          <w:numId w:val="9"/>
        </w:numPr>
        <w:tabs>
          <w:tab w:val="num" w:pos="567"/>
        </w:tabs>
        <w:ind w:left="567" w:hanging="283"/>
        <w:rPr>
          <w:lang w:val="en-GB"/>
        </w:rPr>
      </w:pPr>
      <w:r w:rsidRPr="00100BF5">
        <w:rPr>
          <w:lang w:val="en-GB"/>
        </w:rPr>
        <w:t xml:space="preserve">Investment Banking income decreased 11% to £1,010m. Equity and debt underwriting were impacted by lower deal activity partly offset by growth in financial advisory </w:t>
      </w:r>
    </w:p>
    <w:p w:rsidR="0067611F" w:rsidRPr="00100BF5" w:rsidRDefault="0067611F" w:rsidP="00103E51">
      <w:pPr>
        <w:pStyle w:val="Level2Bullet-BarcRA2"/>
        <w:numPr>
          <w:ilvl w:val="2"/>
          <w:numId w:val="9"/>
        </w:numPr>
        <w:tabs>
          <w:tab w:val="num" w:pos="567"/>
        </w:tabs>
        <w:ind w:left="567" w:hanging="283"/>
        <w:rPr>
          <w:lang w:val="en-GB"/>
        </w:rPr>
      </w:pPr>
      <w:r w:rsidRPr="00100BF5">
        <w:rPr>
          <w:lang w:val="en-GB"/>
        </w:rPr>
        <w:t>Total income for the second quarter of £3,032m increased 5% on the second quarter of 2011. FICC income increased 15%, Equities and Prime Services income was down 25%, and Investment Banking income was down 4%</w:t>
      </w:r>
    </w:p>
    <w:p w:rsidR="00A12DCA" w:rsidRPr="00100BF5" w:rsidRDefault="00A12DCA" w:rsidP="00103E51">
      <w:pPr>
        <w:pStyle w:val="Level1Bullet-BarcRA03"/>
      </w:pPr>
      <w:r w:rsidRPr="00100BF5">
        <w:t xml:space="preserve">Credit impairment charge of £323m (2011: release of £111m) </w:t>
      </w:r>
      <w:r w:rsidR="00E7130A" w:rsidRPr="00100BF5">
        <w:t xml:space="preserve">reflecting charges </w:t>
      </w:r>
      <w:r w:rsidRPr="00100BF5">
        <w:t>primarily relating to ABS CDO Super Senior positions and</w:t>
      </w:r>
      <w:r w:rsidR="00763FA1">
        <w:rPr>
          <w:lang w:val="en-GB"/>
        </w:rPr>
        <w:t xml:space="preserve"> </w:t>
      </w:r>
      <w:r w:rsidR="00763FA1" w:rsidRPr="00B75665">
        <w:rPr>
          <w:lang w:val="en-GB"/>
        </w:rPr>
        <w:t>higher losses on single name exposures</w:t>
      </w:r>
      <w:r w:rsidR="009C5A7D">
        <w:t>. There was a non</w:t>
      </w:r>
      <w:r w:rsidR="009C5A7D">
        <w:rPr>
          <w:lang w:val="en-GB"/>
        </w:rPr>
        <w:t>-</w:t>
      </w:r>
      <w:r w:rsidRPr="00100BF5">
        <w:t>recurring release of £223m in the prior year</w:t>
      </w:r>
    </w:p>
    <w:p w:rsidR="00A12DCA" w:rsidRPr="00100BF5" w:rsidRDefault="00A12DCA" w:rsidP="00103E51">
      <w:pPr>
        <w:pStyle w:val="Level1Bullet-BarcRA03"/>
      </w:pPr>
      <w:r w:rsidRPr="00100BF5">
        <w:t>Operating expenses reduced 3% to £3,933m, due to a 19% decrease in total performance costs. This was partially offset by a £193m charge relating to the Investment Banking allocation of the £290m penalty arising from the industry wide investigation into the setting of interbank offered rates.</w:t>
      </w:r>
      <w:r w:rsidR="00E7130A" w:rsidRPr="00100BF5">
        <w:t xml:space="preserve"> The remaining £97m has been charged to the Head Office and Other Operations</w:t>
      </w:r>
    </w:p>
    <w:p w:rsidR="00A12DCA" w:rsidRPr="00100BF5" w:rsidRDefault="00A12DCA" w:rsidP="00103E51">
      <w:pPr>
        <w:pStyle w:val="Level1Bullet-BarcRA03"/>
      </w:pPr>
      <w:r w:rsidRPr="00100BF5">
        <w:t>Cost to net operating income ratio of 64% (2011: 64%) within target range of 60% to 65%. Compensation to income ratio improved to 39% (2011: 45%)</w:t>
      </w:r>
    </w:p>
    <w:p w:rsidR="00A12DCA" w:rsidRPr="00100BF5" w:rsidRDefault="00A12DCA" w:rsidP="00103E51">
      <w:pPr>
        <w:pStyle w:val="Level1Bullet-BarcRA03"/>
      </w:pPr>
      <w:r w:rsidRPr="00100BF5">
        <w:t>Return on average equity of 14.9% (2011: 15.6%) and return on average risk weighted assets of 1.7% (2011: 1.8%)</w:t>
      </w:r>
    </w:p>
    <w:p w:rsidR="00A12DCA" w:rsidRPr="00100BF5" w:rsidRDefault="00A12DCA" w:rsidP="00A12DCA">
      <w:pPr>
        <w:pStyle w:val="Level1Bullet-BarcRA700"/>
        <w:tabs>
          <w:tab w:val="clear" w:pos="284"/>
          <w:tab w:val="left" w:pos="720"/>
        </w:tabs>
        <w:ind w:left="0" w:firstLine="0"/>
        <w:rPr>
          <w:b/>
          <w:sz w:val="20"/>
          <w:lang w:val="en-US"/>
        </w:rPr>
      </w:pPr>
      <w:r w:rsidRPr="00100BF5">
        <w:rPr>
          <w:b/>
          <w:sz w:val="20"/>
          <w:lang w:val="en-US"/>
        </w:rPr>
        <w:t>Income Statement – Q2</w:t>
      </w:r>
      <w:r w:rsidR="00D6381B">
        <w:rPr>
          <w:b/>
          <w:sz w:val="20"/>
          <w:lang w:val="en-US"/>
        </w:rPr>
        <w:t xml:space="preserve"> </w:t>
      </w:r>
      <w:r w:rsidRPr="00100BF5">
        <w:rPr>
          <w:b/>
          <w:sz w:val="20"/>
          <w:lang w:val="en-US"/>
        </w:rPr>
        <w:t>12 compared to Q1</w:t>
      </w:r>
      <w:r w:rsidR="00D6381B">
        <w:rPr>
          <w:b/>
          <w:sz w:val="20"/>
          <w:lang w:val="en-US"/>
        </w:rPr>
        <w:t xml:space="preserve"> </w:t>
      </w:r>
      <w:r w:rsidRPr="00100BF5">
        <w:rPr>
          <w:b/>
          <w:sz w:val="20"/>
          <w:lang w:val="en-US"/>
        </w:rPr>
        <w:t>12</w:t>
      </w:r>
    </w:p>
    <w:p w:rsidR="00A12DCA" w:rsidRPr="00100BF5" w:rsidRDefault="00A12DCA" w:rsidP="00103E51">
      <w:pPr>
        <w:pStyle w:val="Level1Bullet-BarcRA03"/>
      </w:pPr>
      <w:r w:rsidRPr="00100BF5">
        <w:t>Profit before tax decreased to £1,002m (Q1</w:t>
      </w:r>
      <w:r w:rsidR="00D6381B">
        <w:rPr>
          <w:lang w:val="en-GB"/>
        </w:rPr>
        <w:t xml:space="preserve"> </w:t>
      </w:r>
      <w:r w:rsidRPr="00100BF5">
        <w:t>12: £1,266m) driven by a decline in income and higher credit impairment charges, partially offset by a 17% improvement in operating expenses primarily due to performance costs</w:t>
      </w:r>
    </w:p>
    <w:p w:rsidR="006C17EA" w:rsidRPr="00100BF5" w:rsidRDefault="006C17EA" w:rsidP="00103E51">
      <w:pPr>
        <w:pStyle w:val="Level1Bullet-BarcRA03"/>
      </w:pPr>
      <w:r w:rsidRPr="00100BF5">
        <w:lastRenderedPageBreak/>
        <w:t>Income of £3,032m decreased 12% on the first quarter of 2012 with an improved seasonal trend compared to 2011</w:t>
      </w:r>
    </w:p>
    <w:p w:rsidR="00A12DCA" w:rsidRPr="00100BF5" w:rsidRDefault="00A12DCA" w:rsidP="00A12DCA">
      <w:pPr>
        <w:pStyle w:val="Level1Bullet-BarcRA700"/>
        <w:tabs>
          <w:tab w:val="clear" w:pos="284"/>
          <w:tab w:val="left" w:pos="720"/>
        </w:tabs>
        <w:ind w:left="0" w:firstLine="0"/>
        <w:rPr>
          <w:b/>
          <w:sz w:val="20"/>
        </w:rPr>
      </w:pPr>
      <w:r w:rsidRPr="00100BF5">
        <w:rPr>
          <w:b/>
          <w:sz w:val="20"/>
          <w:lang w:val="en-US"/>
        </w:rPr>
        <w:t>Balance Sheet – 30 June 2012 compared to 31 December 2011</w:t>
      </w:r>
    </w:p>
    <w:p w:rsidR="00A12DCA" w:rsidRPr="00100BF5" w:rsidRDefault="00A12DCA" w:rsidP="00103E51">
      <w:pPr>
        <w:pStyle w:val="Level1Bullet-BarcRA03"/>
        <w:rPr>
          <w:lang w:val="en-GB"/>
        </w:rPr>
      </w:pPr>
      <w:r w:rsidRPr="00100BF5">
        <w:rPr>
          <w:lang w:val="en-GB"/>
        </w:rPr>
        <w:t>Assets contributing to adjusted gross leverage increased 8% to £650bn reflecting increases in cash and central bank deposits and reverse repurchase agreements. Total assets increased 6% to £1,225bn reflecting the above, and an increase in settlement balances partially offset by a decrease in the fair value of gross derivative assets</w:t>
      </w:r>
    </w:p>
    <w:p w:rsidR="00A12DCA" w:rsidRPr="00100BF5" w:rsidRDefault="00A12DCA" w:rsidP="00103E51">
      <w:pPr>
        <w:pStyle w:val="Level1Bullet-BarcRA03"/>
        <w:rPr>
          <w:lang w:val="en-GB"/>
        </w:rPr>
      </w:pPr>
      <w:r w:rsidRPr="00100BF5">
        <w:rPr>
          <w:lang w:val="en-GB"/>
        </w:rPr>
        <w:t>Credit market exposures reduced £2.5bn to £12.7bn, primarily driven by sales of commercial real estate loans and properties</w:t>
      </w:r>
    </w:p>
    <w:p w:rsidR="00DC421C" w:rsidRPr="00100BF5" w:rsidRDefault="00DC421C" w:rsidP="00103E51">
      <w:pPr>
        <w:pStyle w:val="Level1Bullet-BarcRA03"/>
        <w:rPr>
          <w:lang w:val="en-GB"/>
        </w:rPr>
      </w:pPr>
      <w:r w:rsidRPr="00100BF5">
        <w:rPr>
          <w:lang w:val="en-GB"/>
        </w:rPr>
        <w:t xml:space="preserve">Risk weighted assets increased 2% to £191bn driven by increases in operational risk and market risk, mainly due to methodology </w:t>
      </w:r>
      <w:r w:rsidR="002461E7" w:rsidRPr="00100BF5">
        <w:rPr>
          <w:lang w:val="en-GB"/>
        </w:rPr>
        <w:t>changes, partially offset by a</w:t>
      </w:r>
      <w:r w:rsidRPr="00100BF5">
        <w:rPr>
          <w:lang w:val="en-GB"/>
        </w:rPr>
        <w:t xml:space="preserve"> reduction in counterparty risk and foreign currency movements</w:t>
      </w: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rsidP="00A12DCA">
      <w:pPr>
        <w:pStyle w:val="Level1Bullet-BarcRA700"/>
        <w:tabs>
          <w:tab w:val="clear" w:pos="284"/>
        </w:tabs>
        <w:spacing w:before="0" w:after="0"/>
        <w:ind w:firstLine="0"/>
        <w:rPr>
          <w:sz w:val="2"/>
          <w:szCs w:val="2"/>
          <w:lang w:val="en-GB"/>
        </w:rPr>
      </w:pPr>
    </w:p>
    <w:p w:rsidR="00A12DCA" w:rsidRPr="00100BF5" w:rsidRDefault="00A12DCA">
      <w:pPr>
        <w:rPr>
          <w:i/>
          <w:sz w:val="14"/>
          <w:szCs w:val="14"/>
          <w:lang w:val="en-GB"/>
        </w:r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i/>
                <w:sz w:val="14"/>
                <w:szCs w:val="14"/>
                <w:lang w:val="en-GB"/>
              </w:rPr>
            </w:pPr>
            <w:r w:rsidRPr="00100BF5">
              <w:rPr>
                <w:b/>
                <w:sz w:val="24"/>
                <w:szCs w:val="14"/>
                <w:lang w:val="en-GB"/>
              </w:rPr>
              <w:t>Corporate Banking</w:t>
            </w:r>
            <w:r w:rsidRPr="00100BF5">
              <w:rPr>
                <w:b/>
                <w:sz w:val="24"/>
                <w:szCs w:val="1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szCs w:val="14"/>
                <w:vertAlign w:val="superscript"/>
                <w:lang w:val="en-GB"/>
              </w:rPr>
            </w:pPr>
            <w:r w:rsidRPr="00100BF5">
              <w:rPr>
                <w:sz w:val="24"/>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24"/>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24"/>
                <w:szCs w:val="14"/>
                <w:lang w:val="en-GB"/>
              </w:rPr>
              <w:t xml:space="preserve"> </w:t>
            </w:r>
            <w:r w:rsidRPr="00100BF5">
              <w:rPr>
                <w:sz w:val="24"/>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vertAlign w:val="superscript"/>
                <w:lang w:val="en-GB"/>
              </w:rPr>
            </w:pPr>
            <w:r w:rsidRPr="00100BF5">
              <w:rPr>
                <w:sz w:val="24"/>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24"/>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24"/>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24"/>
                <w:szCs w:val="1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24"/>
                <w:szCs w:val="14"/>
                <w:lang w:val="en-GB"/>
              </w:rPr>
              <w:t xml:space="preserve"> </w:t>
            </w:r>
          </w:p>
        </w:tc>
      </w:tr>
      <w:tr w:rsidR="000810BB"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b/>
                <w:sz w:val="16"/>
                <w:szCs w:val="14"/>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Half Year Ended</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b/>
                <w:sz w:val="20"/>
                <w:szCs w:val="14"/>
                <w:lang w:val="en-GB"/>
              </w:rPr>
              <w:t>Income Statement Information</w:t>
            </w:r>
            <w:r w:rsidRPr="00100BF5">
              <w:rPr>
                <w:b/>
                <w:sz w:val="20"/>
                <w:szCs w:val="1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20"/>
                <w:szCs w:val="14"/>
                <w:vertAlign w:val="superscript"/>
                <w:lang w:val="en-GB"/>
              </w:rPr>
            </w:pPr>
            <w:r w:rsidRPr="00100BF5">
              <w:rPr>
                <w:b/>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r w:rsidRPr="00100BF5">
              <w:rPr>
                <w:b/>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30.06.11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YoY</w:t>
            </w:r>
          </w:p>
        </w:tc>
      </w:tr>
      <w:tr w:rsidR="00A12DCA" w:rsidRPr="00100BF5" w:rsidTr="004D2A7A">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Change</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Net interest income</w:t>
            </w:r>
            <w:r w:rsidRPr="00100BF5">
              <w:rPr>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957 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1,141 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1,014 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Net fee and commission income</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489 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497 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508 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(4)</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523374">
            <w:pPr>
              <w:rPr>
                <w:sz w:val="16"/>
                <w:szCs w:val="14"/>
                <w:lang w:val="en-GB"/>
              </w:rPr>
            </w:pPr>
            <w:r w:rsidRPr="00100BF5">
              <w:rPr>
                <w:sz w:val="16"/>
                <w:szCs w:val="14"/>
                <w:lang w:val="en-GB"/>
              </w:rPr>
              <w:t>Net trading income/(expense)</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70 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(128)</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29 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141 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Net investment income</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21 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Other income</w:t>
            </w:r>
            <w:r w:rsidRPr="00100BF5">
              <w:rPr>
                <w:sz w:val="16"/>
                <w:szCs w:val="14"/>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2 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9 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16"/>
                <w:szCs w:val="14"/>
                <w:lang w:val="en-GB"/>
              </w:rPr>
              <w:t>Total income</w:t>
            </w:r>
            <w:r w:rsidRPr="00100BF5">
              <w:rPr>
                <w:b/>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1,527 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r w:rsidRPr="00100BF5">
              <w:rPr>
                <w:b/>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1,540 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1,568 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w:t>
            </w:r>
          </w:p>
        </w:tc>
      </w:tr>
      <w:tr w:rsidR="00A12DCA" w:rsidRPr="00100BF5" w:rsidTr="004D2A7A">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sz w:val="16"/>
                <w:szCs w:val="14"/>
                <w:lang w:val="en-GB"/>
              </w:rPr>
              <w:t>Credit impairment charges and other provisions</w:t>
            </w:r>
            <w:r w:rsidRPr="00100BF5">
              <w:rPr>
                <w:sz w:val="16"/>
                <w:szCs w:val="14"/>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(425)</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(535)</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(31)</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16"/>
                <w:szCs w:val="14"/>
                <w:lang w:val="en-GB"/>
              </w:rPr>
              <w:t>Net operating income</w:t>
            </w:r>
            <w:r w:rsidRPr="00100BF5">
              <w:rPr>
                <w:b/>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1,102 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r w:rsidRPr="00100BF5">
              <w:rPr>
                <w:b/>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1,005 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956 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15 </w:t>
            </w:r>
          </w:p>
        </w:tc>
      </w:tr>
      <w:tr w:rsidR="00A12DCA" w:rsidRPr="00100BF5" w:rsidTr="004D2A7A">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48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Operating expenses (excluding goodwill impairment and provision for interest rate hedging products redress)</w:t>
            </w:r>
            <w:r w:rsidRPr="00100BF5">
              <w:rPr>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(754)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(858)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(901)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(16)</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Goodwill impairment</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(123)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Provision for interest rate hedging products redress</w:t>
            </w:r>
            <w:r w:rsidRPr="00100BF5">
              <w:rPr>
                <w:sz w:val="16"/>
                <w:szCs w:val="14"/>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(450)</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16"/>
                <w:szCs w:val="14"/>
                <w:lang w:val="en-GB"/>
              </w:rPr>
              <w:t>Operating expenses</w:t>
            </w:r>
            <w:r w:rsidRPr="00100BF5">
              <w:rPr>
                <w:b/>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(1,204)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r w:rsidRPr="00100BF5">
              <w:rPr>
                <w:b/>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(981)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(901)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34 </w:t>
            </w:r>
          </w:p>
        </w:tc>
      </w:tr>
      <w:tr w:rsidR="00A12DCA" w:rsidRPr="00100BF5" w:rsidTr="004D2A7A">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D6745F" w:rsidRPr="00100BF5" w:rsidTr="004D2A7A">
        <w:tblPrEx>
          <w:tblCellMar>
            <w:top w:w="0" w:type="dxa"/>
            <w:bottom w:w="0" w:type="dxa"/>
          </w:tblCellMar>
        </w:tblPrEx>
        <w:trPr>
          <w:trHeight w:val="240"/>
        </w:trPr>
        <w:tc>
          <w:tcPr>
            <w:tcW w:w="4275"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rPr>
                <w:sz w:val="16"/>
                <w:szCs w:val="14"/>
                <w:lang w:val="en-GB"/>
              </w:rPr>
            </w:pPr>
            <w:r w:rsidRPr="00100BF5">
              <w:rPr>
                <w:sz w:val="16"/>
                <w:szCs w:val="14"/>
              </w:rPr>
              <w:t xml:space="preserve">Other net </w:t>
            </w:r>
            <w:r w:rsidR="0067611F" w:rsidRPr="00100BF5">
              <w:rPr>
                <w:sz w:val="16"/>
                <w:szCs w:val="14"/>
              </w:rPr>
              <w:t>expense</w:t>
            </w:r>
          </w:p>
        </w:tc>
        <w:tc>
          <w:tcPr>
            <w:tcW w:w="75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pPr>
              <w:jc w:val="right"/>
              <w:rPr>
                <w:sz w:val="16"/>
                <w:szCs w:val="14"/>
                <w:lang w:val="en-GB"/>
              </w:rPr>
            </w:pPr>
          </w:p>
        </w:tc>
        <w:tc>
          <w:tcPr>
            <w:tcW w:w="75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rsidP="004D2A7A">
            <w:pPr>
              <w:jc w:val="right"/>
              <w:rPr>
                <w:sz w:val="16"/>
                <w:szCs w:val="14"/>
                <w:lang w:val="en-GB"/>
              </w:rPr>
            </w:pPr>
            <w:r w:rsidRPr="00100BF5">
              <w:rPr>
                <w:sz w:val="16"/>
                <w:szCs w:val="14"/>
                <w:lang w:val="en-GB"/>
              </w:rPr>
              <w:t>(2)</w:t>
            </w: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jc w:val="right"/>
              <w:rPr>
                <w:sz w:val="16"/>
                <w:szCs w:val="14"/>
                <w:lang w:val="en-GB"/>
              </w:rPr>
            </w:pPr>
          </w:p>
        </w:tc>
        <w:tc>
          <w:tcPr>
            <w:tcW w:w="105"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jc w:val="right"/>
              <w:rPr>
                <w:sz w:val="16"/>
                <w:szCs w:val="14"/>
                <w:lang w:val="en-GB"/>
              </w:rPr>
            </w:pP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jc w:val="right"/>
              <w:rPr>
                <w:sz w:val="16"/>
                <w:szCs w:val="14"/>
                <w:lang w:val="en-GB"/>
              </w:rPr>
            </w:pPr>
            <w:r w:rsidRPr="00100BF5">
              <w:rPr>
                <w:sz w:val="16"/>
                <w:szCs w:val="14"/>
                <w:lang w:val="en-GB"/>
              </w:rPr>
              <w:t>(6)</w:t>
            </w: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jc w:val="right"/>
              <w:rPr>
                <w:sz w:val="16"/>
                <w:szCs w:val="14"/>
                <w:lang w:val="en-GB"/>
              </w:rPr>
            </w:pPr>
          </w:p>
        </w:tc>
        <w:tc>
          <w:tcPr>
            <w:tcW w:w="75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jc w:val="right"/>
              <w:rPr>
                <w:sz w:val="16"/>
                <w:szCs w:val="14"/>
                <w:lang w:val="en-GB"/>
              </w:rPr>
            </w:pPr>
            <w:r w:rsidRPr="00100BF5">
              <w:rPr>
                <w:sz w:val="16"/>
                <w:szCs w:val="14"/>
                <w:lang w:val="en-GB"/>
              </w:rPr>
              <w:t>(65)</w:t>
            </w:r>
          </w:p>
        </w:tc>
        <w:tc>
          <w:tcPr>
            <w:tcW w:w="795"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4D2A7A">
            <w:pPr>
              <w:jc w:val="right"/>
              <w:rPr>
                <w:sz w:val="16"/>
                <w:szCs w:val="14"/>
                <w:lang w:val="en-GB"/>
              </w:rPr>
            </w:pP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16"/>
                <w:szCs w:val="14"/>
                <w:lang w:val="en-GB"/>
              </w:rPr>
              <w:t>(Loss)/profit before tax</w:t>
            </w:r>
            <w:r w:rsidRPr="00100BF5">
              <w:rPr>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(104)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r w:rsidRPr="00100BF5">
              <w:rPr>
                <w:b/>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(10)</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r>
      <w:tr w:rsidR="00A12DCA" w:rsidRPr="00100BF5" w:rsidTr="004D2A7A">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b/>
                <w:sz w:val="20"/>
                <w:szCs w:val="14"/>
                <w:lang w:val="en-GB"/>
              </w:rPr>
              <w:t xml:space="preserve"> </w:t>
            </w:r>
            <w:r w:rsidRPr="00100BF5">
              <w:rPr>
                <w:sz w:val="20"/>
                <w:szCs w:val="14"/>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16"/>
                <w:szCs w:val="14"/>
                <w:lang w:val="en-GB"/>
              </w:rPr>
              <w:t>Adjusted profit before tax</w:t>
            </w:r>
            <w:r w:rsidRPr="00100BF5">
              <w:rPr>
                <w:b/>
                <w:sz w:val="16"/>
                <w:szCs w:val="14"/>
                <w:vertAlign w:val="superscript"/>
                <w:lang w:val="en-GB"/>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346 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r w:rsidRPr="00100BF5">
              <w:rPr>
                <w:b/>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150 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54 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4"/>
                <w:lang w:val="en-GB"/>
              </w:rPr>
            </w:pPr>
            <w:r w:rsidRPr="00100BF5">
              <w:rPr>
                <w:b/>
                <w:sz w:val="20"/>
                <w:szCs w:val="14"/>
                <w:lang w:val="en-GB"/>
              </w:rPr>
              <w:t xml:space="preserve"> </w:t>
            </w:r>
            <w:r w:rsidRPr="00100BF5">
              <w:rPr>
                <w:b/>
                <w:sz w:val="20"/>
                <w:szCs w:val="1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20"/>
                <w:szCs w:val="14"/>
                <w:lang w:val="en-GB"/>
              </w:rPr>
              <w:t>Balance Sheet Information and Key Facts</w:t>
            </w:r>
            <w:r w:rsidRPr="00100BF5">
              <w:rPr>
                <w:b/>
                <w:sz w:val="20"/>
                <w:szCs w:val="14"/>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Loans and advances to customers at amortised cost</w:t>
            </w:r>
            <w:r w:rsidRPr="00100BF5">
              <w:rPr>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£64.0bn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£66.9bn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£66.2bn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Loans and advances to customers at fair value</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£17.3bn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£17.2bn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£14.4bn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Customer deposits</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£88.5bn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£85.2bn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£84.5bn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Total assets</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£87.8bn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£91.2bn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£87.1bn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Risk weighted assets</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£69.3bn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£72.8bn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£72.0bn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Number of employees (full time equivalent)</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2254D5" w:rsidP="004D2A7A">
            <w:pPr>
              <w:jc w:val="right"/>
              <w:rPr>
                <w:sz w:val="16"/>
                <w:szCs w:val="14"/>
                <w:lang w:val="en-GB"/>
              </w:rPr>
            </w:pPr>
            <w:r>
              <w:rPr>
                <w:sz w:val="16"/>
                <w:szCs w:val="14"/>
                <w:lang w:val="en-GB"/>
              </w:rPr>
              <w:t>10,6</w:t>
            </w:r>
            <w:r w:rsidR="00A12DCA" w:rsidRPr="00100BF5">
              <w:rPr>
                <w:sz w:val="16"/>
                <w:szCs w:val="14"/>
                <w:lang w:val="en-GB"/>
              </w:rPr>
              <w:t>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11,200 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13,200 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rsidTr="004D2A7A">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20"/>
                <w:szCs w:val="14"/>
                <w:lang w:val="en-GB"/>
              </w:rPr>
              <w:t xml:space="preserve"> </w:t>
            </w:r>
            <w:r w:rsidRPr="00100BF5">
              <w:rPr>
                <w:b/>
                <w:sz w:val="20"/>
                <w:szCs w:val="1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0810BB"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b/>
                <w:sz w:val="20"/>
                <w:szCs w:val="14"/>
                <w:lang w:val="en-GB"/>
              </w:rPr>
              <w:t xml:space="preserve"> </w:t>
            </w:r>
            <w:r w:rsidRPr="00100BF5">
              <w:rPr>
                <w:b/>
                <w:sz w:val="20"/>
                <w:szCs w:val="14"/>
                <w:vertAlign w:val="superscript"/>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center"/>
              <w:rPr>
                <w:b/>
                <w:sz w:val="20"/>
                <w:szCs w:val="14"/>
                <w:vertAlign w:val="superscript"/>
                <w:lang w:val="en-GB"/>
              </w:rPr>
            </w:pPr>
            <w:r w:rsidRPr="00100BF5">
              <w:rPr>
                <w:b/>
                <w:sz w:val="16"/>
                <w:szCs w:val="14"/>
                <w:lang w:val="en-GB"/>
              </w:rPr>
              <w:t>Adjusted</w:t>
            </w:r>
            <w:r w:rsidRPr="00100BF5">
              <w:rPr>
                <w:b/>
                <w:sz w:val="16"/>
                <w:szCs w:val="14"/>
                <w:vertAlign w:val="superscript"/>
                <w:lang w:val="en-GB"/>
              </w:rPr>
              <w:t>1</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center"/>
              <w:rPr>
                <w:b/>
                <w:sz w:val="16"/>
                <w:szCs w:val="14"/>
                <w:vertAlign w:val="superscript"/>
                <w:lang w:val="en-GB"/>
              </w:rPr>
            </w:pP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center"/>
              <w:rPr>
                <w:b/>
                <w:sz w:val="16"/>
                <w:szCs w:val="14"/>
                <w:lang w:val="en-GB"/>
              </w:rPr>
            </w:pPr>
            <w:r w:rsidRPr="00100BF5">
              <w:rPr>
                <w:b/>
                <w:sz w:val="16"/>
                <w:szCs w:val="14"/>
                <w:lang w:val="en-GB"/>
              </w:rPr>
              <w:t>Statutory</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szCs w:val="14"/>
                <w:lang w:val="en-GB"/>
              </w:rPr>
            </w:pPr>
            <w:r w:rsidRPr="00100BF5">
              <w:rPr>
                <w:b/>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b/>
                <w:sz w:val="20"/>
                <w:szCs w:val="14"/>
                <w:lang w:val="en-GB"/>
              </w:rPr>
              <w:t>Performance Measures</w:t>
            </w:r>
            <w:r w:rsidRPr="00100BF5">
              <w:rPr>
                <w:b/>
                <w:sz w:val="20"/>
                <w:szCs w:val="14"/>
                <w:vertAlign w:val="superscript"/>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b/>
                <w:sz w:val="20"/>
                <w:szCs w:val="14"/>
                <w:vertAlign w:val="superscript"/>
                <w:lang w:val="en-GB"/>
              </w:rPr>
            </w:pPr>
            <w:r w:rsidRPr="00100BF5">
              <w:rPr>
                <w:b/>
                <w:sz w:val="16"/>
                <w:szCs w:val="14"/>
                <w:lang w:val="en-GB"/>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30.06.11</w:t>
            </w:r>
            <w:r w:rsidRPr="00100BF5">
              <w:rPr>
                <w:b/>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b/>
                <w:sz w:val="16"/>
                <w:szCs w:val="14"/>
                <w:vertAlign w:val="superscript"/>
                <w:lang w:val="en-GB"/>
              </w:rPr>
            </w:pPr>
            <w:r w:rsidRPr="00100BF5">
              <w:rPr>
                <w:b/>
                <w:sz w:val="16"/>
                <w:szCs w:val="14"/>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4D2A7A">
            <w:pPr>
              <w:jc w:val="right"/>
              <w:rPr>
                <w:b/>
                <w:sz w:val="16"/>
                <w:szCs w:val="14"/>
                <w:lang w:val="en-GB"/>
              </w:rPr>
            </w:pPr>
            <w:r w:rsidRPr="00100BF5">
              <w:rPr>
                <w:b/>
                <w:sz w:val="16"/>
                <w:szCs w:val="14"/>
                <w:lang w:val="en-GB"/>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4"/>
                <w:lang w:val="en-GB"/>
              </w:rPr>
            </w:pPr>
            <w:r w:rsidRPr="00100BF5">
              <w:rPr>
                <w:b/>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rPr>
                <w:b/>
                <w:sz w:val="16"/>
                <w:szCs w:val="14"/>
                <w:lang w:val="en-GB"/>
              </w:rPr>
            </w:pPr>
            <w:r w:rsidRPr="00100BF5">
              <w:rPr>
                <w:sz w:val="16"/>
                <w:szCs w:val="14"/>
                <w:lang w:val="en-GB"/>
              </w:rPr>
              <w:t>Return on average equity</w:t>
            </w:r>
            <w:r w:rsidRPr="00100BF5">
              <w:rPr>
                <w:sz w:val="16"/>
                <w:szCs w:val="14"/>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6.0%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2.8%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0.6%</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(3.3%)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(1.2%)</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Return on average risk weighted assets</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0.7%</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0.1%</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(0.3%)</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(0.1%)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Loan loss rate (bps)</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123 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145 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173 </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123 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145 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173 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r w:rsidR="00A12DCA" w:rsidRPr="00100BF5" w:rsidTr="004D2A7A">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rPr>
                <w:sz w:val="16"/>
                <w:szCs w:val="14"/>
                <w:lang w:val="en-GB"/>
              </w:rPr>
            </w:pPr>
            <w:r w:rsidRPr="00100BF5">
              <w:rPr>
                <w:sz w:val="16"/>
                <w:szCs w:val="14"/>
                <w:lang w:val="en-GB"/>
              </w:rPr>
              <w:t>Cost: income ratio</w:t>
            </w:r>
            <w:r w:rsidRPr="00100BF5">
              <w:rPr>
                <w:sz w:val="16"/>
                <w:szCs w:val="14"/>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49%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56%</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57%</w:t>
            </w:r>
            <w:r w:rsidRPr="00100BF5">
              <w:rPr>
                <w:sz w:val="16"/>
                <w:szCs w:val="1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vertAlign w:val="superscript"/>
                <w:lang w:val="en-GB"/>
              </w:rPr>
            </w:pPr>
            <w:r w:rsidRPr="00100BF5">
              <w:rPr>
                <w:sz w:val="16"/>
                <w:szCs w:val="14"/>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79%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64%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4D2A7A">
            <w:pPr>
              <w:jc w:val="right"/>
              <w:rPr>
                <w:sz w:val="16"/>
                <w:szCs w:val="14"/>
                <w:lang w:val="en-GB"/>
              </w:rPr>
            </w:pPr>
            <w:r w:rsidRPr="00100BF5">
              <w:rPr>
                <w:sz w:val="16"/>
                <w:szCs w:val="14"/>
                <w:lang w:val="en-GB"/>
              </w:rPr>
              <w:t>57%</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lang w:val="en-GB"/>
              </w:rPr>
            </w:pPr>
            <w:r w:rsidRPr="00100BF5">
              <w:rPr>
                <w:sz w:val="16"/>
                <w:szCs w:val="14"/>
                <w:lang w:val="en-GB"/>
              </w:rPr>
              <w:t xml:space="preserve"> </w:t>
            </w:r>
          </w:p>
        </w:tc>
      </w:tr>
    </w:tbl>
    <w:p w:rsidR="00A12DCA" w:rsidRPr="00100BF5" w:rsidRDefault="00A12DCA">
      <w:pPr>
        <w:rPr>
          <w:i/>
          <w:sz w:val="14"/>
          <w:szCs w:val="14"/>
          <w:lang w:val="en-GB"/>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D6745F" w:rsidRPr="00100BF5" w:rsidRDefault="00D6745F" w:rsidP="00A12DCA">
      <w:pPr>
        <w:pStyle w:val="BodyText-BarcRA19"/>
        <w:spacing w:before="0" w:after="0"/>
        <w:rPr>
          <w:sz w:val="14"/>
          <w:szCs w:val="14"/>
        </w:rPr>
      </w:pPr>
    </w:p>
    <w:p w:rsidR="00D6745F" w:rsidRPr="00100BF5" w:rsidRDefault="00D6745F" w:rsidP="00A12DCA">
      <w:pPr>
        <w:pStyle w:val="BodyText-BarcRA19"/>
        <w:spacing w:before="0" w:after="0"/>
        <w:rPr>
          <w:sz w:val="14"/>
          <w:szCs w:val="14"/>
        </w:rPr>
      </w:pPr>
    </w:p>
    <w:p w:rsidR="00A12DCA" w:rsidRPr="00100BF5" w:rsidRDefault="00A12DCA" w:rsidP="00A12DCA">
      <w:pPr>
        <w:pStyle w:val="BodyText-BarcRA19"/>
        <w:spacing w:before="0" w:after="0"/>
        <w:rPr>
          <w:sz w:val="14"/>
          <w:szCs w:val="14"/>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12DCA" w:rsidRPr="00100BF5" w:rsidRDefault="00A12DCA" w:rsidP="00A12DCA">
      <w:pPr>
        <w:pStyle w:val="BodyText-BarcRA19"/>
        <w:spacing w:before="0" w:after="0"/>
        <w:rPr>
          <w:sz w:val="2"/>
          <w:szCs w:val="2"/>
        </w:rPr>
      </w:pPr>
    </w:p>
    <w:p w:rsidR="00AF72CF" w:rsidRPr="00100BF5" w:rsidRDefault="00AF72CF" w:rsidP="00A12DCA">
      <w:pPr>
        <w:pStyle w:val="BodyText-BarcRA19"/>
        <w:spacing w:before="0" w:after="0"/>
        <w:rPr>
          <w:sz w:val="2"/>
          <w:szCs w:val="2"/>
        </w:rPr>
      </w:pPr>
    </w:p>
    <w:p w:rsidR="00AF72CF" w:rsidRPr="00100BF5" w:rsidRDefault="00AF72CF" w:rsidP="00A12DCA">
      <w:pPr>
        <w:pStyle w:val="BodyText-BarcRA19"/>
        <w:spacing w:before="0" w:after="0"/>
        <w:rPr>
          <w:sz w:val="2"/>
          <w:szCs w:val="2"/>
        </w:rPr>
      </w:pPr>
    </w:p>
    <w:p w:rsidR="00A12DCA" w:rsidRPr="00100BF5" w:rsidRDefault="00A12DCA" w:rsidP="002D090C">
      <w:pPr>
        <w:pStyle w:val="HeadingLevel1-BarcRA15"/>
        <w:numPr>
          <w:ilvl w:val="0"/>
          <w:numId w:val="45"/>
        </w:numPr>
        <w:spacing w:after="0"/>
        <w:ind w:left="284" w:hanging="284"/>
        <w:rPr>
          <w:b w:val="0"/>
          <w:i/>
          <w:color w:val="auto"/>
          <w:sz w:val="14"/>
          <w:lang w:val="en-GB"/>
        </w:rPr>
      </w:pPr>
      <w:r w:rsidRPr="00100BF5">
        <w:rPr>
          <w:b w:val="0"/>
          <w:i/>
          <w:color w:val="auto"/>
          <w:sz w:val="14"/>
        </w:rPr>
        <w:t xml:space="preserve">Adjusted profit before tax and adjusted performance measures exclude the impact of goodwill impairment </w:t>
      </w:r>
      <w:r w:rsidRPr="00100BF5">
        <w:rPr>
          <w:b w:val="0"/>
          <w:i/>
          <w:color w:val="auto"/>
          <w:sz w:val="14"/>
          <w:lang w:val="en-GB"/>
        </w:rPr>
        <w:t xml:space="preserve">of </w:t>
      </w:r>
      <w:r w:rsidR="00882E4A">
        <w:rPr>
          <w:b w:val="0"/>
          <w:i/>
          <w:color w:val="auto"/>
          <w:sz w:val="14"/>
        </w:rPr>
        <w:t xml:space="preserve">£nil (H2 11: £123m, H1 </w:t>
      </w:r>
      <w:r w:rsidRPr="00100BF5">
        <w:rPr>
          <w:b w:val="0"/>
          <w:i/>
          <w:color w:val="auto"/>
          <w:sz w:val="14"/>
        </w:rPr>
        <w:t>11: £nil)</w:t>
      </w:r>
      <w:r w:rsidRPr="00100BF5">
        <w:rPr>
          <w:b w:val="0"/>
          <w:i/>
          <w:color w:val="auto"/>
          <w:sz w:val="14"/>
          <w:lang w:val="en-GB"/>
        </w:rPr>
        <w:t>, provision for interest rate hedging products redres</w:t>
      </w:r>
      <w:r w:rsidR="00882E4A">
        <w:rPr>
          <w:b w:val="0"/>
          <w:i/>
          <w:color w:val="auto"/>
          <w:sz w:val="14"/>
          <w:lang w:val="en-GB"/>
        </w:rPr>
        <w:t xml:space="preserve">s of £450m (H2 11: £nil, H1 </w:t>
      </w:r>
      <w:r w:rsidRPr="00100BF5">
        <w:rPr>
          <w:b w:val="0"/>
          <w:i/>
          <w:color w:val="auto"/>
          <w:sz w:val="14"/>
          <w:lang w:val="en-GB"/>
        </w:rPr>
        <w:t>11: £nil)</w:t>
      </w:r>
      <w:r w:rsidRPr="00100BF5">
        <w:rPr>
          <w:b w:val="0"/>
          <w:i/>
          <w:color w:val="auto"/>
          <w:sz w:val="14"/>
        </w:rPr>
        <w:t xml:space="preserve"> and loss on dispo</w:t>
      </w:r>
      <w:r w:rsidR="00882E4A">
        <w:rPr>
          <w:b w:val="0"/>
          <w:i/>
          <w:color w:val="auto"/>
          <w:sz w:val="14"/>
        </w:rPr>
        <w:t xml:space="preserve">sal of £nil (H2 11: £9m, H1 </w:t>
      </w:r>
      <w:r w:rsidRPr="00100BF5">
        <w:rPr>
          <w:b w:val="0"/>
          <w:i/>
          <w:color w:val="auto"/>
          <w:sz w:val="14"/>
        </w:rPr>
        <w:t>11: £64m).</w:t>
      </w:r>
    </w:p>
    <w:p w:rsidR="00A12DCA" w:rsidRPr="00100BF5" w:rsidRDefault="00A12DCA" w:rsidP="005F437E">
      <w:pPr>
        <w:pStyle w:val="HeadingLevel1-BarcRA"/>
      </w:pPr>
      <w:r w:rsidRPr="00100BF5">
        <w:br w:type="page"/>
      </w:r>
      <w:r w:rsidR="005F437E">
        <w:lastRenderedPageBreak/>
        <w:t>Results by Business</w:t>
      </w:r>
    </w:p>
    <w:tbl>
      <w:tblPr>
        <w:tblW w:w="0" w:type="auto"/>
        <w:tblLayout w:type="fixed"/>
        <w:tblLook w:val="0000" w:firstRow="0" w:lastRow="0" w:firstColumn="0" w:lastColumn="0" w:noHBand="0" w:noVBand="0"/>
      </w:tblPr>
      <w:tblGrid>
        <w:gridCol w:w="5370"/>
        <w:gridCol w:w="1080"/>
        <w:gridCol w:w="1080"/>
        <w:gridCol w:w="1080"/>
        <w:gridCol w:w="1080"/>
      </w:tblGrid>
      <w:tr w:rsidR="00A12DCA" w:rsidRPr="00100BF5">
        <w:tblPrEx>
          <w:tblCellMar>
            <w:top w:w="0" w:type="dxa"/>
            <w:bottom w:w="0" w:type="dxa"/>
          </w:tblCellMar>
        </w:tblPrEx>
        <w:trPr>
          <w:trHeight w:val="315"/>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i/>
                <w:sz w:val="14"/>
                <w:lang w:val="en-GB"/>
              </w:rPr>
            </w:pPr>
            <w:r w:rsidRPr="00100BF5">
              <w:rPr>
                <w:b/>
                <w:sz w:val="24"/>
                <w:lang w:val="en-GB"/>
              </w:rPr>
              <w:t>Corporate Banking</w:t>
            </w:r>
            <w:r w:rsidRPr="00100BF5">
              <w:rPr>
                <w:b/>
                <w:sz w:val="24"/>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4"/>
                <w:vertAlign w:val="superscript"/>
                <w:lang w:val="en-GB"/>
              </w:rPr>
            </w:pPr>
            <w:r w:rsidRPr="00100BF5">
              <w:rPr>
                <w:sz w:val="24"/>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lang w:val="en-GB"/>
              </w:rPr>
            </w:pPr>
            <w:r w:rsidRPr="00100BF5">
              <w:rPr>
                <w:sz w:val="24"/>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lang w:val="en-GB"/>
              </w:rPr>
            </w:pPr>
            <w:r w:rsidRPr="00100BF5">
              <w:rPr>
                <w:sz w:val="24"/>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4"/>
                <w:lang w:val="en-GB"/>
              </w:rPr>
            </w:pPr>
            <w:r w:rsidRPr="00100BF5">
              <w:rPr>
                <w:sz w:val="24"/>
                <w:lang w:val="en-GB"/>
              </w:rPr>
              <w:t xml:space="preserve"> </w:t>
            </w:r>
          </w:p>
        </w:tc>
      </w:tr>
      <w:tr w:rsidR="00A12DCA" w:rsidRPr="00100BF5">
        <w:tblPrEx>
          <w:tblCellMar>
            <w:top w:w="0" w:type="dxa"/>
            <w:bottom w:w="0" w:type="dxa"/>
          </w:tblCellMar>
        </w:tblPrEx>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lang w:val="en-GB"/>
              </w:rPr>
            </w:pPr>
            <w:r w:rsidRPr="00100BF5">
              <w:rPr>
                <w:sz w:val="16"/>
                <w:lang w:val="en-GB"/>
              </w:rPr>
              <w:t xml:space="preserve"> </w:t>
            </w:r>
            <w:r w:rsidRPr="00100BF5">
              <w:rPr>
                <w:b/>
                <w:sz w:val="20"/>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sz w:val="16"/>
                <w:lang w:val="en-GB"/>
              </w:rPr>
              <w:t xml:space="preserve"> </w:t>
            </w:r>
          </w:p>
        </w:tc>
      </w:tr>
      <w:tr w:rsidR="00A12DCA" w:rsidRPr="00100BF5" w:rsidTr="00F60632">
        <w:tblPrEx>
          <w:tblCellMar>
            <w:top w:w="0" w:type="dxa"/>
            <w:bottom w:w="0" w:type="dxa"/>
          </w:tblCellMar>
        </w:tblPrEx>
        <w:trPr>
          <w:trHeight w:val="285"/>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b/>
                <w:sz w:val="20"/>
                <w:lang w:val="en-GB"/>
              </w:rPr>
              <w:t>Half Year Ended 30 June 2012</w:t>
            </w:r>
            <w:r w:rsidRPr="00100BF5">
              <w:rPr>
                <w:b/>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vertAlign w:val="superscript"/>
                <w:lang w:val="en-GB"/>
              </w:rPr>
            </w:pPr>
            <w:r w:rsidRPr="00100BF5">
              <w:rPr>
                <w:b/>
                <w:sz w:val="16"/>
                <w:lang w:val="en-GB"/>
              </w:rPr>
              <w:t>UK</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Europe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RoW</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Total</w:t>
            </w:r>
          </w:p>
        </w:tc>
      </w:tr>
      <w:tr w:rsidR="00A12DCA" w:rsidRPr="00100BF5" w:rsidTr="00F60632">
        <w:tblPrEx>
          <w:tblCellMar>
            <w:top w:w="0" w:type="dxa"/>
            <w:bottom w:w="0" w:type="dxa"/>
          </w:tblCellMar>
        </w:tblPrEx>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rPr>
                <w:b/>
                <w:sz w:val="16"/>
                <w:lang w:val="en-GB"/>
              </w:rPr>
            </w:pPr>
            <w:r w:rsidRPr="00100BF5">
              <w:rPr>
                <w:b/>
                <w:sz w:val="16"/>
                <w:lang w:val="en-GB"/>
              </w:rPr>
              <w:t>Income Statement Information</w:t>
            </w:r>
            <w:r w:rsidRPr="00100BF5">
              <w:rPr>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£m</w:t>
            </w:r>
          </w:p>
        </w:tc>
      </w:tr>
      <w:tr w:rsidR="00A12DCA"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Income</w:t>
            </w:r>
            <w:r w:rsidRPr="00100BF5">
              <w:rPr>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1,150 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173 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204 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1,527 </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Credit impairment charges and other provisions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(146)</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(277)</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(425)</w:t>
            </w:r>
          </w:p>
        </w:tc>
      </w:tr>
      <w:tr w:rsidR="00A12DCA" w:rsidRPr="00100BF5" w:rsidTr="00F60632">
        <w:tblPrEx>
          <w:tblCellMar>
            <w:top w:w="0" w:type="dxa"/>
            <w:bottom w:w="0" w:type="dxa"/>
          </w:tblCellMar>
        </w:tblPrEx>
        <w:trPr>
          <w:trHeight w:val="48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Operating expenses (excluding provision for interest rate hedging products redress)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(515)</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(76)</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(163)</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(754)</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Provision for interest rate hedging products redress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(450)</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(450)</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D6745F" w:rsidP="00F60632">
            <w:pPr>
              <w:rPr>
                <w:sz w:val="16"/>
                <w:lang w:val="en-GB"/>
              </w:rPr>
            </w:pPr>
            <w:r w:rsidRPr="00100BF5">
              <w:rPr>
                <w:sz w:val="16"/>
                <w:szCs w:val="14"/>
              </w:rPr>
              <w:t xml:space="preserve">Other net </w:t>
            </w:r>
            <w:r w:rsidR="00B05D0A" w:rsidRPr="00100BF5">
              <w:rPr>
                <w:sz w:val="16"/>
                <w:szCs w:val="14"/>
              </w:rPr>
              <w:t>expense</w:t>
            </w:r>
            <w:r w:rsidR="00A12DCA"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(2)</w:t>
            </w:r>
          </w:p>
        </w:tc>
      </w:tr>
      <w:tr w:rsidR="00A12DCA"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b/>
                <w:sz w:val="16"/>
                <w:lang w:val="en-GB"/>
              </w:rPr>
              <w:t>Profit/(loss) before tax</w:t>
            </w:r>
            <w:r w:rsidRPr="00100BF5">
              <w:rPr>
                <w:b/>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vertAlign w:val="superscript"/>
                <w:lang w:val="en-GB"/>
              </w:rPr>
            </w:pPr>
            <w:r w:rsidRPr="00100BF5">
              <w:rPr>
                <w:b/>
                <w:sz w:val="16"/>
                <w:lang w:val="en-GB"/>
              </w:rPr>
              <w:t>37 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(180)</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39 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0632">
            <w:pPr>
              <w:jc w:val="right"/>
              <w:rPr>
                <w:b/>
                <w:sz w:val="16"/>
                <w:lang w:val="en-GB"/>
              </w:rPr>
            </w:pPr>
            <w:r w:rsidRPr="00100BF5">
              <w:rPr>
                <w:b/>
                <w:sz w:val="16"/>
                <w:lang w:val="en-GB"/>
              </w:rPr>
              <w:t>(104)</w:t>
            </w:r>
          </w:p>
        </w:tc>
      </w:tr>
      <w:tr w:rsidR="00A12DCA" w:rsidRPr="00100BF5" w:rsidTr="00F60632">
        <w:tblPrEx>
          <w:tblCellMar>
            <w:top w:w="0" w:type="dxa"/>
            <w:bottom w:w="0" w:type="dxa"/>
          </w:tblCellMar>
        </w:tblPrEx>
        <w:trPr>
          <w:trHeight w:hRule="exac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rPr>
                <w:b/>
                <w:sz w:val="16"/>
                <w:lang w:val="en-GB"/>
              </w:rPr>
            </w:pPr>
            <w:r w:rsidRPr="00100BF5">
              <w:rPr>
                <w:b/>
                <w:sz w:val="16"/>
                <w:lang w:val="en-GB"/>
              </w:rPr>
              <w:t xml:space="preserve"> </w:t>
            </w:r>
            <w:r w:rsidRPr="00100BF5">
              <w:rPr>
                <w:b/>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vertAlign w:val="superscript"/>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r>
      <w:tr w:rsidR="00A12DCA"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rPr>
                <w:b/>
                <w:sz w:val="16"/>
                <w:lang w:val="en-GB"/>
              </w:rPr>
            </w:pPr>
            <w:r w:rsidRPr="00100BF5">
              <w:rPr>
                <w:b/>
                <w:sz w:val="16"/>
                <w:lang w:val="en-GB"/>
              </w:rPr>
              <w:t>Adjusted profit/(loss) before tax</w:t>
            </w:r>
            <w:r w:rsidRPr="00100BF5">
              <w:rPr>
                <w:b/>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vertAlign w:val="superscript"/>
                <w:lang w:val="en-GB"/>
              </w:rPr>
            </w:pPr>
            <w:r w:rsidRPr="00100BF5">
              <w:rPr>
                <w:b/>
                <w:sz w:val="16"/>
                <w:lang w:val="en-GB"/>
              </w:rPr>
              <w:t>487 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(180)</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39 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0632">
            <w:pPr>
              <w:jc w:val="right"/>
              <w:rPr>
                <w:b/>
                <w:sz w:val="16"/>
                <w:lang w:val="en-GB"/>
              </w:rPr>
            </w:pPr>
            <w:r w:rsidRPr="00100BF5">
              <w:rPr>
                <w:b/>
                <w:sz w:val="16"/>
                <w:lang w:val="en-GB"/>
              </w:rPr>
              <w:t>346 </w:t>
            </w:r>
          </w:p>
        </w:tc>
      </w:tr>
      <w:tr w:rsidR="00A12DCA" w:rsidRPr="00100BF5" w:rsidTr="00F60632">
        <w:tblPrEx>
          <w:tblCellMar>
            <w:top w:w="0" w:type="dxa"/>
            <w:bottom w:w="0" w:type="dxa"/>
          </w:tblCellMar>
        </w:tblPrEx>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b/>
                <w:sz w:val="16"/>
                <w:lang w:val="en-GB"/>
              </w:rPr>
            </w:pPr>
            <w:r w:rsidRPr="00100BF5">
              <w:rPr>
                <w:b/>
                <w:sz w:val="16"/>
                <w:lang w:val="en-GB"/>
              </w:rPr>
              <w:t xml:space="preserve"> </w:t>
            </w:r>
            <w:r w:rsidRPr="00100BF5">
              <w:rPr>
                <w:b/>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vertAlign w:val="superscript"/>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r>
      <w:tr w:rsidR="00A12DCA" w:rsidRPr="00100BF5" w:rsidTr="00F60632">
        <w:tblPrEx>
          <w:tblCellMar>
            <w:top w:w="0" w:type="dxa"/>
            <w:bottom w:w="0" w:type="dxa"/>
          </w:tblCellMar>
        </w:tblPrEx>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rPr>
                <w:b/>
                <w:sz w:val="16"/>
                <w:lang w:val="en-GB"/>
              </w:rPr>
            </w:pPr>
            <w:r w:rsidRPr="00100BF5">
              <w:rPr>
                <w:b/>
                <w:sz w:val="16"/>
                <w:lang w:val="en-GB"/>
              </w:rPr>
              <w:t>Balance Sheet Information</w:t>
            </w:r>
            <w:r w:rsidRPr="00100BF5">
              <w:rPr>
                <w:b/>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vertAlign w:val="superscript"/>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jc w:val="right"/>
              <w:rPr>
                <w:b/>
                <w:sz w:val="16"/>
                <w:lang w:val="en-GB"/>
              </w:rPr>
            </w:pPr>
            <w:r w:rsidRPr="00100BF5">
              <w:rPr>
                <w:b/>
                <w:sz w:val="16"/>
                <w:lang w:val="en-GB"/>
              </w:rPr>
              <w:t xml:space="preserve"> </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b/>
                <w:sz w:val="16"/>
                <w:lang w:val="en-GB"/>
              </w:rPr>
            </w:pPr>
            <w:r w:rsidRPr="00100BF5">
              <w:rPr>
                <w:sz w:val="16"/>
                <w:lang w:val="en-GB"/>
              </w:rPr>
              <w:t>Loans and advances to customers at amortised cost</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£51.1bn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£7.5bn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£5.4bn</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£64.0bn</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Loans and advances to customers at fair value</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£17.2bn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£0.1bn</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£17.3bn</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Customer deposits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£72.6bn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£5.6bn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£10.3bn</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£88.5bn</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Risk weighted assets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£49.9bn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£11.5bn</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£7.9bn</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£69.3bn</w:t>
            </w:r>
          </w:p>
        </w:tc>
      </w:tr>
    </w:tbl>
    <w:p w:rsidR="00D54056" w:rsidRPr="00100BF5" w:rsidRDefault="00D54056"/>
    <w:tbl>
      <w:tblPr>
        <w:tblW w:w="0" w:type="auto"/>
        <w:tblLayout w:type="fixed"/>
        <w:tblLook w:val="0000" w:firstRow="0" w:lastRow="0" w:firstColumn="0" w:lastColumn="0" w:noHBand="0" w:noVBand="0"/>
      </w:tblPr>
      <w:tblGrid>
        <w:gridCol w:w="5370"/>
        <w:gridCol w:w="1080"/>
        <w:gridCol w:w="1080"/>
        <w:gridCol w:w="1080"/>
        <w:gridCol w:w="1080"/>
      </w:tblGrid>
      <w:tr w:rsidR="00A12DCA" w:rsidRPr="00100BF5">
        <w:tblPrEx>
          <w:tblCellMar>
            <w:top w:w="0" w:type="dxa"/>
            <w:bottom w:w="0" w:type="dxa"/>
          </w:tblCellMar>
        </w:tblPrEx>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20"/>
                <w:lang w:val="en-GB"/>
              </w:rPr>
              <w:t xml:space="preserve"> </w:t>
            </w:r>
            <w:r w:rsidRPr="00100BF5">
              <w:rPr>
                <w:b/>
                <w:sz w:val="20"/>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vertAlign w:val="superscript"/>
                <w:lang w:val="en-GB"/>
              </w:rPr>
            </w:pPr>
            <w:r w:rsidRPr="00100BF5">
              <w:rPr>
                <w:sz w:val="20"/>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0"/>
                <w:lang w:val="en-GB"/>
              </w:rPr>
            </w:pPr>
            <w:r w:rsidRPr="00100BF5">
              <w:rPr>
                <w:sz w:val="20"/>
                <w:lang w:val="en-GB"/>
              </w:rPr>
              <w:t xml:space="preserve"> </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20"/>
                <w:lang w:val="en-GB"/>
              </w:rPr>
            </w:pPr>
            <w:r w:rsidRPr="00100BF5">
              <w:rPr>
                <w:b/>
                <w:sz w:val="20"/>
                <w:lang w:val="en-GB"/>
              </w:rPr>
              <w:t>Half Year Ended 31 December 2011</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60632">
        <w:tblPrEx>
          <w:tblCellMar>
            <w:top w:w="0" w:type="dxa"/>
            <w:bottom w:w="0" w:type="dxa"/>
          </w:tblCellMar>
        </w:tblPrEx>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b/>
                <w:sz w:val="16"/>
                <w:lang w:val="en-GB"/>
              </w:rPr>
              <w:t>Income Statement Information</w:t>
            </w:r>
            <w:r w:rsidRPr="00100BF5">
              <w:rPr>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Income</w:t>
            </w:r>
            <w:r w:rsidRPr="00100BF5">
              <w:rPr>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1,064 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240 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236 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1,540 </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Credit impairment charges and other provisions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(192)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(288)</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(55)</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(535)</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Operating expenses (excluding goodwill impairment)</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(541)</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(117)</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(200)</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(858)</w:t>
            </w:r>
          </w:p>
        </w:tc>
      </w:tr>
      <w:tr w:rsidR="00A12DCA"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rPr>
                <w:sz w:val="16"/>
                <w:lang w:val="en-GB"/>
              </w:rPr>
            </w:pPr>
            <w:r w:rsidRPr="00100BF5">
              <w:rPr>
                <w:sz w:val="16"/>
                <w:lang w:val="en-GB"/>
              </w:rPr>
              <w:t>Goodwill impairment</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vertAlign w:val="superscript"/>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(123)</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F60632">
            <w:pPr>
              <w:jc w:val="right"/>
              <w:rPr>
                <w:sz w:val="16"/>
                <w:lang w:val="en-GB"/>
              </w:rPr>
            </w:pPr>
            <w:r w:rsidRPr="00100BF5">
              <w:rPr>
                <w:sz w:val="16"/>
                <w:lang w:val="en-GB"/>
              </w:rPr>
              <w:t>(123)</w:t>
            </w:r>
          </w:p>
        </w:tc>
      </w:tr>
      <w:tr w:rsidR="00D6745F" w:rsidRPr="00100BF5" w:rsidTr="00F60632">
        <w:tblPrEx>
          <w:tblCellMar>
            <w:top w:w="0" w:type="dxa"/>
            <w:bottom w:w="0" w:type="dxa"/>
          </w:tblCellMar>
        </w:tblPrEx>
        <w:trPr>
          <w:trHeight w:val="240"/>
        </w:trPr>
        <w:tc>
          <w:tcPr>
            <w:tcW w:w="537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523374">
            <w:pPr>
              <w:rPr>
                <w:sz w:val="16"/>
                <w:lang w:val="en-GB"/>
              </w:rPr>
            </w:pPr>
            <w:r w:rsidRPr="00100BF5">
              <w:rPr>
                <w:sz w:val="16"/>
                <w:szCs w:val="14"/>
              </w:rPr>
              <w:t>Other net income/(expense)</w:t>
            </w:r>
          </w:p>
        </w:tc>
        <w:tc>
          <w:tcPr>
            <w:tcW w:w="108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3 </w:t>
            </w:r>
          </w:p>
        </w:tc>
        <w:tc>
          <w:tcPr>
            <w:tcW w:w="108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 </w:t>
            </w:r>
          </w:p>
        </w:tc>
        <w:tc>
          <w:tcPr>
            <w:tcW w:w="108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(9)</w:t>
            </w:r>
          </w:p>
        </w:tc>
        <w:tc>
          <w:tcPr>
            <w:tcW w:w="108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(6)</w:t>
            </w:r>
          </w:p>
        </w:tc>
      </w:tr>
      <w:tr w:rsidR="00D6745F"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b/>
                <w:sz w:val="16"/>
                <w:lang w:val="en-GB"/>
              </w:rPr>
              <w:t>Profit/(loss) before tax</w:t>
            </w:r>
            <w:r w:rsidRPr="00100BF5">
              <w:rPr>
                <w:b/>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334 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(288)</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(28)</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D6745F" w:rsidRPr="00100BF5" w:rsidRDefault="00D6745F" w:rsidP="00F60632">
            <w:pPr>
              <w:jc w:val="right"/>
              <w:rPr>
                <w:b/>
                <w:sz w:val="16"/>
                <w:lang w:val="en-GB"/>
              </w:rPr>
            </w:pPr>
            <w:r w:rsidRPr="00100BF5">
              <w:rPr>
                <w:b/>
                <w:sz w:val="16"/>
                <w:lang w:val="en-GB"/>
              </w:rPr>
              <w:t>18 </w:t>
            </w:r>
          </w:p>
        </w:tc>
      </w:tr>
      <w:tr w:rsidR="00D6745F" w:rsidRPr="00100BF5" w:rsidTr="00F60632">
        <w:tblPrEx>
          <w:tblCellMar>
            <w:top w:w="0" w:type="dxa"/>
            <w:bottom w:w="0" w:type="dxa"/>
          </w:tblCellMar>
        </w:tblPrEx>
        <w:trPr>
          <w:trHeight w:hRule="exac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 xml:space="preserve"> </w:t>
            </w:r>
            <w:r w:rsidRPr="00100BF5">
              <w:rPr>
                <w:b/>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Adjusted profit/(loss) before tax</w:t>
            </w:r>
            <w:r w:rsidRPr="00100BF5">
              <w:rPr>
                <w:b/>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334 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(165)</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(19)</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D6745F" w:rsidRPr="00100BF5" w:rsidRDefault="00D6745F" w:rsidP="00F60632">
            <w:pPr>
              <w:jc w:val="right"/>
              <w:rPr>
                <w:b/>
                <w:sz w:val="16"/>
                <w:lang w:val="en-GB"/>
              </w:rPr>
            </w:pPr>
            <w:r w:rsidRPr="00100BF5">
              <w:rPr>
                <w:b/>
                <w:sz w:val="16"/>
                <w:lang w:val="en-GB"/>
              </w:rPr>
              <w:t>150 </w:t>
            </w:r>
          </w:p>
        </w:tc>
      </w:tr>
      <w:tr w:rsidR="00D6745F" w:rsidRPr="00100BF5">
        <w:tblPrEx>
          <w:tblCellMar>
            <w:top w:w="0" w:type="dxa"/>
            <w:bottom w:w="0" w:type="dxa"/>
          </w:tblCellMar>
        </w:tblPrEx>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pPr>
              <w:rPr>
                <w:b/>
                <w:sz w:val="16"/>
                <w:lang w:val="en-GB"/>
              </w:rPr>
            </w:pPr>
            <w:r w:rsidRPr="00100BF5">
              <w:rPr>
                <w:b/>
                <w:sz w:val="16"/>
                <w:lang w:val="en-GB"/>
              </w:rPr>
              <w:t xml:space="preserve"> </w:t>
            </w:r>
            <w:r w:rsidRPr="00100BF5">
              <w:rPr>
                <w:b/>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bottom"/>
          </w:tcPr>
          <w:p w:rsidR="00D6745F" w:rsidRPr="00100BF5" w:rsidRDefault="00D6745F">
            <w:pPr>
              <w:jc w:val="right"/>
              <w:rPr>
                <w:b/>
                <w:sz w:val="16"/>
                <w:vertAlign w:val="superscript"/>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bottom"/>
          </w:tcPr>
          <w:p w:rsidR="00D6745F" w:rsidRPr="00100BF5" w:rsidRDefault="00D6745F">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bottom"/>
          </w:tcPr>
          <w:p w:rsidR="00D6745F" w:rsidRPr="00100BF5" w:rsidRDefault="00D6745F">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bottom"/>
          </w:tcPr>
          <w:p w:rsidR="00D6745F" w:rsidRPr="00100BF5" w:rsidRDefault="00D6745F">
            <w:pPr>
              <w:jc w:val="right"/>
              <w:rPr>
                <w:b/>
                <w:sz w:val="16"/>
                <w:lang w:val="en-GB"/>
              </w:rPr>
            </w:pPr>
            <w:r w:rsidRPr="00100BF5">
              <w:rPr>
                <w:b/>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Balance Sheet Information</w:t>
            </w:r>
            <w:r w:rsidRPr="00100BF5">
              <w:rPr>
                <w:b/>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D6745F" w:rsidRPr="00100BF5" w:rsidRDefault="00D6745F">
            <w:pPr>
              <w:jc w:val="right"/>
              <w:rPr>
                <w:b/>
                <w:sz w:val="16"/>
                <w:vertAlign w:val="superscript"/>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D6745F" w:rsidRPr="00100BF5" w:rsidRDefault="00D6745F">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D6745F" w:rsidRPr="00100BF5" w:rsidRDefault="00D6745F">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D6745F" w:rsidRPr="00100BF5" w:rsidRDefault="00D6745F">
            <w:pPr>
              <w:jc w:val="right"/>
              <w:rPr>
                <w:b/>
                <w:sz w:val="16"/>
                <w:lang w:val="en-GB"/>
              </w:rPr>
            </w:pPr>
            <w:r w:rsidRPr="00100BF5">
              <w:rPr>
                <w:b/>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sz w:val="16"/>
                <w:lang w:val="en-GB"/>
              </w:rPr>
              <w:t>Loans and advances to customers at amortised cost</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£50.6bn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£11.2bn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£5.1bn</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£66.9bn</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Loans and advances to customers at fair value</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£17.2bn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£17.2bn</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Customer deposits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£69.9bn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£5.6bn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£9.7bn</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£85.2bn</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Risk weighted assets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£49.9bn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£15.4bn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£7.5bn</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£72.8bn</w:t>
            </w:r>
          </w:p>
        </w:tc>
      </w:tr>
    </w:tbl>
    <w:p w:rsidR="00D54056" w:rsidRPr="00100BF5" w:rsidRDefault="00D54056"/>
    <w:tbl>
      <w:tblPr>
        <w:tblW w:w="0" w:type="auto"/>
        <w:tblLayout w:type="fixed"/>
        <w:tblLook w:val="0000" w:firstRow="0" w:lastRow="0" w:firstColumn="0" w:lastColumn="0" w:noHBand="0" w:noVBand="0"/>
      </w:tblPr>
      <w:tblGrid>
        <w:gridCol w:w="5370"/>
        <w:gridCol w:w="1080"/>
        <w:gridCol w:w="1080"/>
        <w:gridCol w:w="1080"/>
        <w:gridCol w:w="1080"/>
      </w:tblGrid>
      <w:tr w:rsidR="00D6745F" w:rsidRPr="00100BF5">
        <w:tblPrEx>
          <w:tblCellMar>
            <w:top w:w="0" w:type="dxa"/>
            <w:bottom w:w="0" w:type="dxa"/>
          </w:tblCellMar>
        </w:tblPrEx>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pPr>
              <w:rPr>
                <w:sz w:val="16"/>
                <w:lang w:val="en-GB"/>
              </w:rPr>
            </w:pPr>
            <w:r w:rsidRPr="00100BF5">
              <w:rPr>
                <w:b/>
                <w:sz w:val="20"/>
                <w:lang w:val="en-GB"/>
              </w:rPr>
              <w:t xml:space="preserve"> </w:t>
            </w:r>
            <w:r w:rsidRPr="00100BF5">
              <w:rPr>
                <w:b/>
                <w:sz w:val="20"/>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b/>
                <w:sz w:val="20"/>
                <w:vertAlign w:val="superscript"/>
                <w:lang w:val="en-GB"/>
              </w:rPr>
            </w:pPr>
            <w:r w:rsidRPr="00100BF5">
              <w:rPr>
                <w:sz w:val="20"/>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20"/>
                <w:lang w:val="en-GB"/>
              </w:rPr>
            </w:pPr>
            <w:r w:rsidRPr="00100BF5">
              <w:rPr>
                <w:sz w:val="20"/>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20"/>
                <w:lang w:val="en-GB"/>
              </w:rPr>
            </w:pPr>
            <w:r w:rsidRPr="00100BF5">
              <w:rPr>
                <w:sz w:val="20"/>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20"/>
                <w:lang w:val="en-GB"/>
              </w:rPr>
            </w:pPr>
            <w:r w:rsidRPr="00100BF5">
              <w:rPr>
                <w:sz w:val="20"/>
                <w:lang w:val="en-GB"/>
              </w:rPr>
              <w:t xml:space="preserve"> </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20"/>
                <w:lang w:val="en-GB"/>
              </w:rPr>
            </w:pPr>
            <w:r w:rsidRPr="00100BF5">
              <w:rPr>
                <w:b/>
                <w:sz w:val="20"/>
                <w:lang w:val="en-GB"/>
              </w:rPr>
              <w:t>Half Year Ended 30 June 2011</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16"/>
                <w:vertAlign w:val="superscript"/>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pPr>
              <w:jc w:val="right"/>
              <w:rPr>
                <w:sz w:val="16"/>
                <w:lang w:val="en-GB"/>
              </w:rPr>
            </w:pPr>
            <w:r w:rsidRPr="00100BF5">
              <w:rPr>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b/>
                <w:sz w:val="16"/>
                <w:lang w:val="en-GB"/>
              </w:rPr>
              <w:t>Income Statement Information</w:t>
            </w:r>
            <w:r w:rsidRPr="00100BF5">
              <w:rPr>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vertAlign w:val="superscript"/>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pPr>
              <w:jc w:val="right"/>
              <w:rPr>
                <w:sz w:val="16"/>
                <w:lang w:val="en-GB"/>
              </w:rPr>
            </w:pPr>
            <w:r w:rsidRPr="00100BF5">
              <w:rPr>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Income</w:t>
            </w:r>
            <w:r w:rsidRPr="00100BF5">
              <w:rPr>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1,135 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200 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233 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1,568 </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Credit impairment charges and other provisions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(163)</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(428)</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(21)</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(612)</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Operating expenses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(558)</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(131)</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(212)</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(901)</w:t>
            </w:r>
          </w:p>
        </w:tc>
      </w:tr>
      <w:tr w:rsidR="00D6745F" w:rsidRPr="00100BF5" w:rsidTr="00F60632">
        <w:tblPrEx>
          <w:tblCellMar>
            <w:top w:w="0" w:type="dxa"/>
            <w:bottom w:w="0" w:type="dxa"/>
          </w:tblCellMar>
        </w:tblPrEx>
        <w:trPr>
          <w:trHeight w:val="240"/>
        </w:trPr>
        <w:tc>
          <w:tcPr>
            <w:tcW w:w="537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szCs w:val="14"/>
              </w:rPr>
              <w:t>Other net expense</w:t>
            </w:r>
          </w:p>
        </w:tc>
        <w:tc>
          <w:tcPr>
            <w:tcW w:w="108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(1)</w:t>
            </w:r>
          </w:p>
        </w:tc>
        <w:tc>
          <w:tcPr>
            <w:tcW w:w="108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 </w:t>
            </w:r>
          </w:p>
        </w:tc>
        <w:tc>
          <w:tcPr>
            <w:tcW w:w="1080" w:type="dxa"/>
            <w:tcBorders>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(64)</w:t>
            </w:r>
          </w:p>
        </w:tc>
        <w:tc>
          <w:tcPr>
            <w:tcW w:w="1080" w:type="dxa"/>
            <w:tcBorders>
              <w:left w:val="nil"/>
              <w:bottom w:val="single" w:sz="6" w:space="0" w:color="969696"/>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(65)</w:t>
            </w:r>
          </w:p>
        </w:tc>
      </w:tr>
      <w:tr w:rsidR="00D6745F"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b/>
                <w:sz w:val="16"/>
                <w:lang w:val="en-GB"/>
              </w:rPr>
              <w:t>Profit/(loss) before tax</w:t>
            </w:r>
            <w:r w:rsidRPr="00100BF5">
              <w:rPr>
                <w:b/>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413 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(359)</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(64)</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D6745F" w:rsidRPr="00100BF5" w:rsidRDefault="00D6745F" w:rsidP="00F60632">
            <w:pPr>
              <w:jc w:val="right"/>
              <w:rPr>
                <w:b/>
                <w:sz w:val="16"/>
                <w:lang w:val="en-GB"/>
              </w:rPr>
            </w:pPr>
            <w:r w:rsidRPr="00100BF5">
              <w:rPr>
                <w:b/>
                <w:sz w:val="16"/>
                <w:lang w:val="en-GB"/>
              </w:rPr>
              <w:t>(10)</w:t>
            </w:r>
          </w:p>
        </w:tc>
      </w:tr>
      <w:tr w:rsidR="00D6745F" w:rsidRPr="00100BF5" w:rsidTr="00F60632">
        <w:tblPrEx>
          <w:tblCellMar>
            <w:top w:w="0" w:type="dxa"/>
            <w:bottom w:w="0" w:type="dxa"/>
          </w:tblCellMar>
        </w:tblPrEx>
        <w:trPr>
          <w:trHeight w:hRule="exac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 xml:space="preserve"> </w:t>
            </w:r>
            <w:r w:rsidRPr="00100BF5">
              <w:rPr>
                <w:b/>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Adjusted profit/(loss) before tax</w:t>
            </w:r>
            <w:r w:rsidRPr="00100BF5">
              <w:rPr>
                <w:b/>
                <w:sz w:val="16"/>
                <w:vertAlign w:val="superscript"/>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413 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(359)</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D6745F" w:rsidRPr="00100BF5" w:rsidRDefault="00D6745F" w:rsidP="00F60632">
            <w:pPr>
              <w:jc w:val="right"/>
              <w:rPr>
                <w:b/>
                <w:sz w:val="16"/>
                <w:lang w:val="en-GB"/>
              </w:rPr>
            </w:pPr>
            <w:r w:rsidRPr="00100BF5">
              <w:rPr>
                <w:b/>
                <w:sz w:val="16"/>
                <w:lang w:val="en-GB"/>
              </w:rPr>
              <w:t>54 </w:t>
            </w:r>
          </w:p>
        </w:tc>
      </w:tr>
      <w:tr w:rsidR="00D6745F" w:rsidRPr="00100BF5" w:rsidTr="00F60632">
        <w:tblPrEx>
          <w:tblCellMar>
            <w:top w:w="0" w:type="dxa"/>
            <w:bottom w:w="0" w:type="dxa"/>
          </w:tblCellMar>
        </w:tblPrEx>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 xml:space="preserve"> </w:t>
            </w:r>
            <w:r w:rsidRPr="00100BF5">
              <w:rPr>
                <w:b/>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b/>
                <w:sz w:val="16"/>
                <w:lang w:val="en-GB"/>
              </w:rPr>
              <w:t>Balance Sheet Information</w:t>
            </w:r>
            <w:r w:rsidRPr="00100BF5">
              <w:rPr>
                <w:b/>
                <w:sz w:val="16"/>
                <w:vertAlign w:val="superscript"/>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vertAlign w:val="superscript"/>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D6745F" w:rsidRPr="00100BF5" w:rsidRDefault="00D6745F" w:rsidP="00F60632">
            <w:pPr>
              <w:jc w:val="right"/>
              <w:rPr>
                <w:b/>
                <w:sz w:val="16"/>
                <w:lang w:val="en-GB"/>
              </w:rPr>
            </w:pPr>
            <w:r w:rsidRPr="00100BF5">
              <w:rPr>
                <w:b/>
                <w:sz w:val="16"/>
                <w:lang w:val="en-GB"/>
              </w:rPr>
              <w:t xml:space="preserve"> </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b/>
                <w:sz w:val="16"/>
                <w:lang w:val="en-GB"/>
              </w:rPr>
            </w:pPr>
            <w:r w:rsidRPr="00100BF5">
              <w:rPr>
                <w:sz w:val="16"/>
                <w:lang w:val="en-GB"/>
              </w:rPr>
              <w:t>Loans and advances to customers at amortised cost</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£48.9bn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£12.5bn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£4.8bn</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£66.2bn</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Loans and advances to customers at fair value</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£14.4bn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£14.4bn</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Customer deposits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£67.5bn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£7.2bn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£9.8bn</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£84.5bn</w:t>
            </w:r>
          </w:p>
        </w:tc>
      </w:tr>
      <w:tr w:rsidR="00D6745F" w:rsidRPr="00100BF5" w:rsidTr="00F60632">
        <w:tblPrEx>
          <w:tblCellMar>
            <w:top w:w="0" w:type="dxa"/>
            <w:bottom w:w="0" w:type="dxa"/>
          </w:tblCellMar>
        </w:tblPrEx>
        <w:trPr>
          <w:trHeight w:val="240"/>
        </w:trPr>
        <w:tc>
          <w:tcPr>
            <w:tcW w:w="537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rPr>
                <w:sz w:val="16"/>
                <w:lang w:val="en-GB"/>
              </w:rPr>
            </w:pPr>
            <w:r w:rsidRPr="00100BF5">
              <w:rPr>
                <w:sz w:val="16"/>
                <w:lang w:val="en-GB"/>
              </w:rPr>
              <w:t>Risk weighted assets</w:t>
            </w:r>
            <w:r w:rsidRPr="00100BF5">
              <w:rPr>
                <w:sz w:val="16"/>
                <w:vertAlign w:val="superscript"/>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vertAlign w:val="superscript"/>
                <w:lang w:val="en-GB"/>
              </w:rPr>
            </w:pPr>
            <w:r w:rsidRPr="00100BF5">
              <w:rPr>
                <w:sz w:val="16"/>
                <w:lang w:val="en-GB"/>
              </w:rPr>
              <w:t>£47.1bn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£17.2bn</w:t>
            </w:r>
          </w:p>
        </w:tc>
        <w:tc>
          <w:tcPr>
            <w:tcW w:w="1080" w:type="dxa"/>
            <w:tcBorders>
              <w:top w:val="nil"/>
              <w:left w:val="nil"/>
              <w:bottom w:val="nil"/>
              <w:right w:val="nil"/>
            </w:tcBorders>
            <w:shd w:val="clear" w:color="auto" w:fill="FFFFFF"/>
            <w:tcMar>
              <w:left w:w="36" w:type="dxa"/>
              <w:right w:w="36" w:type="dxa"/>
            </w:tcMar>
            <w:vAlign w:val="center"/>
          </w:tcPr>
          <w:p w:rsidR="00D6745F" w:rsidRPr="00100BF5" w:rsidRDefault="00D6745F" w:rsidP="00F60632">
            <w:pPr>
              <w:jc w:val="right"/>
              <w:rPr>
                <w:sz w:val="16"/>
                <w:lang w:val="en-GB"/>
              </w:rPr>
            </w:pPr>
            <w:r w:rsidRPr="00100BF5">
              <w:rPr>
                <w:sz w:val="16"/>
                <w:lang w:val="en-GB"/>
              </w:rPr>
              <w:t>£7.7bn</w:t>
            </w:r>
          </w:p>
        </w:tc>
        <w:tc>
          <w:tcPr>
            <w:tcW w:w="1080" w:type="dxa"/>
            <w:tcBorders>
              <w:top w:val="nil"/>
              <w:left w:val="nil"/>
              <w:bottom w:val="nil"/>
              <w:right w:val="nil"/>
            </w:tcBorders>
            <w:shd w:val="clear" w:color="auto" w:fill="EAEAEA"/>
            <w:tcMar>
              <w:left w:w="36" w:type="dxa"/>
              <w:right w:w="36" w:type="dxa"/>
            </w:tcMar>
            <w:vAlign w:val="center"/>
          </w:tcPr>
          <w:p w:rsidR="00D6745F" w:rsidRPr="00100BF5" w:rsidRDefault="00D6745F" w:rsidP="00F60632">
            <w:pPr>
              <w:jc w:val="right"/>
              <w:rPr>
                <w:sz w:val="16"/>
                <w:lang w:val="en-GB"/>
              </w:rPr>
            </w:pPr>
            <w:r w:rsidRPr="00100BF5">
              <w:rPr>
                <w:sz w:val="16"/>
                <w:lang w:val="en-GB"/>
              </w:rPr>
              <w:t>£72.0bn</w:t>
            </w:r>
          </w:p>
        </w:tc>
      </w:tr>
    </w:tbl>
    <w:p w:rsidR="00A12DCA" w:rsidRPr="00100BF5" w:rsidRDefault="00A12DCA" w:rsidP="005F437E">
      <w:pPr>
        <w:pStyle w:val="HeadingLevel1-BarcRA"/>
      </w:pPr>
      <w:r w:rsidRPr="00100BF5">
        <w:br w:type="page"/>
      </w:r>
      <w:r w:rsidR="005F437E">
        <w:lastRenderedPageBreak/>
        <w:t>Results by Business</w:t>
      </w:r>
    </w:p>
    <w:p w:rsidR="00A12DCA" w:rsidRPr="00100BF5" w:rsidRDefault="00A12DCA" w:rsidP="00A12DCA">
      <w:pPr>
        <w:pStyle w:val="HeadingLevel1-BarcRA16"/>
        <w:spacing w:after="0"/>
        <w:jc w:val="left"/>
        <w:rPr>
          <w:color w:val="auto"/>
          <w:lang w:val="en-GB"/>
        </w:rPr>
      </w:pPr>
      <w:r w:rsidRPr="00100BF5">
        <w:rPr>
          <w:color w:val="auto"/>
        </w:rPr>
        <w:t>Corporate</w:t>
      </w:r>
      <w:r w:rsidRPr="00100BF5">
        <w:rPr>
          <w:color w:val="auto"/>
          <w:lang w:val="en-GB"/>
        </w:rPr>
        <w:t xml:space="preserve"> Banking</w:t>
      </w:r>
    </w:p>
    <w:p w:rsidR="00A12DCA" w:rsidRPr="00100BF5" w:rsidRDefault="00A12DCA" w:rsidP="00A12DCA">
      <w:pPr>
        <w:pStyle w:val="Normal24"/>
        <w:ind w:left="180" w:hanging="180"/>
        <w:rPr>
          <w:b/>
          <w:szCs w:val="20"/>
        </w:rPr>
      </w:pPr>
    </w:p>
    <w:p w:rsidR="00A12DCA" w:rsidRPr="00100BF5" w:rsidRDefault="00A12DCA" w:rsidP="00A12DCA">
      <w:pPr>
        <w:pStyle w:val="Normal24"/>
        <w:rPr>
          <w:b/>
          <w:bCs/>
          <w:sz w:val="20"/>
          <w:szCs w:val="20"/>
        </w:rPr>
      </w:pPr>
      <w:r w:rsidRPr="00100BF5">
        <w:rPr>
          <w:b/>
          <w:bCs/>
          <w:sz w:val="20"/>
          <w:szCs w:val="20"/>
        </w:rPr>
        <w:t>Income Statement – H1</w:t>
      </w:r>
      <w:r w:rsidR="00D6381B">
        <w:rPr>
          <w:b/>
          <w:bCs/>
          <w:sz w:val="20"/>
          <w:szCs w:val="20"/>
        </w:rPr>
        <w:t xml:space="preserve"> </w:t>
      </w:r>
      <w:r w:rsidRPr="00100BF5">
        <w:rPr>
          <w:b/>
          <w:bCs/>
          <w:sz w:val="20"/>
          <w:szCs w:val="20"/>
        </w:rPr>
        <w:t>12 compared to H1</w:t>
      </w:r>
      <w:r w:rsidR="00D6381B">
        <w:rPr>
          <w:b/>
          <w:bCs/>
          <w:sz w:val="20"/>
          <w:szCs w:val="20"/>
        </w:rPr>
        <w:t xml:space="preserve"> </w:t>
      </w:r>
      <w:r w:rsidRPr="00100BF5">
        <w:rPr>
          <w:b/>
          <w:bCs/>
          <w:sz w:val="20"/>
          <w:szCs w:val="20"/>
        </w:rPr>
        <w:t>11</w:t>
      </w:r>
    </w:p>
    <w:p w:rsidR="00A12DCA" w:rsidRPr="00100BF5" w:rsidRDefault="00A12DCA" w:rsidP="00BD3100">
      <w:pPr>
        <w:pStyle w:val="Level1Bullet-BarcRA03"/>
        <w:rPr>
          <w:lang w:val="en-GB"/>
        </w:rPr>
      </w:pPr>
      <w:r w:rsidRPr="00100BF5">
        <w:rPr>
          <w:lang w:val="en-GB"/>
        </w:rPr>
        <w:t>Adjusted profit before tax improved £292m to £346m, primarily driven by improved credit impairment in Europe and improved operating expenses. Loss before tax was £104m (2011: £10m) including a</w:t>
      </w:r>
      <w:r w:rsidR="00E7130A" w:rsidRPr="00100BF5">
        <w:rPr>
          <w:lang w:val="en-GB"/>
        </w:rPr>
        <w:t xml:space="preserve"> gain of £68m (2011: gain of £21m) in the net valuation of fair value loans</w:t>
      </w:r>
      <w:r w:rsidRPr="00100BF5">
        <w:rPr>
          <w:lang w:val="en-GB"/>
        </w:rPr>
        <w:t xml:space="preserve"> </w:t>
      </w:r>
      <w:r w:rsidR="00E7130A" w:rsidRPr="00100BF5">
        <w:rPr>
          <w:lang w:val="en-GB"/>
        </w:rPr>
        <w:t xml:space="preserve">and a </w:t>
      </w:r>
      <w:r w:rsidRPr="00100BF5">
        <w:rPr>
          <w:lang w:val="en-GB"/>
        </w:rPr>
        <w:t>£450m provision for interest rate hedging products redress</w:t>
      </w:r>
    </w:p>
    <w:p w:rsidR="00A12DCA" w:rsidRPr="00100BF5" w:rsidRDefault="00A12DCA" w:rsidP="00BD3100">
      <w:pPr>
        <w:pStyle w:val="Level2Bullet-BarcRA2"/>
        <w:numPr>
          <w:ilvl w:val="2"/>
          <w:numId w:val="9"/>
        </w:numPr>
        <w:tabs>
          <w:tab w:val="num" w:pos="567"/>
        </w:tabs>
        <w:ind w:left="567" w:hanging="283"/>
        <w:rPr>
          <w:lang w:val="en-GB"/>
        </w:rPr>
      </w:pPr>
      <w:r w:rsidRPr="00100BF5">
        <w:rPr>
          <w:lang w:val="en-GB"/>
        </w:rPr>
        <w:t>UK adjusted profit before tax improved 18% to £487m reflecting improved operating expenses and credit impairment. UK profit before tax decreased £376m to £37m after £450m provision for interest rate hedging products redress</w:t>
      </w:r>
    </w:p>
    <w:p w:rsidR="00A12DCA" w:rsidRPr="00100BF5" w:rsidRDefault="00A12DCA" w:rsidP="00BD3100">
      <w:pPr>
        <w:pStyle w:val="Level2Bullet-BarcRA2"/>
        <w:numPr>
          <w:ilvl w:val="2"/>
          <w:numId w:val="9"/>
        </w:numPr>
        <w:tabs>
          <w:tab w:val="num" w:pos="567"/>
        </w:tabs>
        <w:ind w:left="567" w:hanging="283"/>
        <w:rPr>
          <w:lang w:val="en-GB"/>
        </w:rPr>
      </w:pPr>
      <w:r w:rsidRPr="00100BF5">
        <w:rPr>
          <w:lang w:val="en-GB"/>
        </w:rPr>
        <w:t>Europe loss before tax improved £179m to £180m driven by improved credit impairment charges in Spain and improved operating expenses, partially offset by non-recurring income from exited businesses</w:t>
      </w:r>
    </w:p>
    <w:p w:rsidR="00A12DCA" w:rsidRPr="00100BF5" w:rsidRDefault="00A12DCA" w:rsidP="00BD3100">
      <w:pPr>
        <w:pStyle w:val="Level2Bullet-BarcRA2"/>
        <w:numPr>
          <w:ilvl w:val="2"/>
          <w:numId w:val="9"/>
        </w:numPr>
        <w:tabs>
          <w:tab w:val="num" w:pos="567"/>
        </w:tabs>
        <w:ind w:left="567" w:hanging="283"/>
        <w:rPr>
          <w:lang w:val="en-GB"/>
        </w:rPr>
      </w:pPr>
      <w:r w:rsidRPr="00100BF5">
        <w:rPr>
          <w:lang w:val="en-GB"/>
        </w:rPr>
        <w:t>Rest of the World profit before tax improved £103m to £39m including a prior year loss on disposal of B</w:t>
      </w:r>
      <w:r w:rsidR="00E7130A" w:rsidRPr="00100BF5">
        <w:rPr>
          <w:lang w:val="en-GB"/>
        </w:rPr>
        <w:t xml:space="preserve">arclays </w:t>
      </w:r>
      <w:r w:rsidRPr="00100BF5">
        <w:rPr>
          <w:lang w:val="en-GB"/>
        </w:rPr>
        <w:t>B</w:t>
      </w:r>
      <w:r w:rsidR="00E7130A" w:rsidRPr="00100BF5">
        <w:rPr>
          <w:lang w:val="en-GB"/>
        </w:rPr>
        <w:t xml:space="preserve">ank </w:t>
      </w:r>
      <w:r w:rsidRPr="00100BF5">
        <w:rPr>
          <w:lang w:val="en-GB"/>
        </w:rPr>
        <w:t>R</w:t>
      </w:r>
      <w:r w:rsidR="00E7130A" w:rsidRPr="00100BF5">
        <w:rPr>
          <w:lang w:val="en-GB"/>
        </w:rPr>
        <w:t>ussia</w:t>
      </w:r>
      <w:r w:rsidR="008D7F32" w:rsidRPr="00100BF5">
        <w:rPr>
          <w:lang w:val="en-GB"/>
        </w:rPr>
        <w:t xml:space="preserve"> (BBR)</w:t>
      </w:r>
      <w:r w:rsidRPr="00100BF5">
        <w:rPr>
          <w:lang w:val="en-GB"/>
        </w:rPr>
        <w:t>. Excluding this item, Rest of the World profit before tax improved £39m</w:t>
      </w:r>
    </w:p>
    <w:p w:rsidR="00A12DCA" w:rsidRPr="00100BF5" w:rsidRDefault="00A12DCA" w:rsidP="00BD3100">
      <w:pPr>
        <w:pStyle w:val="Level1Bullet-BarcRA03"/>
      </w:pPr>
      <w:r w:rsidRPr="00100BF5">
        <w:t xml:space="preserve">Net interest income decreased 6% to £957m reflecting increased funding </w:t>
      </w:r>
      <w:r w:rsidR="00931FB3" w:rsidRPr="00100BF5">
        <w:t>rate</w:t>
      </w:r>
      <w:r w:rsidR="007216E7">
        <w:rPr>
          <w:lang w:val="en-GB"/>
        </w:rPr>
        <w:t>s</w:t>
      </w:r>
      <w:r w:rsidRPr="00100BF5">
        <w:t xml:space="preserve"> and non-recurring income from exited businesses </w:t>
      </w:r>
    </w:p>
    <w:p w:rsidR="00A12DCA" w:rsidRPr="00100BF5" w:rsidRDefault="00A12DCA" w:rsidP="00BD3100">
      <w:pPr>
        <w:pStyle w:val="Level1Bullet-BarcRA03"/>
      </w:pPr>
      <w:r w:rsidRPr="00100BF5">
        <w:t>Credit impairment charges reduced 31% to £425m. Overall loan loss rates improved to 123bps (2011: 173bps)</w:t>
      </w:r>
    </w:p>
    <w:p w:rsidR="00A12DCA" w:rsidRPr="00100BF5" w:rsidRDefault="00A12DCA" w:rsidP="00BD3100">
      <w:pPr>
        <w:pStyle w:val="Level2Bullet-BarcRA2"/>
        <w:numPr>
          <w:ilvl w:val="2"/>
          <w:numId w:val="9"/>
        </w:numPr>
        <w:tabs>
          <w:tab w:val="num" w:pos="567"/>
        </w:tabs>
        <w:ind w:left="567" w:hanging="283"/>
        <w:rPr>
          <w:lang w:val="en-GB"/>
        </w:rPr>
      </w:pPr>
      <w:r w:rsidRPr="00100BF5">
        <w:rPr>
          <w:lang w:val="en-GB"/>
        </w:rPr>
        <w:t>Impairment charges in Spain reduced £115m to £184m, primarily as a result of ongoing action to reduce exposure within the property and construction sector</w:t>
      </w:r>
    </w:p>
    <w:p w:rsidR="00A12DCA" w:rsidRPr="00100BF5" w:rsidRDefault="00A12DCA" w:rsidP="00BD3100">
      <w:pPr>
        <w:pStyle w:val="Level1Bullet-BarcRA03"/>
      </w:pPr>
      <w:r w:rsidRPr="00100BF5">
        <w:t>Operating expenses excluding a £450m provision for interest rate hedging products redress improved 16% to £754m,  principally due to prior year restructuring including the exit of BBR. Adjusted cost to income ratio improved to 49% (2011: 57%)</w:t>
      </w:r>
    </w:p>
    <w:p w:rsidR="00A12DCA" w:rsidRPr="00100BF5" w:rsidRDefault="00A12DCA" w:rsidP="00BD3100">
      <w:pPr>
        <w:pStyle w:val="Level1Bullet-BarcRA03"/>
      </w:pPr>
      <w:r w:rsidRPr="00100BF5">
        <w:t>Adjusted return on average equity improved to 6.0% (2011: 0.6%)</w:t>
      </w:r>
      <w:r w:rsidR="005E15A7" w:rsidRPr="00100BF5">
        <w:t>. Return on average equity was negative 3.3% (2011: negative 1.2%)</w:t>
      </w:r>
    </w:p>
    <w:p w:rsidR="00A12DCA" w:rsidRPr="00100BF5" w:rsidRDefault="00A12DCA" w:rsidP="00A12DCA">
      <w:pPr>
        <w:pStyle w:val="Level1Bullet-BarcRA9"/>
        <w:numPr>
          <w:ilvl w:val="0"/>
          <w:numId w:val="0"/>
        </w:numPr>
        <w:rPr>
          <w:b/>
          <w:bCs/>
          <w:sz w:val="20"/>
        </w:rPr>
      </w:pPr>
      <w:r w:rsidRPr="00100BF5">
        <w:rPr>
          <w:b/>
          <w:bCs/>
          <w:sz w:val="20"/>
        </w:rPr>
        <w:t>Income Statement – Q2</w:t>
      </w:r>
      <w:r w:rsidR="00D6381B">
        <w:rPr>
          <w:b/>
          <w:bCs/>
          <w:sz w:val="20"/>
          <w:lang w:val="en-GB"/>
        </w:rPr>
        <w:t xml:space="preserve"> </w:t>
      </w:r>
      <w:r w:rsidRPr="00100BF5">
        <w:rPr>
          <w:b/>
          <w:bCs/>
          <w:sz w:val="20"/>
        </w:rPr>
        <w:t>12 compared to Q1</w:t>
      </w:r>
      <w:r w:rsidR="00D6381B">
        <w:rPr>
          <w:b/>
          <w:bCs/>
          <w:sz w:val="20"/>
          <w:lang w:val="en-GB"/>
        </w:rPr>
        <w:t xml:space="preserve"> </w:t>
      </w:r>
      <w:r w:rsidRPr="00100BF5">
        <w:rPr>
          <w:b/>
          <w:bCs/>
          <w:sz w:val="20"/>
        </w:rPr>
        <w:t>12</w:t>
      </w:r>
    </w:p>
    <w:p w:rsidR="00A12DCA" w:rsidRPr="00100BF5" w:rsidRDefault="00A12DCA" w:rsidP="00BD3100">
      <w:pPr>
        <w:pStyle w:val="Level1Bullet-BarcRA03"/>
      </w:pPr>
      <w:r w:rsidRPr="00100BF5">
        <w:t>Adjusted profit before tax decreased £92m to £127m including a loss of £10m (Q1</w:t>
      </w:r>
      <w:r w:rsidR="00D6381B">
        <w:rPr>
          <w:lang w:val="en-GB"/>
        </w:rPr>
        <w:t xml:space="preserve"> </w:t>
      </w:r>
      <w:r w:rsidRPr="00100BF5">
        <w:t xml:space="preserve">12: gain of £78m) in the net valuation of fair value loans. Excluding this item, </w:t>
      </w:r>
      <w:r w:rsidR="008441F8">
        <w:rPr>
          <w:lang w:val="en-GB"/>
        </w:rPr>
        <w:t xml:space="preserve">adjusted </w:t>
      </w:r>
      <w:r w:rsidRPr="00100BF5">
        <w:t>profit before tax of £137m was broadly in line with the previous quarter</w:t>
      </w:r>
    </w:p>
    <w:p w:rsidR="00A12DCA" w:rsidRPr="00100BF5" w:rsidRDefault="00A12DCA" w:rsidP="00BD3100">
      <w:pPr>
        <w:pStyle w:val="Level1Bullet-BarcRA03"/>
      </w:pPr>
      <w:r w:rsidRPr="00100BF5">
        <w:t>Loss before tax decreased £542m to £323m after £450m provision for interest rate hedging products redress</w:t>
      </w:r>
    </w:p>
    <w:p w:rsidR="00A12DCA" w:rsidRPr="00100BF5" w:rsidRDefault="00A12DCA" w:rsidP="00A12DCA">
      <w:pPr>
        <w:pStyle w:val="Level1Bullet-BarcRA9"/>
        <w:numPr>
          <w:ilvl w:val="0"/>
          <w:numId w:val="0"/>
        </w:numPr>
        <w:tabs>
          <w:tab w:val="left" w:pos="720"/>
        </w:tabs>
        <w:rPr>
          <w:b/>
          <w:bCs/>
          <w:sz w:val="20"/>
        </w:rPr>
      </w:pPr>
      <w:r w:rsidRPr="00100BF5">
        <w:rPr>
          <w:b/>
          <w:bCs/>
          <w:sz w:val="20"/>
        </w:rPr>
        <w:t xml:space="preserve">Balance Sheet – </w:t>
      </w:r>
      <w:r w:rsidRPr="00100BF5">
        <w:rPr>
          <w:b/>
          <w:bCs/>
          <w:sz w:val="20"/>
          <w:lang w:val="en-GB"/>
        </w:rPr>
        <w:t>30 June</w:t>
      </w:r>
      <w:r w:rsidRPr="00100BF5">
        <w:rPr>
          <w:b/>
          <w:bCs/>
          <w:sz w:val="20"/>
        </w:rPr>
        <w:t xml:space="preserve"> </w:t>
      </w:r>
      <w:r w:rsidRPr="00100BF5">
        <w:rPr>
          <w:b/>
          <w:bCs/>
          <w:sz w:val="20"/>
          <w:lang w:val="en-GB"/>
        </w:rPr>
        <w:t>20</w:t>
      </w:r>
      <w:r w:rsidRPr="00100BF5">
        <w:rPr>
          <w:b/>
          <w:bCs/>
          <w:sz w:val="20"/>
        </w:rPr>
        <w:t xml:space="preserve">12 compared to </w:t>
      </w:r>
      <w:r w:rsidRPr="00100BF5">
        <w:rPr>
          <w:b/>
          <w:bCs/>
          <w:sz w:val="20"/>
          <w:lang w:val="en-GB"/>
        </w:rPr>
        <w:t>31 December 20</w:t>
      </w:r>
      <w:r w:rsidRPr="00100BF5">
        <w:rPr>
          <w:b/>
          <w:bCs/>
          <w:sz w:val="20"/>
        </w:rPr>
        <w:t>11</w:t>
      </w:r>
    </w:p>
    <w:p w:rsidR="00A12DCA" w:rsidRPr="00100BF5" w:rsidRDefault="00A12DCA" w:rsidP="00BD3100">
      <w:pPr>
        <w:pStyle w:val="Level1Bullet-BarcRA03"/>
      </w:pPr>
      <w:r w:rsidRPr="00100BF5">
        <w:t xml:space="preserve">Total assets </w:t>
      </w:r>
      <w:r w:rsidR="00F60E6C" w:rsidRPr="00100BF5">
        <w:t>down £3.4bn</w:t>
      </w:r>
      <w:r w:rsidRPr="00100BF5">
        <w:t xml:space="preserve"> to £87.8bn driven by reduced balances in Europe</w:t>
      </w:r>
    </w:p>
    <w:p w:rsidR="00A12DCA" w:rsidRPr="00100BF5" w:rsidRDefault="00A12DCA" w:rsidP="00BD3100">
      <w:pPr>
        <w:pStyle w:val="Level1Bullet-BarcRA03"/>
      </w:pPr>
      <w:r w:rsidRPr="00100BF5">
        <w:t xml:space="preserve">Customer deposits increased 4% to £88.5bn with </w:t>
      </w:r>
      <w:r w:rsidR="00661953" w:rsidRPr="00100BF5">
        <w:t>increased</w:t>
      </w:r>
      <w:r w:rsidRPr="00100BF5">
        <w:t xml:space="preserve"> balances in the UK </w:t>
      </w:r>
    </w:p>
    <w:p w:rsidR="00A12DCA" w:rsidRPr="00100BF5" w:rsidRDefault="00A12DCA" w:rsidP="00BD3100">
      <w:pPr>
        <w:pStyle w:val="Level1Bullet-BarcRA03"/>
      </w:pPr>
      <w:r w:rsidRPr="00100BF5">
        <w:t>Risk weighted assets decreased 5% to £69.3bn reflecting lower net exposures in Europe</w:t>
      </w:r>
    </w:p>
    <w:p w:rsidR="005F437E" w:rsidRDefault="00A12DCA" w:rsidP="005F437E">
      <w:pPr>
        <w:pStyle w:val="HeadingLevel1-BarcRA"/>
      </w:pPr>
      <w:r w:rsidRPr="00100BF5">
        <w:br w:type="page"/>
      </w:r>
      <w:r w:rsidR="005F437E">
        <w:lastRenderedPageBreak/>
        <w:t>Results by Business</w:t>
      </w:r>
    </w:p>
    <w:p w:rsidR="00A12DCA" w:rsidRPr="00100BF5" w:rsidRDefault="00A12DCA" w:rsidP="00A12DCA">
      <w:pPr>
        <w:pStyle w:val="Level1Bullet-BarcRA9"/>
        <w:numPr>
          <w:ilvl w:val="0"/>
          <w:numId w:val="0"/>
        </w:numPr>
        <w:ind w:left="284"/>
        <w:jc w:val="center"/>
        <w:rPr>
          <w:bCs/>
          <w:szCs w:val="18"/>
        </w:rPr>
      </w:pPr>
      <w:r w:rsidRPr="00100BF5">
        <w:rPr>
          <w:bCs/>
          <w:szCs w:val="18"/>
          <w:lang w:val="en-GB"/>
        </w:rPr>
        <w:t>Intentionally left blank</w:t>
      </w:r>
    </w:p>
    <w:p w:rsidR="00A12DCA" w:rsidRPr="00100BF5" w:rsidRDefault="00A12DCA" w:rsidP="00A12DCA">
      <w:pPr>
        <w:pStyle w:val="Level1Bullet-BarcRA9"/>
        <w:numPr>
          <w:ilvl w:val="0"/>
          <w:numId w:val="0"/>
        </w:numPr>
        <w:rPr>
          <w:i/>
        </w:rPr>
      </w:pPr>
    </w:p>
    <w:p w:rsidR="00A12DCA" w:rsidRPr="00100BF5" w:rsidRDefault="00A12DCA">
      <w:pPr>
        <w:sectPr w:rsidR="00A12DCA" w:rsidRPr="00100BF5" w:rsidSect="00E100EB">
          <w:pgSz w:w="11905" w:h="16837"/>
          <w:pgMar w:top="851" w:right="1134" w:bottom="567" w:left="1134" w:header="851" w:footer="567" w:gutter="0"/>
          <w:cols w:space="708"/>
        </w:sectPr>
      </w:pPr>
      <w:r w:rsidRPr="00100BF5">
        <w:t xml:space="preserve"> </w:t>
      </w:r>
    </w:p>
    <w:p w:rsidR="005F437E" w:rsidRPr="005F437E" w:rsidRDefault="005F437E" w:rsidP="005F437E">
      <w:pPr>
        <w:pStyle w:val="HeadingLevel1-BarcRA"/>
      </w:pPr>
      <w:r>
        <w:lastRenderedPageBreak/>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val="31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Wealth and Investment Management</w:t>
            </w:r>
            <w:r w:rsidRPr="00100BF5">
              <w:rPr>
                <w:b/>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vertAlign w:val="superscript"/>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24"/>
              </w:rPr>
              <w:t xml:space="preserve"> </w:t>
            </w:r>
          </w:p>
        </w:tc>
      </w:tr>
      <w:tr w:rsidR="000810BB" w:rsidRPr="00100BF5" w:rsidTr="00D54056">
        <w:tblPrEx>
          <w:tblCellMar>
            <w:top w:w="0" w:type="dxa"/>
            <w:bottom w:w="0" w:type="dxa"/>
          </w:tblCellMar>
        </w:tblPrEx>
        <w:trPr>
          <w:trHeight w:val="27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16"/>
              </w:rPr>
              <w:t xml:space="preserve"> </w:t>
            </w:r>
            <w:r w:rsidRPr="00100BF5">
              <w:rPr>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vertAlign w:val="superscript"/>
              </w:rPr>
            </w:pPr>
            <w:r w:rsidRPr="00100BF5">
              <w:rPr>
                <w:b/>
                <w:sz w:val="16"/>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Half Year Ended</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rPr>
                <w:b/>
                <w:sz w:val="16"/>
              </w:rPr>
            </w:pPr>
            <w:r w:rsidRPr="00100BF5">
              <w:rPr>
                <w:b/>
                <w:sz w:val="20"/>
              </w:rPr>
              <w:t>Income Statement Information</w:t>
            </w:r>
            <w:r w:rsidRPr="00100BF5">
              <w:rPr>
                <w:b/>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20"/>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30.06.11</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YoY</w:t>
            </w:r>
          </w:p>
        </w:tc>
      </w:tr>
      <w:tr w:rsidR="00A12DCA" w:rsidRPr="00100BF5" w:rsidTr="00E83C76">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rPr>
                <w:b/>
                <w:sz w:val="16"/>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Change</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rPr>
                <w:sz w:val="16"/>
              </w:rPr>
            </w:pPr>
            <w:r w:rsidRPr="00100BF5">
              <w:rPr>
                <w:sz w:val="16"/>
              </w:rPr>
              <w:t>Net interest income</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419 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429 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369 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14 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rPr>
                <w:sz w:val="16"/>
              </w:rPr>
            </w:pPr>
            <w:r w:rsidRPr="00100BF5">
              <w:rPr>
                <w:sz w:val="16"/>
              </w:rPr>
              <w:t>Net fee and commission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467 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473 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470 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523374">
            <w:pPr>
              <w:rPr>
                <w:sz w:val="16"/>
              </w:rPr>
            </w:pPr>
            <w:r w:rsidRPr="00100BF5">
              <w:rPr>
                <w:sz w:val="16"/>
              </w:rPr>
              <w:t>Net trading income/(expense)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9 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rPr>
                <w:sz w:val="16"/>
              </w:rPr>
            </w:pPr>
            <w:r w:rsidRPr="00100BF5">
              <w:rPr>
                <w:sz w:val="16"/>
              </w:rPr>
              <w:t>Net investment income</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rPr>
            </w:pPr>
            <w:r w:rsidRPr="00100BF5">
              <w:rPr>
                <w:sz w:val="16"/>
              </w:rPr>
              <w:t>Other income/(expense)</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rPr>
                <w:sz w:val="16"/>
              </w:rPr>
            </w:pPr>
            <w:r w:rsidRPr="00100BF5">
              <w:rPr>
                <w:b/>
                <w:sz w:val="16"/>
              </w:rPr>
              <w:t>Total 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b/>
                <w:sz w:val="16"/>
              </w:rPr>
            </w:pPr>
            <w:r w:rsidRPr="00100BF5">
              <w:rPr>
                <w:b/>
                <w:sz w:val="16"/>
              </w:rPr>
              <w:t>892 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896 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848 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5 </w:t>
            </w:r>
          </w:p>
        </w:tc>
      </w:tr>
      <w:tr w:rsidR="00A12DCA" w:rsidRPr="00100BF5" w:rsidTr="00E83C76">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rPr>
                <w:b/>
                <w:sz w:val="16"/>
              </w:rPr>
            </w:pPr>
            <w:r w:rsidRPr="00100BF5">
              <w:rPr>
                <w:sz w:val="16"/>
              </w:rPr>
              <w:t>Credit impairment charges and other provisions</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(19)</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(19)</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rPr>
                <w:sz w:val="16"/>
              </w:rPr>
            </w:pPr>
            <w:r w:rsidRPr="00100BF5">
              <w:rPr>
                <w:b/>
                <w:sz w:val="16"/>
              </w:rPr>
              <w:t>Net operating 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b/>
                <w:sz w:val="16"/>
              </w:rPr>
            </w:pPr>
            <w:r w:rsidRPr="00100BF5">
              <w:rPr>
                <w:b/>
                <w:sz w:val="16"/>
              </w:rPr>
              <w:t>873 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874 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829 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5 </w:t>
            </w:r>
          </w:p>
        </w:tc>
      </w:tr>
      <w:tr w:rsidR="00A12DCA" w:rsidRPr="00100BF5" w:rsidTr="00E83C76">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rPr>
                <w:b/>
                <w:sz w:val="16"/>
              </w:rPr>
            </w:pPr>
            <w:r w:rsidRPr="00100BF5">
              <w:rPr>
                <w:b/>
                <w:sz w:val="16"/>
              </w:rPr>
              <w:t>Operating expenses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b/>
                <w:sz w:val="16"/>
              </w:rPr>
            </w:pPr>
            <w:r w:rsidRPr="00100BF5">
              <w:rPr>
                <w:b/>
                <w:sz w:val="16"/>
              </w:rPr>
              <w:t>(751)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(753)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(740)</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1 </w:t>
            </w:r>
          </w:p>
        </w:tc>
      </w:tr>
      <w:tr w:rsidR="00A12DCA" w:rsidRPr="00100BF5" w:rsidTr="00E83C76">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D6745F" w:rsidP="00E83C76">
            <w:pPr>
              <w:rPr>
                <w:b/>
                <w:sz w:val="16"/>
              </w:rPr>
            </w:pPr>
            <w:r w:rsidRPr="00100BF5">
              <w:rPr>
                <w:sz w:val="16"/>
                <w:szCs w:val="14"/>
              </w:rPr>
              <w:t>Other net expense</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83C76">
            <w:pPr>
              <w:jc w:val="right"/>
              <w:rPr>
                <w:b/>
                <w:sz w:val="16"/>
              </w:rPr>
            </w:pPr>
            <w:r w:rsidRPr="00100BF5">
              <w:rPr>
                <w:sz w:val="16"/>
              </w:rPr>
              <w:t>(1)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rPr>
                <w:sz w:val="16"/>
              </w:rPr>
            </w:pPr>
            <w:r w:rsidRPr="00100BF5">
              <w:rPr>
                <w:b/>
                <w:sz w:val="16"/>
              </w:rPr>
              <w:t>Profit before tax</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b/>
                <w:sz w:val="16"/>
              </w:rPr>
            </w:pPr>
            <w:r w:rsidRPr="00100BF5">
              <w:rPr>
                <w:b/>
                <w:sz w:val="16"/>
              </w:rPr>
              <w:t>121 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119 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88 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38 </w:t>
            </w:r>
          </w:p>
        </w:tc>
      </w:tr>
      <w:tr w:rsidR="00A12DCA" w:rsidRPr="00100BF5" w:rsidTr="00E83C76">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rPr>
                <w:b/>
                <w:sz w:val="16"/>
              </w:rPr>
            </w:pPr>
            <w:r w:rsidRPr="00100BF5">
              <w:rPr>
                <w:b/>
                <w:sz w:val="16"/>
              </w:rPr>
              <w:t>Adjusted profit before tax</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b/>
                <w:sz w:val="16"/>
              </w:rPr>
            </w:pPr>
            <w:r w:rsidRPr="00100BF5">
              <w:rPr>
                <w:b/>
                <w:sz w:val="16"/>
              </w:rPr>
              <w:t>121 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119 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88 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38 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rsidTr="00E83C76">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Balance Sheet Information and Key Facts</w:t>
            </w:r>
            <w:r w:rsidRPr="00100BF5">
              <w:rPr>
                <w:b/>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sz w:val="20"/>
              </w:rPr>
            </w:pPr>
            <w:r w:rsidRPr="00100BF5">
              <w:rPr>
                <w:sz w:val="20"/>
              </w:rPr>
              <w:t xml:space="preserve">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20"/>
              </w:rPr>
            </w:pPr>
            <w:r w:rsidRPr="00100BF5">
              <w:rPr>
                <w:sz w:val="16"/>
              </w:rPr>
              <w:t>Loans and advances to customers at amortised cost</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£19.8bn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£18.8bn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£17.6bn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Customer deposits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£50.0bn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£46.5bn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£44.4bn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Total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£22.2bn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£20.9bn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£19.8bn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£14.0bn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£13.1bn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£12.7bn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Client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£176.1bn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£164.2bn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£169.5bn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Number of employees (full time equivalent)</w:t>
            </w:r>
            <w:r w:rsidRPr="00100BF5">
              <w:rPr>
                <w:sz w:val="16"/>
                <w:vertAlign w:val="superscript"/>
              </w:rPr>
              <w:t>1 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8,000 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8,100 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8,400 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0810BB" w:rsidRPr="00100BF5" w:rsidTr="00D5405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center"/>
              <w:rPr>
                <w:sz w:val="16"/>
                <w:vertAlign w:val="superscript"/>
              </w:rPr>
            </w:pPr>
            <w:r w:rsidRPr="00100BF5">
              <w:rPr>
                <w:b/>
                <w:sz w:val="16"/>
              </w:rPr>
              <w:t>Adjusted</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center"/>
              <w:rPr>
                <w:b/>
                <w:sz w:val="16"/>
              </w:rPr>
            </w:pPr>
          </w:p>
        </w:tc>
        <w:tc>
          <w:tcPr>
            <w:tcW w:w="225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center"/>
              <w:rPr>
                <w:b/>
                <w:sz w:val="16"/>
              </w:rPr>
            </w:pPr>
            <w:r w:rsidRPr="00100BF5">
              <w:rPr>
                <w:b/>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Performance Measures</w:t>
            </w:r>
            <w:r w:rsidRPr="00100BF5">
              <w:rPr>
                <w:b/>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20"/>
                <w:vertAlign w:val="superscript"/>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30.06.11</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30.06.12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31.12.11</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E83C76">
            <w:pPr>
              <w:jc w:val="right"/>
              <w:rPr>
                <w:b/>
                <w:sz w:val="16"/>
              </w:rPr>
            </w:pPr>
            <w:r w:rsidRPr="00100BF5">
              <w:rPr>
                <w:b/>
                <w:sz w:val="16"/>
              </w:rPr>
              <w:t>30.06.11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E83C76">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Return on average equity</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vertAlign w:val="superscript"/>
              </w:rPr>
            </w:pPr>
            <w:r w:rsidRPr="00100BF5">
              <w:rPr>
                <w:sz w:val="16"/>
              </w:rPr>
              <w:t>10.0%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12.2%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9.6%</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10.0%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12.2%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9.6%</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Return on average 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vertAlign w:val="superscript"/>
              </w:rPr>
            </w:pPr>
            <w:r w:rsidRPr="00100BF5">
              <w:rPr>
                <w:sz w:val="16"/>
              </w:rPr>
              <w:t>1.5%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1.7%</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1.3%</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1.7%</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1.3%</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Cost: income ratio</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vertAlign w:val="superscript"/>
              </w:rPr>
            </w:pPr>
            <w:r w:rsidRPr="00100BF5">
              <w:rPr>
                <w:sz w:val="16"/>
              </w:rPr>
              <w:t>84%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84%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87%</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84%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84%</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87%</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E83C76">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Loan loss rate (bps)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vertAlign w:val="superscript"/>
              </w:rPr>
            </w:pPr>
            <w:r w:rsidRPr="00100BF5">
              <w:rPr>
                <w:sz w:val="16"/>
              </w:rPr>
              <w:t>19 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21 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E83C76">
            <w:pPr>
              <w:jc w:val="right"/>
              <w:rPr>
                <w:sz w:val="16"/>
              </w:rPr>
            </w:pPr>
            <w:r w:rsidRPr="00100BF5">
              <w:rPr>
                <w:sz w:val="16"/>
              </w:rPr>
              <w:t>19 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E83C76">
            <w:pPr>
              <w:jc w:val="right"/>
              <w:rPr>
                <w:sz w:val="16"/>
              </w:rPr>
            </w:pPr>
            <w:r w:rsidRPr="00100BF5">
              <w:rPr>
                <w:sz w:val="16"/>
              </w:rPr>
              <w:t>21 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0810BB" w:rsidRPr="00100BF5" w:rsidTr="00D54056">
        <w:tblPrEx>
          <w:tblCellMar>
            <w:top w:w="0" w:type="dxa"/>
            <w:bottom w:w="0" w:type="dxa"/>
          </w:tblCellMar>
        </w:tblPrEx>
        <w:trPr>
          <w:trHeight w:hRule="exact" w:val="420"/>
        </w:trPr>
        <w:tc>
          <w:tcPr>
            <w:tcW w:w="8880" w:type="dxa"/>
            <w:gridSpan w:val="8"/>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i/>
                <w:sz w:val="14"/>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i/>
                <w:sz w:val="14"/>
              </w:rPr>
            </w:pPr>
            <w:r w:rsidRPr="00100BF5">
              <w:rPr>
                <w:i/>
                <w:sz w:val="14"/>
              </w:rPr>
              <w:t xml:space="preserve"> </w:t>
            </w:r>
          </w:p>
        </w:tc>
      </w:tr>
    </w:tbl>
    <w:p w:rsidR="00A12DCA" w:rsidRPr="00100BF5" w:rsidRDefault="00A12DCA"/>
    <w:p w:rsidR="00A12DCA" w:rsidRPr="00100BF5" w:rsidRDefault="00A12DCA" w:rsidP="00A12DCA">
      <w:pPr>
        <w:pStyle w:val="HeadingLevel1-BarcRA17"/>
        <w:spacing w:after="0"/>
        <w:ind w:left="284" w:hanging="284"/>
        <w:jc w:val="left"/>
        <w:rPr>
          <w:b w:val="0"/>
          <w:i/>
          <w:color w:val="auto"/>
          <w:sz w:val="14"/>
          <w:szCs w:val="14"/>
          <w:lang w:val="en-GB"/>
        </w:rPr>
      </w:pPr>
    </w:p>
    <w:p w:rsidR="00A12DCA" w:rsidRPr="00100BF5" w:rsidRDefault="00A12DCA" w:rsidP="00A12DCA">
      <w:pPr>
        <w:pStyle w:val="HeadingLevel1-BarcRA17"/>
        <w:spacing w:after="0"/>
        <w:ind w:left="284" w:hanging="284"/>
        <w:jc w:val="left"/>
        <w:rPr>
          <w:b w:val="0"/>
          <w:i/>
          <w:color w:val="auto"/>
          <w:sz w:val="14"/>
          <w:szCs w:val="14"/>
          <w:lang w:val="en-GB"/>
        </w:rPr>
      </w:pPr>
    </w:p>
    <w:p w:rsidR="00A12DCA" w:rsidRPr="00100BF5" w:rsidRDefault="00A12DCA" w:rsidP="00A12DCA">
      <w:pPr>
        <w:pStyle w:val="HeadingLevel1-BarcRA17"/>
        <w:spacing w:after="0"/>
        <w:ind w:left="284" w:hanging="284"/>
        <w:jc w:val="left"/>
        <w:rPr>
          <w:b w:val="0"/>
          <w:i/>
          <w:color w:val="auto"/>
          <w:sz w:val="14"/>
          <w:szCs w:val="14"/>
          <w:lang w:val="en-GB"/>
        </w:rPr>
      </w:pPr>
    </w:p>
    <w:p w:rsidR="00A12DCA" w:rsidRPr="00100BF5" w:rsidRDefault="00A12DCA" w:rsidP="00A12DCA">
      <w:pPr>
        <w:pStyle w:val="HeadingLevel1-BarcRA17"/>
        <w:spacing w:after="0"/>
        <w:ind w:left="284" w:hanging="284"/>
        <w:jc w:val="left"/>
        <w:rPr>
          <w:b w:val="0"/>
          <w:i/>
          <w:color w:val="auto"/>
          <w:sz w:val="14"/>
          <w:szCs w:val="14"/>
          <w:lang w:val="en-GB"/>
        </w:rPr>
      </w:pPr>
    </w:p>
    <w:p w:rsidR="00A12DCA" w:rsidRPr="00100BF5" w:rsidRDefault="00A12DCA" w:rsidP="00A12DCA">
      <w:pPr>
        <w:pStyle w:val="HeadingLevel1-BarcRA17"/>
        <w:spacing w:after="0"/>
        <w:ind w:left="284" w:hanging="284"/>
        <w:jc w:val="left"/>
        <w:rPr>
          <w:b w:val="0"/>
          <w:i/>
          <w:color w:val="auto"/>
          <w:sz w:val="14"/>
          <w:szCs w:val="14"/>
          <w:lang w:val="en-GB"/>
        </w:rPr>
      </w:pPr>
    </w:p>
    <w:p w:rsidR="00A12DCA" w:rsidRPr="00100BF5" w:rsidRDefault="00A12DCA" w:rsidP="00A12DCA">
      <w:pPr>
        <w:pStyle w:val="BodyText-BarcRA21"/>
      </w:pPr>
    </w:p>
    <w:p w:rsidR="00A12DCA" w:rsidRPr="00100BF5" w:rsidRDefault="00A12DCA" w:rsidP="00A12DCA">
      <w:pPr>
        <w:pStyle w:val="BodyText-BarcRA21"/>
      </w:pPr>
    </w:p>
    <w:p w:rsidR="00A12DCA" w:rsidRPr="00100BF5" w:rsidRDefault="00A12DCA" w:rsidP="00A12DCA">
      <w:pPr>
        <w:pStyle w:val="HeadingLevel1-BarcRA17"/>
        <w:spacing w:after="0"/>
        <w:ind w:left="284" w:hanging="284"/>
        <w:jc w:val="left"/>
        <w:rPr>
          <w:b w:val="0"/>
          <w:i/>
          <w:color w:val="auto"/>
          <w:sz w:val="14"/>
          <w:szCs w:val="14"/>
          <w:lang w:val="en-GB"/>
        </w:rPr>
      </w:pPr>
    </w:p>
    <w:p w:rsidR="00A12DCA" w:rsidRPr="00100BF5" w:rsidRDefault="00A12DCA" w:rsidP="00A12DCA">
      <w:pPr>
        <w:pStyle w:val="HeadingLevel1-BarcRA17"/>
        <w:spacing w:after="0"/>
        <w:ind w:left="284" w:hanging="284"/>
        <w:jc w:val="left"/>
        <w:rPr>
          <w:b w:val="0"/>
          <w:i/>
          <w:color w:val="auto"/>
          <w:sz w:val="2"/>
          <w:szCs w:val="2"/>
          <w:lang w:val="en-GB"/>
        </w:rPr>
      </w:pPr>
    </w:p>
    <w:p w:rsidR="00A12DCA" w:rsidRPr="00100BF5" w:rsidRDefault="00A12DCA" w:rsidP="00A12DCA">
      <w:pPr>
        <w:pStyle w:val="HeadingLevel1-BarcRA17"/>
        <w:spacing w:after="0"/>
        <w:ind w:left="284" w:hanging="284"/>
        <w:jc w:val="left"/>
        <w:rPr>
          <w:b w:val="0"/>
          <w:i/>
          <w:color w:val="auto"/>
          <w:sz w:val="2"/>
          <w:szCs w:val="2"/>
          <w:lang w:val="en-GB"/>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450A2A">
      <w:pPr>
        <w:pStyle w:val="HeadingLevel1-BarcRA15"/>
        <w:numPr>
          <w:ilvl w:val="0"/>
          <w:numId w:val="140"/>
        </w:numPr>
        <w:spacing w:after="0"/>
        <w:ind w:left="284" w:hanging="284"/>
        <w:rPr>
          <w:b w:val="0"/>
          <w:i/>
          <w:color w:val="auto"/>
          <w:sz w:val="14"/>
          <w:lang w:val="en-GB"/>
        </w:rPr>
      </w:pPr>
      <w:r>
        <w:rPr>
          <w:b w:val="0"/>
          <w:i/>
          <w:color w:val="auto"/>
          <w:sz w:val="14"/>
          <w:szCs w:val="14"/>
          <w:lang w:val="en-GB"/>
        </w:rPr>
        <w:t xml:space="preserve">H2 </w:t>
      </w:r>
      <w:r w:rsidRPr="00100BF5">
        <w:rPr>
          <w:b w:val="0"/>
          <w:i/>
          <w:color w:val="auto"/>
          <w:sz w:val="14"/>
          <w:szCs w:val="14"/>
          <w:lang w:val="en-GB"/>
        </w:rPr>
        <w:t>11 and H1</w:t>
      </w:r>
      <w:r>
        <w:rPr>
          <w:b w:val="0"/>
          <w:i/>
          <w:color w:val="auto"/>
          <w:sz w:val="14"/>
          <w:szCs w:val="14"/>
          <w:lang w:val="en-GB"/>
        </w:rPr>
        <w:t xml:space="preserve"> </w:t>
      </w:r>
      <w:r w:rsidRPr="00100BF5">
        <w:rPr>
          <w:b w:val="0"/>
          <w:i/>
          <w:color w:val="auto"/>
          <w:sz w:val="14"/>
          <w:szCs w:val="14"/>
          <w:lang w:val="en-GB"/>
        </w:rPr>
        <w:t>11 comparatives have been revised to reflect the transfer of 400 and 500 respectively of dedicated shared service employees to Wealth and Investment Management.</w:t>
      </w:r>
    </w:p>
    <w:p w:rsidR="00A12DCA" w:rsidRPr="00100BF5" w:rsidRDefault="00A12DCA" w:rsidP="00A12DCA">
      <w:pPr>
        <w:pStyle w:val="BodyText-BarcRA21"/>
        <w:spacing w:before="0" w:after="0"/>
        <w:rPr>
          <w:sz w:val="2"/>
          <w:szCs w:val="2"/>
        </w:rPr>
      </w:pPr>
    </w:p>
    <w:p w:rsidR="00A12DCA" w:rsidRPr="00100BF5" w:rsidRDefault="00A12DCA" w:rsidP="00A12DCA">
      <w:pPr>
        <w:pStyle w:val="BodyText-BarcRA21"/>
        <w:spacing w:before="0" w:after="0"/>
        <w:rPr>
          <w:sz w:val="2"/>
          <w:szCs w:val="2"/>
        </w:rPr>
      </w:pPr>
    </w:p>
    <w:p w:rsidR="00886D94" w:rsidRDefault="00886D94" w:rsidP="00886D94">
      <w:pPr>
        <w:pStyle w:val="HeadingLevel1-BarcRA"/>
      </w:pPr>
      <w:r>
        <w:rPr>
          <w:color w:val="auto"/>
          <w:lang w:val="en-GB"/>
        </w:rPr>
        <w:br w:type="page"/>
      </w:r>
      <w:r>
        <w:t>Results by Business</w:t>
      </w:r>
    </w:p>
    <w:p w:rsidR="00A12DCA" w:rsidRPr="00100BF5" w:rsidRDefault="00A12DCA" w:rsidP="000C3F6A">
      <w:pPr>
        <w:pStyle w:val="HeadingLevel1-BarcRA17"/>
        <w:rPr>
          <w:color w:val="auto"/>
          <w:lang w:val="en-GB"/>
        </w:rPr>
      </w:pPr>
      <w:r w:rsidRPr="00100BF5">
        <w:rPr>
          <w:color w:val="auto"/>
          <w:lang w:val="en-GB"/>
        </w:rPr>
        <w:t>Wealth and Investment Management</w:t>
      </w:r>
    </w:p>
    <w:p w:rsidR="00A12DCA" w:rsidRPr="00100BF5" w:rsidRDefault="00A12DCA" w:rsidP="00A12DCA">
      <w:pPr>
        <w:pStyle w:val="Level1Bullet-BarcRA80"/>
        <w:numPr>
          <w:ilvl w:val="0"/>
          <w:numId w:val="0"/>
        </w:numPr>
        <w:ind w:left="284" w:hanging="284"/>
        <w:rPr>
          <w:b/>
          <w:sz w:val="20"/>
        </w:rPr>
      </w:pPr>
      <w:r w:rsidRPr="00100BF5">
        <w:rPr>
          <w:b/>
          <w:sz w:val="20"/>
        </w:rPr>
        <w:t>Income Statement – H1</w:t>
      </w:r>
      <w:r w:rsidR="00D6381B">
        <w:rPr>
          <w:b/>
          <w:sz w:val="20"/>
          <w:lang w:val="en-GB"/>
        </w:rPr>
        <w:t xml:space="preserve"> </w:t>
      </w:r>
      <w:r w:rsidRPr="00100BF5">
        <w:rPr>
          <w:b/>
          <w:sz w:val="20"/>
        </w:rPr>
        <w:t>12 compared to H1</w:t>
      </w:r>
      <w:r w:rsidR="00D6381B">
        <w:rPr>
          <w:b/>
          <w:sz w:val="20"/>
          <w:lang w:val="en-GB"/>
        </w:rPr>
        <w:t xml:space="preserve"> </w:t>
      </w:r>
      <w:r w:rsidRPr="00100BF5">
        <w:rPr>
          <w:b/>
          <w:sz w:val="20"/>
        </w:rPr>
        <w:t>11</w:t>
      </w:r>
    </w:p>
    <w:p w:rsidR="00A12DCA" w:rsidRPr="00100BF5" w:rsidRDefault="00A12DCA" w:rsidP="00DD6B51">
      <w:pPr>
        <w:pStyle w:val="Level1Bullet-BarcRA03"/>
      </w:pPr>
      <w:r w:rsidRPr="00100BF5">
        <w:t xml:space="preserve">Profit before tax increased 38% to £121m </w:t>
      </w:r>
    </w:p>
    <w:p w:rsidR="00A12DCA" w:rsidRPr="00100BF5" w:rsidRDefault="00A12DCA" w:rsidP="00DD6B51">
      <w:pPr>
        <w:pStyle w:val="Level2Bullet-BarcRA2"/>
        <w:numPr>
          <w:ilvl w:val="2"/>
          <w:numId w:val="9"/>
        </w:numPr>
        <w:tabs>
          <w:tab w:val="num" w:pos="567"/>
        </w:tabs>
        <w:ind w:left="567" w:hanging="283"/>
        <w:rPr>
          <w:lang w:val="en-GB"/>
        </w:rPr>
      </w:pPr>
      <w:r w:rsidRPr="00100BF5">
        <w:rPr>
          <w:lang w:val="en-GB"/>
        </w:rPr>
        <w:t>Wealth and Investment Management continues to execute its strategic investment programme with a focus on building productive capacity and delivering a step change in the client experience</w:t>
      </w:r>
    </w:p>
    <w:p w:rsidR="00A12DCA" w:rsidRPr="00100BF5" w:rsidRDefault="00A12DCA" w:rsidP="00DD6B51">
      <w:pPr>
        <w:pStyle w:val="Level2Bullet-BarcRA2"/>
        <w:numPr>
          <w:ilvl w:val="2"/>
          <w:numId w:val="9"/>
        </w:numPr>
        <w:tabs>
          <w:tab w:val="num" w:pos="567"/>
        </w:tabs>
        <w:ind w:left="567" w:hanging="283"/>
        <w:rPr>
          <w:lang w:val="en-GB"/>
        </w:rPr>
      </w:pPr>
      <w:r w:rsidRPr="00100BF5">
        <w:rPr>
          <w:lang w:val="en-GB"/>
        </w:rPr>
        <w:t xml:space="preserve">Delivery against these objectives has been strong over the last two and a half years, with significant front office hiring and material improvements to technology platforms driving efficiencies as well as improved service to clients </w:t>
      </w:r>
    </w:p>
    <w:p w:rsidR="00A12DCA" w:rsidRPr="00100BF5" w:rsidRDefault="00A12DCA" w:rsidP="00A12DCA">
      <w:pPr>
        <w:pStyle w:val="Level1Bullet-BarcRA80"/>
        <w:rPr>
          <w:lang w:val="en-GB"/>
        </w:rPr>
      </w:pPr>
      <w:r w:rsidRPr="00100BF5">
        <w:t>Income improved 5% to £892m primarily driven by an increase in the High Net Worth businesses:</w:t>
      </w:r>
    </w:p>
    <w:p w:rsidR="00A12DCA" w:rsidRPr="00100BF5" w:rsidRDefault="00A12DCA" w:rsidP="00DD6B51">
      <w:pPr>
        <w:pStyle w:val="Level2Bullet-BarcRA2"/>
        <w:numPr>
          <w:ilvl w:val="2"/>
          <w:numId w:val="9"/>
        </w:numPr>
        <w:tabs>
          <w:tab w:val="num" w:pos="567"/>
        </w:tabs>
        <w:ind w:left="567" w:hanging="283"/>
        <w:rPr>
          <w:lang w:val="en-GB"/>
        </w:rPr>
      </w:pPr>
      <w:r w:rsidRPr="00100BF5">
        <w:rPr>
          <w:lang w:val="en-GB"/>
        </w:rPr>
        <w:t xml:space="preserve">Net interest income grew 14% to £419m. Net interest margin increased to 125bps from 122bps with average </w:t>
      </w:r>
      <w:r w:rsidR="00661953" w:rsidRPr="00100BF5">
        <w:rPr>
          <w:lang w:val="en-GB"/>
        </w:rPr>
        <w:t>loans up £2.3bn</w:t>
      </w:r>
      <w:r w:rsidRPr="00100BF5">
        <w:rPr>
          <w:lang w:val="en-GB"/>
        </w:rPr>
        <w:t xml:space="preserve"> to £19.2bn and average customer </w:t>
      </w:r>
      <w:r w:rsidR="00661953" w:rsidRPr="00100BF5">
        <w:rPr>
          <w:lang w:val="en-GB"/>
        </w:rPr>
        <w:t>deposits</w:t>
      </w:r>
      <w:r w:rsidRPr="00100BF5">
        <w:rPr>
          <w:lang w:val="en-GB"/>
        </w:rPr>
        <w:t xml:space="preserve"> up </w:t>
      </w:r>
      <w:r w:rsidR="00661953" w:rsidRPr="00100BF5">
        <w:rPr>
          <w:lang w:val="en-GB"/>
        </w:rPr>
        <w:t>£4.3bn</w:t>
      </w:r>
      <w:r w:rsidRPr="00100BF5">
        <w:rPr>
          <w:lang w:val="en-GB"/>
        </w:rPr>
        <w:t xml:space="preserve"> to £48.2bn. </w:t>
      </w:r>
      <w:r w:rsidR="00661953" w:rsidRPr="00100BF5">
        <w:rPr>
          <w:lang w:val="en-GB"/>
        </w:rPr>
        <w:t>The g</w:t>
      </w:r>
      <w:r w:rsidRPr="00100BF5">
        <w:rPr>
          <w:lang w:val="en-GB"/>
        </w:rPr>
        <w:t xml:space="preserve">rowth in </w:t>
      </w:r>
      <w:r w:rsidR="00661953" w:rsidRPr="00100BF5">
        <w:rPr>
          <w:lang w:val="en-GB"/>
        </w:rPr>
        <w:t>deposits</w:t>
      </w:r>
      <w:r w:rsidRPr="00100BF5">
        <w:rPr>
          <w:lang w:val="en-GB"/>
        </w:rPr>
        <w:t xml:space="preserve"> was primarily driven by </w:t>
      </w:r>
      <w:r w:rsidR="00911600" w:rsidRPr="00100BF5">
        <w:rPr>
          <w:lang w:val="en-GB"/>
        </w:rPr>
        <w:t xml:space="preserve">an </w:t>
      </w:r>
      <w:r w:rsidRPr="00100BF5">
        <w:rPr>
          <w:lang w:val="en-GB"/>
        </w:rPr>
        <w:t xml:space="preserve">enhanced banking proposition in the High Net Worth businesses and a shift in client investment appetite towards holding cash in volatile market conditions </w:t>
      </w:r>
    </w:p>
    <w:p w:rsidR="00A12DCA" w:rsidRPr="00100BF5" w:rsidRDefault="00A12DCA" w:rsidP="00DD6B51">
      <w:pPr>
        <w:pStyle w:val="Level2Bullet-BarcRA2"/>
        <w:numPr>
          <w:ilvl w:val="2"/>
          <w:numId w:val="9"/>
        </w:numPr>
        <w:tabs>
          <w:tab w:val="num" w:pos="567"/>
        </w:tabs>
        <w:ind w:left="567" w:hanging="283"/>
        <w:rPr>
          <w:lang w:val="en-GB"/>
        </w:rPr>
      </w:pPr>
      <w:r w:rsidRPr="00100BF5">
        <w:rPr>
          <w:lang w:val="en-GB"/>
        </w:rPr>
        <w:t>Net fee and commission income decreased 1% to £467m due to reduced client activity in challenging market conditions</w:t>
      </w:r>
    </w:p>
    <w:p w:rsidR="00AF72CF" w:rsidRPr="00100BF5" w:rsidRDefault="00AF72CF" w:rsidP="00AF72CF">
      <w:pPr>
        <w:pStyle w:val="Level1Bullet-BarcRA03"/>
      </w:pPr>
      <w:r w:rsidRPr="00100BF5">
        <w:t>Operating expenses increased 1% to £751m as the continued cost of the strategic investment programme was partially offset by additional cost control initiatives</w:t>
      </w:r>
    </w:p>
    <w:p w:rsidR="00A12DCA" w:rsidRPr="00100BF5" w:rsidRDefault="00A12DCA" w:rsidP="00DD6B51">
      <w:pPr>
        <w:pStyle w:val="Level1Bullet-BarcRA03"/>
      </w:pPr>
      <w:r w:rsidRPr="00100BF5">
        <w:t xml:space="preserve">Return on average equity increased to 10.0% (2011: 9.6%) </w:t>
      </w:r>
    </w:p>
    <w:p w:rsidR="00A12DCA" w:rsidRPr="00100BF5" w:rsidRDefault="00A12DCA" w:rsidP="00A12DCA">
      <w:pPr>
        <w:pStyle w:val="Level1Bullet-BarcRA80"/>
        <w:numPr>
          <w:ilvl w:val="0"/>
          <w:numId w:val="0"/>
        </w:numPr>
        <w:ind w:left="284" w:hanging="284"/>
        <w:rPr>
          <w:b/>
          <w:sz w:val="20"/>
          <w:lang w:val="en-GB"/>
        </w:rPr>
      </w:pPr>
      <w:r w:rsidRPr="00100BF5">
        <w:rPr>
          <w:b/>
          <w:sz w:val="20"/>
        </w:rPr>
        <w:t>Income Statement – Q</w:t>
      </w:r>
      <w:r w:rsidRPr="00100BF5">
        <w:rPr>
          <w:b/>
          <w:sz w:val="20"/>
          <w:lang w:val="en-GB"/>
        </w:rPr>
        <w:t>2</w:t>
      </w:r>
      <w:r w:rsidR="00D6381B">
        <w:rPr>
          <w:b/>
          <w:sz w:val="20"/>
          <w:lang w:val="en-GB"/>
        </w:rPr>
        <w:t xml:space="preserve"> </w:t>
      </w:r>
      <w:r w:rsidRPr="00100BF5">
        <w:rPr>
          <w:b/>
          <w:sz w:val="20"/>
          <w:lang w:val="en-GB"/>
        </w:rPr>
        <w:t>1</w:t>
      </w:r>
      <w:r w:rsidRPr="00100BF5">
        <w:rPr>
          <w:b/>
          <w:sz w:val="20"/>
        </w:rPr>
        <w:t>2 compared to Q1</w:t>
      </w:r>
      <w:r w:rsidR="00D6381B">
        <w:rPr>
          <w:b/>
          <w:sz w:val="20"/>
          <w:lang w:val="en-GB"/>
        </w:rPr>
        <w:t xml:space="preserve"> </w:t>
      </w:r>
      <w:r w:rsidRPr="00100BF5">
        <w:rPr>
          <w:b/>
          <w:sz w:val="20"/>
        </w:rPr>
        <w:t>1</w:t>
      </w:r>
      <w:r w:rsidRPr="00100BF5">
        <w:rPr>
          <w:b/>
          <w:sz w:val="20"/>
          <w:lang w:val="en-GB"/>
        </w:rPr>
        <w:t>2</w:t>
      </w:r>
    </w:p>
    <w:p w:rsidR="00A12DCA" w:rsidRPr="00100BF5" w:rsidRDefault="00A12DCA" w:rsidP="00DD6B51">
      <w:pPr>
        <w:pStyle w:val="Level1Bullet-BarcRA03"/>
        <w:rPr>
          <w:lang w:val="en-GB"/>
        </w:rPr>
      </w:pPr>
      <w:r w:rsidRPr="00100BF5">
        <w:rPr>
          <w:lang w:val="en-GB"/>
        </w:rPr>
        <w:t>Profit before tax remained stable at £61m (Q1</w:t>
      </w:r>
      <w:r w:rsidR="00D6381B">
        <w:rPr>
          <w:lang w:val="en-GB"/>
        </w:rPr>
        <w:t xml:space="preserve"> </w:t>
      </w:r>
      <w:r w:rsidRPr="00100BF5">
        <w:rPr>
          <w:lang w:val="en-GB"/>
        </w:rPr>
        <w:t xml:space="preserve">12: £60m) </w:t>
      </w:r>
    </w:p>
    <w:p w:rsidR="00A12DCA" w:rsidRPr="00100BF5" w:rsidRDefault="00A12DCA" w:rsidP="00A12DCA">
      <w:pPr>
        <w:pStyle w:val="Level1Bullet-BarcRA80"/>
        <w:numPr>
          <w:ilvl w:val="0"/>
          <w:numId w:val="0"/>
        </w:numPr>
        <w:ind w:left="284" w:hanging="284"/>
        <w:rPr>
          <w:b/>
          <w:sz w:val="20"/>
        </w:rPr>
      </w:pPr>
      <w:r w:rsidRPr="00100BF5">
        <w:rPr>
          <w:b/>
          <w:sz w:val="20"/>
        </w:rPr>
        <w:t xml:space="preserve">Balance Sheet – </w:t>
      </w:r>
      <w:r w:rsidRPr="00100BF5">
        <w:rPr>
          <w:b/>
          <w:sz w:val="20"/>
          <w:lang w:val="en-GB"/>
        </w:rPr>
        <w:t>30 June 2012</w:t>
      </w:r>
      <w:r w:rsidRPr="00100BF5">
        <w:rPr>
          <w:b/>
          <w:sz w:val="20"/>
        </w:rPr>
        <w:t xml:space="preserve"> compared to </w:t>
      </w:r>
      <w:r w:rsidRPr="00100BF5">
        <w:rPr>
          <w:b/>
          <w:sz w:val="20"/>
          <w:lang w:val="en-GB"/>
        </w:rPr>
        <w:t>31 December 20</w:t>
      </w:r>
      <w:r w:rsidRPr="00100BF5">
        <w:rPr>
          <w:b/>
          <w:sz w:val="20"/>
        </w:rPr>
        <w:t xml:space="preserve">11 </w:t>
      </w:r>
    </w:p>
    <w:p w:rsidR="00A12DCA" w:rsidRPr="00100BF5" w:rsidRDefault="00A12DCA" w:rsidP="00DD6B51">
      <w:pPr>
        <w:pStyle w:val="Level1Bullet-BarcRA03"/>
        <w:rPr>
          <w:lang w:val="en-GB"/>
        </w:rPr>
      </w:pPr>
      <w:r w:rsidRPr="00100BF5">
        <w:rPr>
          <w:lang w:val="en-GB"/>
        </w:rPr>
        <w:t xml:space="preserve">Customer deposits increased 8% to £50.0bn and loans and advances to customers increased 5% to £19.8bn driven by growth in the High Net Worth businesses </w:t>
      </w:r>
    </w:p>
    <w:p w:rsidR="00A12DCA" w:rsidRPr="00100BF5" w:rsidRDefault="00A12DCA" w:rsidP="00DD6B51">
      <w:pPr>
        <w:pStyle w:val="Level1Bullet-BarcRA03"/>
        <w:rPr>
          <w:lang w:val="en-GB"/>
        </w:rPr>
      </w:pPr>
      <w:r w:rsidRPr="00100BF5">
        <w:rPr>
          <w:lang w:val="en-GB"/>
        </w:rPr>
        <w:t>Client assets increased to £176.1bn (2011: £164.2bn) driven by net new assets in the High Net Worth businesses offset by market, foreign exchange and other movements</w:t>
      </w:r>
    </w:p>
    <w:p w:rsidR="00A12DCA" w:rsidRPr="00100BF5" w:rsidRDefault="00A12DCA" w:rsidP="00DD6B51">
      <w:pPr>
        <w:pStyle w:val="Level1Bullet-BarcRA03"/>
        <w:rPr>
          <w:lang w:val="en-GB"/>
        </w:rPr>
      </w:pPr>
      <w:r w:rsidRPr="00100BF5">
        <w:rPr>
          <w:lang w:val="en-GB"/>
        </w:rPr>
        <w:t>Risk weighted assets increased 7% to £14.0bn principally due to growth in lending balances</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810BB" w:rsidRPr="00100BF5" w:rsidTr="00D54056">
        <w:tblPrEx>
          <w:tblCellMar>
            <w:top w:w="0" w:type="dxa"/>
            <w:bottom w:w="0" w:type="dxa"/>
          </w:tblCellMar>
        </w:tblPrEx>
        <w:trPr>
          <w:trHeight w:val="315"/>
        </w:trPr>
        <w:tc>
          <w:tcPr>
            <w:tcW w:w="8880" w:type="dxa"/>
            <w:gridSpan w:val="8"/>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Head Office and Other Operations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b/>
                <w:sz w:val="24"/>
              </w:rPr>
              <w:t xml:space="preserve"> </w:t>
            </w:r>
          </w:p>
        </w:tc>
      </w:tr>
      <w:tr w:rsidR="000810BB" w:rsidRPr="00100BF5" w:rsidTr="00D54056">
        <w:tblPrEx>
          <w:tblCellMar>
            <w:top w:w="0" w:type="dxa"/>
            <w:bottom w:w="0" w:type="dxa"/>
          </w:tblCellMar>
        </w:tblPrEx>
        <w:trPr>
          <w:trHeight w:val="27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sz w:val="16"/>
              </w:rPr>
              <w:t xml:space="preserve"> </w:t>
            </w:r>
            <w:r w:rsidRPr="00100BF5">
              <w:rPr>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vertAlign w:val="superscript"/>
              </w:rPr>
            </w:pPr>
            <w:r w:rsidRPr="00100BF5">
              <w:rPr>
                <w:b/>
                <w:sz w:val="16"/>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Half Year Ended</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Income Statement Information</w:t>
            </w:r>
            <w:r w:rsidRPr="00100BF5">
              <w:rPr>
                <w:b/>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20"/>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30.06.11</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val="165"/>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23374">
            <w:pPr>
              <w:rPr>
                <w:sz w:val="16"/>
              </w:rPr>
            </w:pPr>
            <w:r w:rsidRPr="00100BF5">
              <w:rPr>
                <w:sz w:val="16"/>
              </w:rPr>
              <w:t>Adjusted total income/(expense) net of insurance claims</w:t>
            </w:r>
            <w:r w:rsidRPr="00100BF5">
              <w:rPr>
                <w:sz w:val="16"/>
                <w:vertAlign w:val="superscript"/>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218 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(243)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20 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Own credit</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(2,945)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2,619 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89 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Gains on debt buy-backs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1,130 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Gain/(loss) on disposal of investment in BlackRock, Inc.</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227 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(58)</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23374">
            <w:pPr>
              <w:rPr>
                <w:sz w:val="16"/>
              </w:rPr>
            </w:pPr>
            <w:r w:rsidRPr="00100BF5">
              <w:rPr>
                <w:b/>
                <w:sz w:val="16"/>
              </w:rPr>
              <w:t>Total (expense)/income net of insurance claims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b/>
                <w:sz w:val="16"/>
              </w:rPr>
            </w:pPr>
            <w:r w:rsidRPr="00100BF5">
              <w:rPr>
                <w:b/>
                <w:sz w:val="16"/>
              </w:rPr>
              <w:t>(2,500)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3,506 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51 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Credit impairment (charges)/release and other provisions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Impairment of investment in BlackRock, Inc.</w:t>
            </w:r>
            <w:r w:rsidRPr="00100BF5">
              <w:rPr>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(1,800)</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23374">
            <w:pPr>
              <w:rPr>
                <w:sz w:val="16"/>
              </w:rPr>
            </w:pPr>
            <w:r w:rsidRPr="00100BF5">
              <w:rPr>
                <w:b/>
                <w:sz w:val="16"/>
              </w:rPr>
              <w:t>Net operating (expense)/income</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b/>
                <w:sz w:val="16"/>
              </w:rPr>
            </w:pPr>
            <w:r w:rsidRPr="00100BF5">
              <w:rPr>
                <w:b/>
                <w:sz w:val="16"/>
              </w:rPr>
              <w:t>(2,505)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1,706 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52 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hRule="exact" w:val="254"/>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Operating expenses (excluding bank levy)</w:t>
            </w:r>
            <w:r w:rsidRPr="00100BF5">
              <w:rPr>
                <w:b/>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(425)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sz w:val="16"/>
              </w:rPr>
              <w:t>(259)</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(204)</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UK bank levy</w:t>
            </w:r>
            <w:r w:rsidRPr="00100BF5">
              <w:rPr>
                <w:b/>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sz w:val="16"/>
              </w:rPr>
              <w:t>(325)</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Operating expenses</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b/>
                <w:sz w:val="16"/>
              </w:rPr>
            </w:pPr>
            <w:r w:rsidRPr="00100BF5">
              <w:rPr>
                <w:b/>
                <w:sz w:val="16"/>
              </w:rPr>
              <w:t>(425)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(584)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(204)</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hRule="exact" w:val="26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val="267"/>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D6745F" w:rsidP="00523374">
            <w:pPr>
              <w:rPr>
                <w:b/>
                <w:sz w:val="16"/>
              </w:rPr>
            </w:pPr>
            <w:r w:rsidRPr="00100BF5">
              <w:rPr>
                <w:sz w:val="16"/>
                <w:szCs w:val="14"/>
              </w:rPr>
              <w:t xml:space="preserve">Other net </w:t>
            </w:r>
            <w:r w:rsidR="00B05D0A" w:rsidRPr="00100BF5">
              <w:rPr>
                <w:sz w:val="16"/>
                <w:szCs w:val="14"/>
              </w:rPr>
              <w:t>income/(</w:t>
            </w:r>
            <w:r w:rsidRPr="00100BF5">
              <w:rPr>
                <w:sz w:val="16"/>
                <w:szCs w:val="14"/>
              </w:rPr>
              <w:t>expense</w:t>
            </w:r>
            <w:r w:rsidR="00B05D0A" w:rsidRPr="00100BF5">
              <w:rPr>
                <w:sz w:val="16"/>
                <w:szCs w:val="14"/>
              </w:rPr>
              <w:t>)</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23 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(22)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(Loss)/profit before tax</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b/>
                <w:sz w:val="16"/>
              </w:rPr>
            </w:pPr>
            <w:r w:rsidRPr="00100BF5">
              <w:rPr>
                <w:b/>
                <w:sz w:val="16"/>
              </w:rPr>
              <w:t>(2,907)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1,100 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(153)</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0D0C69">
        <w:tblPrEx>
          <w:tblCellMar>
            <w:top w:w="0" w:type="dxa"/>
            <w:bottom w:w="0" w:type="dxa"/>
          </w:tblCellMar>
        </w:tblPrEx>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Adjusted loss before tax</w:t>
            </w:r>
            <w:r w:rsidRPr="00100BF5">
              <w:rPr>
                <w:b/>
                <w:sz w:val="16"/>
                <w:vertAlign w:val="superscript"/>
              </w:rPr>
              <w:t>2 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b/>
                <w:sz w:val="16"/>
              </w:rPr>
            </w:pPr>
            <w:r w:rsidRPr="00100BF5">
              <w:rPr>
                <w:b/>
                <w:sz w:val="16"/>
              </w:rPr>
              <w:t>(189)</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(827)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b/>
                <w:sz w:val="16"/>
              </w:rPr>
            </w:pPr>
            <w:r w:rsidRPr="00100BF5">
              <w:rPr>
                <w:b/>
                <w:sz w:val="16"/>
              </w:rPr>
              <w:t>(183)</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bl>
    <w:p w:rsidR="00D54056" w:rsidRPr="00100BF5" w:rsidRDefault="00D54056"/>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A12DCA" w:rsidRPr="00100BF5" w:rsidTr="000D0C69">
        <w:tblPrEx>
          <w:tblCellMar>
            <w:top w:w="0" w:type="dxa"/>
            <w:bottom w:w="0" w:type="dxa"/>
          </w:tblCellMar>
        </w:tblPrEx>
        <w:trPr>
          <w:trHeight w:hRule="exact" w:val="145"/>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 xml:space="preserve"> </w:t>
            </w:r>
            <w:r w:rsidRPr="00100BF5">
              <w:rPr>
                <w:b/>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20"/>
              </w:rPr>
            </w:pPr>
            <w:r w:rsidRPr="00100BF5">
              <w:rPr>
                <w:b/>
                <w:sz w:val="20"/>
              </w:rPr>
              <w:t>Balance Sheet Information and Key Facts</w:t>
            </w:r>
            <w:r w:rsidRPr="00100BF5">
              <w:rPr>
                <w:b/>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D0C69">
            <w:pPr>
              <w:jc w:val="right"/>
              <w:rPr>
                <w:sz w:val="20"/>
              </w:rPr>
            </w:pPr>
            <w:r w:rsidRPr="00100BF5">
              <w:rPr>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20"/>
              </w:rPr>
            </w:pPr>
            <w:r w:rsidRPr="00100BF5">
              <w:rPr>
                <w:sz w:val="20"/>
              </w:rPr>
              <w:t xml:space="preserve"> </w:t>
            </w:r>
          </w:p>
        </w:tc>
      </w:tr>
      <w:tr w:rsidR="00A12DCA" w:rsidRPr="00100BF5" w:rsidTr="000D0C69">
        <w:tblPrEx>
          <w:tblCellMar>
            <w:top w:w="0" w:type="dxa"/>
            <w:bottom w:w="0" w:type="dxa"/>
          </w:tblCellMar>
        </w:tblPrEx>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20"/>
              </w:rPr>
            </w:pPr>
            <w:r w:rsidRPr="00100BF5">
              <w:rPr>
                <w:sz w:val="16"/>
              </w:rPr>
              <w:t>Total assets</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£35.0bn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£31.9bn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£41.9bn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Risk weighted assets</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£2.7bn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£2.5bn</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£1.7bn</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0D0C69">
        <w:tblPrEx>
          <w:tblCellMar>
            <w:top w:w="0" w:type="dxa"/>
            <w:bottom w:w="0" w:type="dxa"/>
          </w:tblCellMar>
        </w:tblPrEx>
        <w:trPr>
          <w:trHeight w:val="240"/>
        </w:trPr>
        <w:tc>
          <w:tcPr>
            <w:tcW w:w="427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Number of employees (full time equivalent)</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0D0C69">
            <w:pPr>
              <w:jc w:val="right"/>
              <w:rPr>
                <w:sz w:val="16"/>
              </w:rPr>
            </w:pPr>
            <w:r w:rsidRPr="00100BF5">
              <w:rPr>
                <w:sz w:val="16"/>
              </w:rPr>
              <w:t>1,700 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1,400 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D0C69">
            <w:pPr>
              <w:jc w:val="right"/>
              <w:rPr>
                <w:sz w:val="16"/>
              </w:rPr>
            </w:pPr>
            <w:r w:rsidRPr="00100BF5">
              <w:rPr>
                <w:sz w:val="16"/>
              </w:rPr>
              <w:t>1,500 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A12DCA" w:rsidRPr="00100BF5" w:rsidRDefault="00A12DCA"/>
    <w:p w:rsidR="00A12DCA" w:rsidRPr="00100BF5" w:rsidRDefault="00A12DCA" w:rsidP="00A12DCA">
      <w:pPr>
        <w:pStyle w:val="Normal26"/>
        <w:spacing w:line="14" w:lineRule="exact"/>
      </w:pPr>
    </w:p>
    <w:p w:rsidR="00A12DCA" w:rsidRPr="00B673C0" w:rsidRDefault="00A12DCA" w:rsidP="00A12DCA">
      <w:pPr>
        <w:pStyle w:val="Normal00"/>
        <w:ind w:left="284" w:hanging="284"/>
        <w:rPr>
          <w:rFonts w:ascii="Expert Sans Regular" w:hAnsi="Expert Sans Regular"/>
          <w:i/>
          <w:sz w:val="12"/>
          <w:szCs w:val="12"/>
        </w:rPr>
      </w:pPr>
    </w:p>
    <w:p w:rsidR="00A12DCA" w:rsidRPr="00100BF5" w:rsidRDefault="00A12DCA" w:rsidP="00A12DCA">
      <w:pPr>
        <w:pStyle w:val="Level1Bullet-BarcRA203"/>
        <w:numPr>
          <w:ilvl w:val="0"/>
          <w:numId w:val="0"/>
        </w:numPr>
        <w:tabs>
          <w:tab w:val="left" w:pos="720"/>
        </w:tabs>
        <w:spacing w:before="0"/>
        <w:ind w:left="284" w:hanging="284"/>
        <w:rPr>
          <w:b/>
          <w:sz w:val="20"/>
        </w:rPr>
      </w:pPr>
      <w:r w:rsidRPr="00100BF5">
        <w:rPr>
          <w:b/>
          <w:sz w:val="20"/>
          <w:lang w:val="en-GB"/>
        </w:rPr>
        <w:t>Income Statement – H1</w:t>
      </w:r>
      <w:r w:rsidR="00D6381B">
        <w:rPr>
          <w:b/>
          <w:sz w:val="20"/>
          <w:lang w:val="en-GB"/>
        </w:rPr>
        <w:t xml:space="preserve"> </w:t>
      </w:r>
      <w:r w:rsidRPr="00100BF5">
        <w:rPr>
          <w:b/>
          <w:sz w:val="20"/>
          <w:lang w:val="en-GB"/>
        </w:rPr>
        <w:t>12 compared to H1</w:t>
      </w:r>
      <w:r w:rsidR="00D6381B">
        <w:rPr>
          <w:b/>
          <w:sz w:val="20"/>
          <w:lang w:val="en-GB"/>
        </w:rPr>
        <w:t xml:space="preserve"> </w:t>
      </w:r>
      <w:r w:rsidRPr="00100BF5">
        <w:rPr>
          <w:b/>
          <w:sz w:val="20"/>
          <w:lang w:val="en-GB"/>
        </w:rPr>
        <w:t>11</w:t>
      </w:r>
    </w:p>
    <w:p w:rsidR="00A12DCA" w:rsidRPr="00100BF5" w:rsidRDefault="00A12DCA" w:rsidP="00CC1371">
      <w:pPr>
        <w:pStyle w:val="Level1Bullet-BarcRA03"/>
        <w:rPr>
          <w:lang w:val="en-GB"/>
        </w:rPr>
      </w:pPr>
      <w:r w:rsidRPr="00100BF5">
        <w:rPr>
          <w:lang w:val="en-GB"/>
        </w:rPr>
        <w:t>Adjusted loss before tax increased 3% to £189m</w:t>
      </w:r>
    </w:p>
    <w:p w:rsidR="00A12DCA" w:rsidRPr="00100BF5" w:rsidRDefault="00A12DCA" w:rsidP="00CC1371">
      <w:pPr>
        <w:pStyle w:val="Level2Bullet-BarcRA2"/>
        <w:numPr>
          <w:ilvl w:val="2"/>
          <w:numId w:val="9"/>
        </w:numPr>
        <w:tabs>
          <w:tab w:val="num" w:pos="567"/>
        </w:tabs>
        <w:ind w:left="567" w:hanging="283"/>
        <w:rPr>
          <w:lang w:val="en-GB"/>
        </w:rPr>
      </w:pPr>
      <w:r w:rsidRPr="00100BF5">
        <w:rPr>
          <w:lang w:val="en-GB"/>
        </w:rPr>
        <w:t>Income improved to £218m (2011: £20m), principally due to a one-time gain relating to hedges of employee share awards t</w:t>
      </w:r>
      <w:r w:rsidR="00D6381B">
        <w:rPr>
          <w:lang w:val="en-GB"/>
        </w:rPr>
        <w:t xml:space="preserve">hat were closed out during Q1 </w:t>
      </w:r>
      <w:r w:rsidRPr="00100BF5">
        <w:rPr>
          <w:lang w:val="en-GB"/>
        </w:rPr>
        <w:t>12</w:t>
      </w:r>
    </w:p>
    <w:p w:rsidR="00A12DCA" w:rsidRPr="00100BF5" w:rsidRDefault="00A12DCA" w:rsidP="00CC1371">
      <w:pPr>
        <w:pStyle w:val="Level2Bullet-BarcRA2"/>
        <w:numPr>
          <w:ilvl w:val="2"/>
          <w:numId w:val="9"/>
        </w:numPr>
        <w:tabs>
          <w:tab w:val="num" w:pos="567"/>
        </w:tabs>
        <w:ind w:left="567" w:hanging="283"/>
        <w:rPr>
          <w:lang w:val="en-GB"/>
        </w:rPr>
      </w:pPr>
      <w:r w:rsidRPr="00100BF5">
        <w:rPr>
          <w:lang w:val="en-GB"/>
        </w:rPr>
        <w:t>Operating expenses increased to £425m (2011: £204m) due to higher regulatory costs and a £97m charge relating to the allocation to Head Office and Other Operations of the £290m penalty arising from the industry wide investigation into the setting of interbank offered rates</w:t>
      </w:r>
    </w:p>
    <w:p w:rsidR="00A12DCA" w:rsidRPr="00100BF5" w:rsidRDefault="00A12DCA" w:rsidP="00CC1371">
      <w:pPr>
        <w:pStyle w:val="Level1Bullet-BarcRA03"/>
      </w:pPr>
      <w:r w:rsidRPr="00100BF5">
        <w:t>Statutory loss before tax increased to £2,907m (2011: £153m) reflecting an own credit charge of £2,945m (2011: gain of £89m), partially offset by the gain on sale of the strategic investment in Blackrock, Inc. of £227m (2011: £58m loss)</w:t>
      </w:r>
    </w:p>
    <w:p w:rsidR="00A12DCA" w:rsidRPr="00100BF5" w:rsidRDefault="00A12DCA" w:rsidP="00CC1371">
      <w:pPr>
        <w:pStyle w:val="Level1Bullet-BarcRA03"/>
      </w:pPr>
      <w:r w:rsidRPr="00100BF5">
        <w:t>The 2012 impact of the UK bank levy, which is calculated by reference to the Group’s liabilities as at 31 December 2012, has not been reflected in these results in accordance with IFRS. The total cost for 2012, due to be recognised in the fourth quarter, is expected to be approximately £360m</w:t>
      </w:r>
    </w:p>
    <w:p w:rsidR="00A12DCA" w:rsidRPr="00100BF5" w:rsidRDefault="00A12DCA" w:rsidP="002461E7">
      <w:pPr>
        <w:pStyle w:val="Level1Bullet-BarcRA203"/>
        <w:numPr>
          <w:ilvl w:val="0"/>
          <w:numId w:val="0"/>
        </w:numPr>
        <w:tabs>
          <w:tab w:val="left" w:pos="720"/>
        </w:tabs>
        <w:spacing w:before="160"/>
        <w:ind w:left="284" w:hanging="284"/>
        <w:rPr>
          <w:b/>
          <w:sz w:val="20"/>
          <w:lang w:val="en-GB"/>
        </w:rPr>
      </w:pPr>
      <w:r w:rsidRPr="00100BF5">
        <w:rPr>
          <w:b/>
          <w:sz w:val="20"/>
          <w:lang w:val="en-GB"/>
        </w:rPr>
        <w:t>Income Statement – Q2</w:t>
      </w:r>
      <w:r w:rsidR="00D6381B">
        <w:rPr>
          <w:b/>
          <w:sz w:val="20"/>
          <w:lang w:val="en-GB"/>
        </w:rPr>
        <w:t xml:space="preserve"> </w:t>
      </w:r>
      <w:r w:rsidRPr="00100BF5">
        <w:rPr>
          <w:b/>
          <w:sz w:val="20"/>
          <w:lang w:val="en-GB"/>
        </w:rPr>
        <w:t>12 compared to Q1</w:t>
      </w:r>
      <w:r w:rsidR="00D6381B">
        <w:rPr>
          <w:b/>
          <w:sz w:val="20"/>
          <w:lang w:val="en-GB"/>
        </w:rPr>
        <w:t xml:space="preserve"> </w:t>
      </w:r>
      <w:r w:rsidRPr="00100BF5">
        <w:rPr>
          <w:b/>
          <w:sz w:val="20"/>
          <w:lang w:val="en-GB"/>
        </w:rPr>
        <w:t>12</w:t>
      </w:r>
    </w:p>
    <w:p w:rsidR="00A12DCA" w:rsidRPr="00100BF5" w:rsidRDefault="00A12DCA" w:rsidP="00CC1371">
      <w:pPr>
        <w:pStyle w:val="Level1Bullet-BarcRA03"/>
      </w:pPr>
      <w:r w:rsidRPr="00100BF5">
        <w:t>Adjusted</w:t>
      </w:r>
      <w:r w:rsidR="00D6381B">
        <w:t xml:space="preserve"> loss before tax of £272m (Q1 </w:t>
      </w:r>
      <w:r w:rsidRPr="00100BF5">
        <w:t>12: profit before tax £83m) principally reflects the non recurrence of gain on hedges of employee share awar</w:t>
      </w:r>
      <w:r w:rsidR="00D6381B">
        <w:t xml:space="preserve">ds that were closed out in Q1 </w:t>
      </w:r>
      <w:r w:rsidRPr="00100BF5">
        <w:t>12 and the penalty arising from the investigation into interbank offered rates recognised in Q2</w:t>
      </w:r>
      <w:r w:rsidR="00D6381B">
        <w:rPr>
          <w:lang w:val="en-GB"/>
        </w:rPr>
        <w:t xml:space="preserve"> 12</w:t>
      </w:r>
      <w:r w:rsidRPr="00100BF5">
        <w:t>. Loss bef</w:t>
      </w:r>
      <w:r w:rsidR="00D6381B">
        <w:t xml:space="preserve">ore tax improved to £370m (Q1 </w:t>
      </w:r>
      <w:r w:rsidRPr="00100BF5">
        <w:t xml:space="preserve">12: £2,537m), reflecting reduced own credit charges and the Q2 </w:t>
      </w:r>
      <w:r w:rsidR="00D6381B">
        <w:rPr>
          <w:lang w:val="en-GB"/>
        </w:rPr>
        <w:t xml:space="preserve">12 </w:t>
      </w:r>
      <w:r w:rsidRPr="00100BF5">
        <w:t>gain on sale of the investment BlackRock, Inc.</w:t>
      </w:r>
    </w:p>
    <w:p w:rsidR="00A12DCA" w:rsidRPr="00100BF5" w:rsidRDefault="00A12DCA" w:rsidP="002461E7">
      <w:pPr>
        <w:pStyle w:val="Level1Bullet-BarcRA203"/>
        <w:numPr>
          <w:ilvl w:val="0"/>
          <w:numId w:val="0"/>
        </w:numPr>
        <w:tabs>
          <w:tab w:val="left" w:pos="720"/>
        </w:tabs>
        <w:spacing w:before="160"/>
        <w:ind w:left="284" w:hanging="284"/>
        <w:rPr>
          <w:b/>
          <w:sz w:val="20"/>
          <w:lang w:val="en-GB"/>
        </w:rPr>
      </w:pPr>
      <w:r w:rsidRPr="00100BF5">
        <w:rPr>
          <w:b/>
          <w:sz w:val="20"/>
          <w:lang w:val="en-GB"/>
        </w:rPr>
        <w:t>Balance Sheet – 30 June 2012 compared to 31 December 2011</w:t>
      </w:r>
    </w:p>
    <w:p w:rsidR="00A12DCA" w:rsidRPr="00100BF5" w:rsidRDefault="00A12DCA" w:rsidP="00CC1371">
      <w:pPr>
        <w:pStyle w:val="Level1Bullet-BarcRA03"/>
        <w:rPr>
          <w:lang w:val="en-GB"/>
        </w:rPr>
      </w:pPr>
      <w:r w:rsidRPr="00100BF5">
        <w:rPr>
          <w:lang w:val="en-GB"/>
        </w:rPr>
        <w:t>Total assets increased to £35.0bn (31 December 2011: £31.9bn) reflecting growth in the liquidity bond portfolio, partially offset by the sale of the strategic investment in Blackrock, Inc.</w:t>
      </w:r>
    </w:p>
    <w:p w:rsidR="00A12DCA" w:rsidRDefault="00A12DCA" w:rsidP="00D54056">
      <w:pPr>
        <w:pStyle w:val="Level1Bullet-BarcRA03"/>
        <w:spacing w:after="40"/>
        <w:rPr>
          <w:lang w:val="en-GB"/>
        </w:rPr>
      </w:pPr>
      <w:r w:rsidRPr="00100BF5">
        <w:rPr>
          <w:lang w:val="en-GB"/>
        </w:rPr>
        <w:t>Risk weighted assets increased 8% to £2.7bn</w:t>
      </w:r>
    </w:p>
    <w:p w:rsidR="00B673C0" w:rsidRPr="00100BF5" w:rsidRDefault="00B673C0" w:rsidP="00B673C0">
      <w:pPr>
        <w:pStyle w:val="BodyText-BarcRA19"/>
        <w:spacing w:before="0" w:after="0"/>
        <w:rPr>
          <w:sz w:val="2"/>
          <w:szCs w:val="2"/>
        </w:rPr>
      </w:pPr>
    </w:p>
    <w:p w:rsidR="00B673C0" w:rsidRPr="00100BF5" w:rsidRDefault="00B673C0" w:rsidP="00B673C0">
      <w:pPr>
        <w:pStyle w:val="BodyText-BarcRA19"/>
        <w:spacing w:before="0" w:after="0"/>
        <w:rPr>
          <w:sz w:val="2"/>
          <w:szCs w:val="2"/>
        </w:rPr>
      </w:pPr>
    </w:p>
    <w:p w:rsidR="00B673C0" w:rsidRPr="00100BF5" w:rsidRDefault="00B673C0" w:rsidP="00450A2A">
      <w:pPr>
        <w:pStyle w:val="HeadingLevel1-BarcRA15"/>
        <w:numPr>
          <w:ilvl w:val="0"/>
          <w:numId w:val="141"/>
        </w:numPr>
        <w:spacing w:after="0"/>
        <w:ind w:left="284" w:hanging="284"/>
        <w:rPr>
          <w:b w:val="0"/>
          <w:i/>
          <w:color w:val="auto"/>
          <w:sz w:val="14"/>
          <w:lang w:val="en-GB"/>
        </w:rPr>
      </w:pPr>
      <w:r>
        <w:rPr>
          <w:b w:val="0"/>
          <w:i/>
          <w:color w:val="auto"/>
          <w:sz w:val="14"/>
          <w:lang w:val="en-GB"/>
        </w:rPr>
        <w:t>In</w:t>
      </w:r>
      <w:r w:rsidR="00EF5141">
        <w:rPr>
          <w:b w:val="0"/>
          <w:i/>
          <w:color w:val="auto"/>
          <w:sz w:val="14"/>
          <w:lang w:val="en-GB"/>
        </w:rPr>
        <w:t>c</w:t>
      </w:r>
      <w:r w:rsidRPr="00100BF5">
        <w:rPr>
          <w:b w:val="0"/>
          <w:i/>
          <w:sz w:val="14"/>
          <w:szCs w:val="14"/>
        </w:rPr>
        <w:t>ludes net interest income of £98m (</w:t>
      </w:r>
      <w:r w:rsidR="0019307E">
        <w:rPr>
          <w:b w:val="0"/>
          <w:i/>
          <w:sz w:val="14"/>
          <w:szCs w:val="14"/>
          <w:lang w:val="en-GB"/>
        </w:rPr>
        <w:t xml:space="preserve">H2 11: </w:t>
      </w:r>
      <w:r w:rsidRPr="00100BF5">
        <w:rPr>
          <w:b w:val="0"/>
          <w:i/>
          <w:sz w:val="14"/>
          <w:szCs w:val="14"/>
        </w:rPr>
        <w:t>expense of £950m</w:t>
      </w:r>
      <w:r w:rsidR="0019307E">
        <w:rPr>
          <w:b w:val="0"/>
          <w:i/>
          <w:sz w:val="14"/>
          <w:szCs w:val="14"/>
          <w:lang w:val="en-GB"/>
        </w:rPr>
        <w:t xml:space="preserve">; H1 11: </w:t>
      </w:r>
      <w:r w:rsidRPr="00100BF5">
        <w:rPr>
          <w:b w:val="0"/>
          <w:i/>
          <w:sz w:val="14"/>
          <w:szCs w:val="14"/>
        </w:rPr>
        <w:t>expense of £15m</w:t>
      </w:r>
      <w:r w:rsidR="0019307E">
        <w:rPr>
          <w:b w:val="0"/>
          <w:i/>
          <w:sz w:val="14"/>
          <w:szCs w:val="14"/>
          <w:lang w:val="en-GB"/>
        </w:rPr>
        <w:t>)</w:t>
      </w:r>
      <w:r w:rsidRPr="00100BF5">
        <w:rPr>
          <w:b w:val="0"/>
          <w:i/>
          <w:sz w:val="14"/>
          <w:szCs w:val="14"/>
        </w:rPr>
        <w:t>.</w:t>
      </w:r>
    </w:p>
    <w:p w:rsidR="00A12DCA" w:rsidRPr="00100BF5" w:rsidRDefault="00A12DCA" w:rsidP="00A12DCA">
      <w:pPr>
        <w:pStyle w:val="BarclaysFooterText"/>
        <w:spacing w:before="20" w:after="0"/>
        <w:ind w:left="284" w:hanging="284"/>
        <w:rPr>
          <w:b w:val="0"/>
          <w:i/>
          <w:sz w:val="14"/>
          <w:szCs w:val="14"/>
        </w:rPr>
      </w:pPr>
      <w:r w:rsidRPr="00100BF5">
        <w:rPr>
          <w:b w:val="0"/>
          <w:i/>
          <w:sz w:val="14"/>
        </w:rPr>
        <w:t xml:space="preserve">2    </w:t>
      </w:r>
      <w:r w:rsidR="008C4EF9" w:rsidRPr="00100BF5">
        <w:rPr>
          <w:b w:val="0"/>
          <w:i/>
          <w:sz w:val="14"/>
        </w:rPr>
        <w:t xml:space="preserve"> </w:t>
      </w:r>
      <w:r w:rsidRPr="00100BF5">
        <w:rPr>
          <w:b w:val="0"/>
          <w:i/>
          <w:sz w:val="14"/>
        </w:rPr>
        <w:t>Adjusted performance measures and profit before tax exclude the impact of £2,945m (2011: gain of £89m) own credit loss, £nil (2011: £1m loss) gains on acquisitions and disposals and £227m (2011: loss of £58m) gain on disposal of strategic investment in BlackRock, Inc.</w:t>
      </w:r>
    </w:p>
    <w:p w:rsidR="00A12DCA" w:rsidRPr="00100BF5" w:rsidRDefault="00A12DCA">
      <w:pPr>
        <w:rPr>
          <w:b/>
          <w:i/>
          <w:sz w:val="14"/>
          <w:szCs w:val="14"/>
        </w:r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t>Business Results by Quarter</w:t>
      </w: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UK RBB</w:t>
            </w:r>
            <w:r w:rsidRPr="00100BF5">
              <w:rPr>
                <w:sz w:val="20"/>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20"/>
                <w:szCs w:val="14"/>
                <w:vertAlign w:val="superscript"/>
              </w:rPr>
            </w:pPr>
            <w:r w:rsidRPr="00100BF5">
              <w:rPr>
                <w:b/>
                <w:sz w:val="16"/>
                <w:szCs w:val="14"/>
              </w:rPr>
              <w:t>Q212</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Q112</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Q411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Q311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Q211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Q111</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Total 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1,128 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1,077 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1,129 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1,273 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1,170 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1,084 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(46)</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(76)</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(156)</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(105)</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(131)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(144)</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1,082 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1,001 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973 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1,168 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1,039 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940 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(671)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(666)</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(752)</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(675)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(622)</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(653)</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szCs w:val="14"/>
              </w:rPr>
            </w:pPr>
            <w:r w:rsidRPr="00100BF5">
              <w:rPr>
                <w:sz w:val="16"/>
                <w:szCs w:val="14"/>
              </w:rPr>
              <w:t>Other net income/(expense)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412 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334 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222 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494 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416 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288 </w:t>
            </w:r>
          </w:p>
        </w:tc>
      </w:tr>
      <w:tr w:rsidR="00A12DCA" w:rsidRPr="00100BF5" w:rsidTr="00503BE9">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Adjusting items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Provision for PPI redress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(300)</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(400)</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Statutory 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412 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34 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222 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494 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16 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288 </w:t>
            </w:r>
          </w:p>
        </w:tc>
      </w:tr>
    </w:tbl>
    <w:p w:rsidR="00A12DCA" w:rsidRPr="00100BF5" w:rsidRDefault="00A12DCA">
      <w:pPr>
        <w:rPr>
          <w:b/>
          <w:i/>
          <w:sz w:val="14"/>
          <w:szCs w:val="14"/>
        </w:rPr>
      </w:pP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Europe RBB</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Total 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243 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243 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247 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375 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309 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295 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(85)</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(72)</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(83)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(47)</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(69)</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158 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171 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164 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313 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262 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226 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(217)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(291)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(263)</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(368)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(289)</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Other net income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(loss)/profit before tax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(49)</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(43)</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(125)</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52 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(102)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(59)</w:t>
            </w:r>
          </w:p>
        </w:tc>
      </w:tr>
      <w:tr w:rsidR="00A12DCA" w:rsidRPr="00100BF5" w:rsidTr="00503BE9">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Adjusting items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Goodwill impairment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(427)</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Statutory (loss)/profit before tax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(49)</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(43)</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(552)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52 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(102)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(59)</w:t>
            </w:r>
          </w:p>
        </w:tc>
      </w:tr>
    </w:tbl>
    <w:p w:rsidR="00A12DCA" w:rsidRPr="00100BF5" w:rsidRDefault="00A12DCA">
      <w:pPr>
        <w:rPr>
          <w:b/>
          <w:i/>
          <w:sz w:val="14"/>
          <w:szCs w:val="14"/>
        </w:rPr>
      </w:pP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Africa RBB</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Total 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795 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830 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861 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940 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906 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864 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(214)</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(126)</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(144)</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581 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723 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773 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832 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780 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720 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(485)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(548)</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(505)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(613)</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(586)</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(575)</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Other net income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97 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177 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269 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219 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195 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147 </w:t>
            </w:r>
          </w:p>
        </w:tc>
      </w:tr>
      <w:tr w:rsidR="00A12DCA" w:rsidRPr="00100BF5" w:rsidTr="00503BE9">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55"/>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Adjusting items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Gains on acquisitions and disposals </w:t>
            </w:r>
            <w:r w:rsidRPr="00100BF5">
              <w:rPr>
                <w:sz w:val="16"/>
                <w:szCs w:val="14"/>
                <w:vertAlign w:val="superscript"/>
              </w:rPr>
              <w:t xml:space="preserve"> </w:t>
            </w:r>
          </w:p>
        </w:tc>
        <w:tc>
          <w:tcPr>
            <w:tcW w:w="900" w:type="dxa"/>
            <w:tcBorders>
              <w:top w:val="single" w:sz="6" w:space="0" w:color="969696"/>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c>
          <w:tcPr>
            <w:tcW w:w="90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Statutory profit before tax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97 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177 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269 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221 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195 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147 </w:t>
            </w:r>
          </w:p>
        </w:tc>
      </w:tr>
    </w:tbl>
    <w:p w:rsidR="00A12DCA" w:rsidRPr="00100BF5" w:rsidRDefault="00A12DCA">
      <w:pPr>
        <w:rPr>
          <w:b/>
          <w:i/>
          <w:sz w:val="14"/>
          <w:szCs w:val="14"/>
        </w:rPr>
      </w:pP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Barclaycard</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Total 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1,036 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990 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983 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1,140 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1,012 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960 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(228)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(232)</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(271)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(340)</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(344)</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(304)</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808 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758 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712 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800 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668 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656 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(412)</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(418)</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(458)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(430)</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(400)</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(371)</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Other net income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8 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404 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349 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259 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378 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275 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296 </w:t>
            </w:r>
          </w:p>
        </w:tc>
      </w:tr>
      <w:tr w:rsidR="00A12DCA" w:rsidRPr="00100BF5" w:rsidTr="00503BE9">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Adjusting items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Provision for PPI redress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(600)</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Goodwill impairment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(47)</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Statutory profit/(loss)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404 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349 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259 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378 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(372)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296 </w:t>
            </w:r>
          </w:p>
        </w:tc>
      </w:tr>
      <w:tr w:rsidR="00A12DCA" w:rsidRPr="00100BF5">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4"/>
              </w:rPr>
            </w:pPr>
            <w:r w:rsidRPr="00100BF5">
              <w:rPr>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 </w:t>
            </w:r>
          </w:p>
        </w:tc>
      </w:tr>
    </w:tbl>
    <w:p w:rsidR="00A12DCA" w:rsidRPr="00100BF5" w:rsidRDefault="00A12DCA" w:rsidP="005F437E">
      <w:pPr>
        <w:pStyle w:val="HeadingLevel1-BarcRA"/>
      </w:pPr>
      <w:r w:rsidRPr="00100BF5">
        <w:br w:type="page"/>
      </w:r>
      <w:r w:rsidR="005F437E">
        <w:t>Business Results by Quarter</w:t>
      </w: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Investment Bank</w:t>
            </w:r>
            <w:r w:rsidRPr="00100BF5">
              <w:rPr>
                <w:b/>
                <w:sz w:val="20"/>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20"/>
                <w:szCs w:val="14"/>
                <w:vertAlign w:val="superscript"/>
              </w:rPr>
            </w:pPr>
            <w:r w:rsidRPr="00100BF5">
              <w:rPr>
                <w:b/>
                <w:sz w:val="16"/>
                <w:szCs w:val="14"/>
              </w:rPr>
              <w:t>Q212</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Q112</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Q411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Q311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Q211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Q111</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£m</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and statutory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Fixed Income, Currency and Commodities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1,968 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2,396 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971 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1,438 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1,715 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2,201 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Equities and Prime Services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423 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550 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305 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338 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563 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545 </w:t>
            </w:r>
          </w:p>
        </w:tc>
      </w:tr>
      <w:tr w:rsidR="00A12DCA" w:rsidRPr="00100BF5" w:rsidTr="00503BE9">
        <w:tblPrEx>
          <w:tblCellMar>
            <w:top w:w="0" w:type="dxa"/>
            <w:bottom w:w="0" w:type="dxa"/>
          </w:tblCellMar>
        </w:tblPrEx>
        <w:trPr>
          <w:trHeight w:val="225"/>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Investment Banking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501 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509 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506 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389 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520 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612 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Principal Investments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140 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36 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Total income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3,032 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3,464 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1,818 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2,254 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2,897 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3,366 </w:t>
            </w:r>
          </w:p>
        </w:tc>
      </w:tr>
      <w:tr w:rsidR="00A12DCA" w:rsidRPr="00100BF5" w:rsidTr="00503BE9">
        <w:tblPrEx>
          <w:tblCellMar>
            <w:top w:w="0" w:type="dxa"/>
            <w:bottom w:w="0" w:type="dxa"/>
          </w:tblCellMar>
        </w:tblPrEx>
        <w:trPr>
          <w:trHeight w:val="48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Credit impairment (charges)/releases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(248)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(75)</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(90)</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(114)</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80 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31 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2,784 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3,389 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1,728 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2,140 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2,977 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3,397 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(1,788)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(2,145)</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(1,458)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(1,758)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(2,006)</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(2,067)</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szCs w:val="14"/>
              </w:rPr>
            </w:pPr>
            <w:r w:rsidRPr="00100BF5">
              <w:rPr>
                <w:sz w:val="16"/>
                <w:szCs w:val="14"/>
              </w:rPr>
              <w:t>Other net income/(expense)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22 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Adjusted profit before tax and profit before tax</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1,002 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1,266 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267 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388 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977 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1,333 </w:t>
            </w:r>
          </w:p>
        </w:tc>
      </w:tr>
    </w:tbl>
    <w:p w:rsidR="00A12DCA" w:rsidRPr="00100BF5" w:rsidRDefault="00A12DCA">
      <w:pPr>
        <w:rPr>
          <w:b/>
          <w:i/>
          <w:sz w:val="14"/>
          <w:szCs w:val="14"/>
        </w:rPr>
      </w:pP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Corporate Banking</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Total 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703 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824 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710 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830 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817 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751 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(218)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(207)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(252)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(283)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(327)</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(285)</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485 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617 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458 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547 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490 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466 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(357)</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(397)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(422)</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(436)</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(459)</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(442)</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23374">
            <w:pPr>
              <w:rPr>
                <w:sz w:val="16"/>
                <w:szCs w:val="14"/>
              </w:rPr>
            </w:pPr>
            <w:r w:rsidRPr="00100BF5">
              <w:rPr>
                <w:sz w:val="16"/>
                <w:szCs w:val="14"/>
              </w:rPr>
              <w:t>Other net (expense)/income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127 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219 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113 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21 </w:t>
            </w:r>
          </w:p>
        </w:tc>
      </w:tr>
      <w:tr w:rsidR="00A12DCA" w:rsidRPr="00100BF5" w:rsidTr="00503BE9">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Adjusting items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Goodwill impairment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(123)</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Provision for interest rate hedging products redress</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(450)</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Losses on disposal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(64)</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Statutory (loss)/profit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(323)</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219 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(95)</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113 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(31)</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21 </w:t>
            </w:r>
          </w:p>
        </w:tc>
      </w:tr>
    </w:tbl>
    <w:p w:rsidR="00A12DCA" w:rsidRPr="00100BF5" w:rsidRDefault="00A12DCA">
      <w:pPr>
        <w:rPr>
          <w:b/>
          <w:i/>
          <w:sz w:val="14"/>
          <w:szCs w:val="14"/>
        </w:rPr>
      </w:pP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Wealth and Investment Management</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and statutory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Total 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441 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451 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449 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447 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426 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422 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(9)</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(10)</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Net operating income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429 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444 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439 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435 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417 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412 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(367)</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(384)</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(384)</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(369)</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(375)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(365)</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Other net expense</w:t>
            </w:r>
            <w:r w:rsidR="00B05D0A" w:rsidRPr="00100BF5">
              <w:rPr>
                <w:sz w:val="16"/>
                <w:szCs w:val="14"/>
              </w:rPr>
              <w:t>s</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Adjusted profit before tax and profit before tax</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61 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60 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54 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65 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46 </w:t>
            </w:r>
          </w:p>
        </w:tc>
      </w:tr>
      <w:tr w:rsidR="00A12DCA" w:rsidRPr="00100BF5">
        <w:tblPrEx>
          <w:tblCellMar>
            <w:top w:w="0" w:type="dxa"/>
            <w:bottom w:w="0" w:type="dxa"/>
          </w:tblCellMar>
        </w:tblPrEx>
        <w:trPr>
          <w:trHeight w:hRule="exact" w:val="12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4"/>
              </w:rPr>
            </w:pPr>
            <w:r w:rsidRPr="00100BF5">
              <w:rPr>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vertAlign w:val="superscript"/>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4"/>
              </w:rPr>
            </w:pPr>
            <w:r w:rsidRPr="00100BF5">
              <w:rPr>
                <w:sz w:val="16"/>
                <w:szCs w:val="14"/>
              </w:rPr>
              <w:t xml:space="preserve"> </w:t>
            </w:r>
          </w:p>
        </w:tc>
      </w:tr>
    </w:tbl>
    <w:p w:rsidR="00A12DCA" w:rsidRPr="00100BF5" w:rsidRDefault="00A12DCA">
      <w:pPr>
        <w:rPr>
          <w:b/>
          <w:i/>
          <w:sz w:val="14"/>
          <w:szCs w:val="14"/>
        </w:rPr>
      </w:pPr>
    </w:p>
    <w:tbl>
      <w:tblPr>
        <w:tblW w:w="0" w:type="auto"/>
        <w:tblLayout w:type="fixed"/>
        <w:tblLook w:val="0000" w:firstRow="0" w:lastRow="0" w:firstColumn="0" w:lastColumn="0" w:noHBand="0" w:noVBand="0"/>
      </w:tblPr>
      <w:tblGrid>
        <w:gridCol w:w="4125"/>
        <w:gridCol w:w="900"/>
        <w:gridCol w:w="900"/>
        <w:gridCol w:w="150"/>
        <w:gridCol w:w="900"/>
        <w:gridCol w:w="900"/>
        <w:gridCol w:w="900"/>
        <w:gridCol w:w="900"/>
      </w:tblGrid>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i/>
                <w:sz w:val="14"/>
                <w:szCs w:val="14"/>
              </w:rPr>
            </w:pPr>
            <w:r w:rsidRPr="00100BF5">
              <w:rPr>
                <w:b/>
                <w:sz w:val="20"/>
                <w:szCs w:val="14"/>
              </w:rPr>
              <w:t>Head Office and Other Operations</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basis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23374">
            <w:pPr>
              <w:rPr>
                <w:b/>
                <w:sz w:val="16"/>
                <w:szCs w:val="14"/>
              </w:rPr>
            </w:pPr>
            <w:r w:rsidRPr="00100BF5">
              <w:rPr>
                <w:sz w:val="16"/>
                <w:szCs w:val="14"/>
              </w:rPr>
              <w:t xml:space="preserve">Total (expense)/income net of insurance claims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(41)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259 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(258)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12 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8 </w:t>
            </w:r>
          </w:p>
        </w:tc>
      </w:tr>
      <w:tr w:rsidR="00A12DCA" w:rsidRPr="00100BF5" w:rsidTr="00503BE9">
        <w:tblPrEx>
          <w:tblCellMar>
            <w:top w:w="0" w:type="dxa"/>
            <w:bottom w:w="0" w:type="dxa"/>
          </w:tblCellMar>
        </w:tblPrEx>
        <w:trPr>
          <w:trHeight w:val="48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Credit impairment (charges)/releases and other provisions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4 </w:t>
            </w:r>
          </w:p>
        </w:tc>
      </w:tr>
      <w:tr w:rsidR="00A12DCA" w:rsidRPr="00100BF5" w:rsidTr="00503BE9">
        <w:tblPrEx>
          <w:tblCellMar>
            <w:top w:w="0" w:type="dxa"/>
            <w:bottom w:w="0" w:type="dxa"/>
          </w:tblCellMar>
        </w:tblPrEx>
        <w:trPr>
          <w:trHeight w:val="255"/>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23374">
            <w:pPr>
              <w:rPr>
                <w:sz w:val="16"/>
                <w:szCs w:val="14"/>
              </w:rPr>
            </w:pPr>
            <w:r w:rsidRPr="00100BF5">
              <w:rPr>
                <w:b/>
                <w:sz w:val="16"/>
                <w:szCs w:val="14"/>
              </w:rPr>
              <w:t xml:space="preserve">Net operating (expense)/income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(44)</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257 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14 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(257)</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12 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Operating expenses (excluding UK bank levy)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(251)</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(174)</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(144)</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(124)</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(80)</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UK bank levy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(325)</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Other net income</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23 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Adjusted (loss)/profit before tax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b/>
                <w:sz w:val="16"/>
                <w:szCs w:val="14"/>
              </w:rPr>
              <w:t>(272)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83 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(455)</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(372)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(115)</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(68)</w:t>
            </w:r>
          </w:p>
        </w:tc>
      </w:tr>
      <w:tr w:rsidR="00A12DCA" w:rsidRPr="00100BF5">
        <w:tblPrEx>
          <w:tblCellMar>
            <w:top w:w="0" w:type="dxa"/>
            <w:bottom w:w="0" w:type="dxa"/>
          </w:tblCellMar>
        </w:tblPrEx>
        <w:trPr>
          <w:trHeight w:hRule="exact" w:val="240"/>
        </w:trPr>
        <w:tc>
          <w:tcPr>
            <w:tcW w:w="4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szCs w:val="14"/>
              </w:rPr>
            </w:pPr>
            <w:r w:rsidRPr="00100BF5">
              <w:rPr>
                <w:b/>
                <w:sz w:val="16"/>
                <w:szCs w:val="14"/>
              </w:rPr>
              <w:t xml:space="preserve">  </w:t>
            </w:r>
            <w:r w:rsidRPr="00100BF5">
              <w:rPr>
                <w:sz w:val="16"/>
                <w:szCs w:val="14"/>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4"/>
                <w:vertAlign w:val="superscript"/>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4"/>
              </w:rPr>
            </w:pPr>
            <w:r w:rsidRPr="00100BF5">
              <w:rPr>
                <w:b/>
                <w:sz w:val="16"/>
                <w:szCs w:val="14"/>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b/>
                <w:sz w:val="16"/>
                <w:szCs w:val="14"/>
              </w:rPr>
              <w:t xml:space="preserve">Adjusting items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b/>
                <w:sz w:val="16"/>
                <w:szCs w:val="14"/>
              </w:rPr>
            </w:pPr>
            <w:r w:rsidRPr="00100BF5">
              <w:rPr>
                <w:sz w:val="16"/>
                <w:szCs w:val="14"/>
              </w:rPr>
              <w:t xml:space="preserve">Own credit </w:t>
            </w:r>
            <w:r w:rsidRPr="00100BF5">
              <w:rPr>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(325)</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(2,620)</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(263)</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2,882 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440 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(351)</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Impairment and gain/</w:t>
            </w:r>
            <w:r w:rsidR="00B05D0A" w:rsidRPr="00100BF5">
              <w:rPr>
                <w:sz w:val="16"/>
                <w:szCs w:val="14"/>
              </w:rPr>
              <w:t>(</w:t>
            </w:r>
            <w:r w:rsidRPr="00100BF5">
              <w:rPr>
                <w:sz w:val="16"/>
                <w:szCs w:val="14"/>
              </w:rPr>
              <w:t>loss</w:t>
            </w:r>
            <w:r w:rsidR="00B05D0A" w:rsidRPr="00100BF5">
              <w:rPr>
                <w:sz w:val="16"/>
                <w:szCs w:val="14"/>
              </w:rPr>
              <w:t>)</w:t>
            </w:r>
            <w:r w:rsidRPr="00100BF5">
              <w:rPr>
                <w:sz w:val="16"/>
                <w:szCs w:val="14"/>
              </w:rPr>
              <w:t xml:space="preserve"> on disposal of BlackRock investment</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227 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(1,800)</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(58)</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Gains on debt buy-backs </w:t>
            </w:r>
            <w:r w:rsidRPr="00100BF5">
              <w:rPr>
                <w:sz w:val="16"/>
                <w:szCs w:val="14"/>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1,130 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r>
      <w:tr w:rsidR="00A12DCA" w:rsidRPr="00100BF5" w:rsidTr="00503BE9">
        <w:tblPrEx>
          <w:tblCellMar>
            <w:top w:w="0" w:type="dxa"/>
            <w:bottom w:w="0" w:type="dxa"/>
          </w:tblCellMar>
        </w:tblPrEx>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sz w:val="16"/>
                <w:szCs w:val="14"/>
              </w:rPr>
              <w:t xml:space="preserve">(Losses)/gains on acquisitions and disposals </w:t>
            </w:r>
            <w:r w:rsidRPr="00100BF5">
              <w:rPr>
                <w:sz w:val="16"/>
                <w:szCs w:val="14"/>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03BE9">
            <w:pPr>
              <w:jc w:val="right"/>
              <w:rPr>
                <w:sz w:val="16"/>
                <w:szCs w:val="14"/>
                <w:vertAlign w:val="superscript"/>
              </w:rPr>
            </w:pPr>
            <w:r w:rsidRPr="00100BF5">
              <w:rPr>
                <w:sz w:val="16"/>
                <w:szCs w:val="14"/>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03BE9">
            <w:pPr>
              <w:jc w:val="right"/>
              <w:rPr>
                <w:sz w:val="16"/>
                <w:szCs w:val="14"/>
              </w:rPr>
            </w:pPr>
            <w:r w:rsidRPr="00100BF5">
              <w:rPr>
                <w:sz w:val="16"/>
                <w:szCs w:val="14"/>
              </w:rPr>
              <w:t>2 </w:t>
            </w:r>
          </w:p>
        </w:tc>
      </w:tr>
      <w:tr w:rsidR="00A12DCA" w:rsidRPr="00100BF5" w:rsidTr="00503BE9">
        <w:tblPrEx>
          <w:tblCellMar>
            <w:top w:w="0" w:type="dxa"/>
            <w:bottom w:w="0" w:type="dxa"/>
          </w:tblCellMar>
        </w:tblPrEx>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rPr>
                <w:sz w:val="16"/>
                <w:szCs w:val="14"/>
              </w:rPr>
            </w:pPr>
            <w:r w:rsidRPr="00100BF5">
              <w:rPr>
                <w:b/>
                <w:sz w:val="16"/>
                <w:szCs w:val="14"/>
              </w:rPr>
              <w:t xml:space="preserve">Statutory (loss)/profit before tax </w:t>
            </w:r>
            <w:r w:rsidRPr="00100BF5">
              <w:rPr>
                <w:b/>
                <w:sz w:val="16"/>
                <w:szCs w:val="14"/>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03BE9">
            <w:pPr>
              <w:jc w:val="right"/>
              <w:rPr>
                <w:b/>
                <w:sz w:val="16"/>
                <w:szCs w:val="14"/>
                <w:vertAlign w:val="superscript"/>
              </w:rPr>
            </w:pPr>
            <w:r w:rsidRPr="00100BF5">
              <w:rPr>
                <w:b/>
                <w:sz w:val="16"/>
                <w:szCs w:val="14"/>
              </w:rPr>
              <w:t>(370)</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(2,537)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389 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711 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264 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03BE9">
            <w:pPr>
              <w:jc w:val="right"/>
              <w:rPr>
                <w:b/>
                <w:sz w:val="16"/>
                <w:szCs w:val="14"/>
              </w:rPr>
            </w:pPr>
            <w:r w:rsidRPr="00100BF5">
              <w:rPr>
                <w:b/>
                <w:sz w:val="16"/>
                <w:szCs w:val="14"/>
              </w:rPr>
              <w:t>(417)</w:t>
            </w:r>
          </w:p>
        </w:tc>
      </w:tr>
    </w:tbl>
    <w:p w:rsidR="00A12DCA" w:rsidRPr="00100BF5" w:rsidRDefault="00A12DCA">
      <w:pPr>
        <w:rPr>
          <w:b/>
          <w:i/>
          <w:sz w:val="14"/>
          <w:szCs w:val="14"/>
        </w:rPr>
        <w:sectPr w:rsidR="00A12DCA" w:rsidRPr="00100BF5" w:rsidSect="00E100EB">
          <w:headerReference w:type="default" r:id="rId23"/>
          <w:pgSz w:w="11905" w:h="16837"/>
          <w:pgMar w:top="851" w:right="1134" w:bottom="567" w:left="1134" w:header="851" w:footer="567" w:gutter="0"/>
          <w:cols w:space="708"/>
        </w:sectPr>
      </w:pPr>
    </w:p>
    <w:p w:rsidR="005F437E" w:rsidRDefault="005F437E" w:rsidP="005F437E">
      <w:pPr>
        <w:pStyle w:val="HeadingLevel1-BarcRA"/>
      </w:pPr>
      <w:r>
        <w:t>Performance Management</w:t>
      </w:r>
    </w:p>
    <w:p w:rsidR="00A12DCA" w:rsidRPr="00100BF5" w:rsidRDefault="00A12DCA" w:rsidP="00A12DCA">
      <w:pPr>
        <w:pStyle w:val="HeadingLevel1-BarcRA200"/>
        <w:rPr>
          <w:color w:val="auto"/>
        </w:rPr>
      </w:pPr>
      <w:r w:rsidRPr="00100BF5">
        <w:rPr>
          <w:color w:val="auto"/>
        </w:rPr>
        <w:t>Returns and Equity by Business</w:t>
      </w:r>
    </w:p>
    <w:p w:rsidR="00A12DCA" w:rsidRPr="00100BF5" w:rsidRDefault="00A12DCA" w:rsidP="00A12DCA">
      <w:pPr>
        <w:pStyle w:val="BodyText-BarcRA25"/>
      </w:pPr>
      <w:r w:rsidRPr="00100BF5">
        <w:t xml:space="preserve">Returns on average equity and average tangible equity are calculated using profit after tax and non-controlling interests for the period, divided by average allocated equity or tangible equity as appropriate. Average allocated equity has been calculated as 10% of average risk weighted assets for each business, adjusted for capital deductions, including goodwill and intangible assets, reflecting the assumptions the Group uses for capital planning purposes. The higher capital level currently held, reflecting as at 30 June 2012 Core Tier 1 capital ratio of 10.9%, is allocated to Head Office and Other Operations. Average allocated tangible equity is calculated using the same method but excludes goodwill and intangible assets. </w:t>
      </w:r>
    </w:p>
    <w:p w:rsidR="00A12DCA" w:rsidRPr="00100BF5" w:rsidRDefault="00A12DCA"/>
    <w:tbl>
      <w:tblPr>
        <w:tblW w:w="0" w:type="auto"/>
        <w:tblLayout w:type="fixed"/>
        <w:tblLook w:val="0000" w:firstRow="0" w:lastRow="0" w:firstColumn="0" w:lastColumn="0" w:noHBand="0" w:noVBand="0"/>
      </w:tblPr>
      <w:tblGrid>
        <w:gridCol w:w="3855"/>
        <w:gridCol w:w="960"/>
        <w:gridCol w:w="960"/>
        <w:gridCol w:w="960"/>
        <w:gridCol w:w="120"/>
        <w:gridCol w:w="960"/>
        <w:gridCol w:w="960"/>
        <w:gridCol w:w="960"/>
      </w:tblGrid>
      <w:tr w:rsidR="000810BB"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sz w:val="16"/>
              </w:rPr>
              <w:t xml:space="preserve"> </w:t>
            </w:r>
            <w:r w:rsidRPr="00100BF5">
              <w:rPr>
                <w:sz w:val="16"/>
                <w:vertAlign w:val="superscript"/>
              </w:rPr>
              <w:t xml:space="preserve"> </w:t>
            </w: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center"/>
              <w:rPr>
                <w:sz w:val="16"/>
                <w:vertAlign w:val="superscript"/>
              </w:rPr>
            </w:pPr>
            <w:r w:rsidRPr="00100BF5">
              <w:rPr>
                <w:b/>
                <w:sz w:val="16"/>
              </w:rPr>
              <w:t>Adjusted</w:t>
            </w:r>
            <w:r w:rsidRPr="00100BF5">
              <w:rPr>
                <w:b/>
                <w:sz w:val="16"/>
                <w:vertAlign w:val="superscript"/>
              </w:rPr>
              <w:t>1</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center"/>
              <w:rPr>
                <w:b/>
                <w:sz w:val="16"/>
                <w:vertAlign w:val="superscript"/>
              </w:rPr>
            </w:pP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center"/>
              <w:rPr>
                <w:b/>
                <w:sz w:val="16"/>
              </w:rPr>
            </w:pPr>
            <w:r w:rsidRPr="00100BF5">
              <w:rPr>
                <w:b/>
                <w:sz w:val="16"/>
              </w:rPr>
              <w:t>Statutory</w:t>
            </w:r>
          </w:p>
        </w:tc>
      </w:tr>
      <w:tr w:rsidR="00A12DCA" w:rsidRPr="00100BF5" w:rsidTr="007A53C8">
        <w:tblPrEx>
          <w:tblCellMar>
            <w:top w:w="0" w:type="dxa"/>
            <w:bottom w:w="0" w:type="dxa"/>
          </w:tblCellMar>
        </w:tblPrEx>
        <w:trPr>
          <w:trHeight w:val="48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b/>
                <w:sz w:val="16"/>
              </w:rPr>
              <w:t>Half Year Ended</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 Ended</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 Ended</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 Ended</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 Ended</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 Ended</w:t>
            </w:r>
            <w:r w:rsidRPr="00100BF5">
              <w:rPr>
                <w:b/>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Return on Average Equity</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b/>
                <w:sz w:val="16"/>
              </w:rPr>
              <w:t>30.06.12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31.12.11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30.06.11</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30.06.12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31.12.11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30.06.11</w:t>
            </w:r>
            <w:r w:rsidRPr="00100BF5">
              <w:rPr>
                <w:b/>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UK RBB</w:t>
            </w:r>
            <w:r w:rsidRPr="00100BF5">
              <w:rPr>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16.6%</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14.8%</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15.0%</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9.9%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14.8%</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6.4%</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Europe RBB</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(6.2%)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(2.7%)</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(9.3%)</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(6.2%)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(34.1%)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(9.3%)</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Africa RBB</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7.6%</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11.5%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7.9%</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7.6%</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11.7%</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7.9%</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Barclaycard</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22.0%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17.1%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17.7%</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22.0%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17.1%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(3.6%)</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Investment Bank</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14.9%</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5.0%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15.6%</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14.9%</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5.0%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15.6%</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Corporate Banking</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6.0%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2.8%</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0.6%</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(3.3%)</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(0.8%)</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(1.2%)</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Wealth and Investment Management</w:t>
            </w:r>
            <w:r w:rsidRPr="00100BF5">
              <w:rPr>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10.0%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12.2%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9.6%</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10.0%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12.2%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9.6%</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Group excluding Head Office and Other Operations</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vertAlign w:val="superscript"/>
              </w:rPr>
            </w:pPr>
            <w:r w:rsidRPr="00100BF5">
              <w:rPr>
                <w:b/>
                <w:sz w:val="16"/>
              </w:rPr>
              <w:t>12.8%</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7.5%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11.2%</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rPr>
            </w:pPr>
            <w:r w:rsidRPr="00100BF5">
              <w:rPr>
                <w:b/>
                <w:sz w:val="16"/>
              </w:rPr>
              <w:t>10.4%</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5.1%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7.6%</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Head Office and Other Operations impact</w:t>
            </w:r>
            <w:r w:rsidRPr="00100BF5">
              <w:rPr>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(2.9%)</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(3.6%)</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(1.9%)</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(10.1%)</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0.6%</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(1.7%)</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vertAlign w:val="superscript"/>
              </w:rPr>
            </w:pPr>
            <w:r w:rsidRPr="00100BF5">
              <w:rPr>
                <w:b/>
                <w:sz w:val="16"/>
              </w:rPr>
              <w:t>9.9%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3.9%</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9.3%</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rPr>
            </w:pPr>
            <w:r w:rsidRPr="00100BF5">
              <w:rPr>
                <w:b/>
                <w:sz w:val="16"/>
              </w:rPr>
              <w:t>0.3%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5.7%</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5.9%</w:t>
            </w:r>
            <w:r w:rsidRPr="00100BF5">
              <w:rPr>
                <w:b/>
                <w:sz w:val="16"/>
                <w:vertAlign w:val="superscript"/>
              </w:rPr>
              <w:t xml:space="preserve"> </w:t>
            </w:r>
          </w:p>
        </w:tc>
      </w:tr>
      <w:tr w:rsidR="00A12DCA" w:rsidRPr="00100BF5">
        <w:tblPrEx>
          <w:tblCellMar>
            <w:top w:w="0" w:type="dxa"/>
            <w:bottom w:w="0" w:type="dxa"/>
          </w:tblCellMar>
        </w:tblPrEx>
        <w:trPr>
          <w:trHeight w:hRule="exac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0810BB"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center"/>
              <w:rPr>
                <w:sz w:val="16"/>
                <w:vertAlign w:val="superscript"/>
              </w:rPr>
            </w:pPr>
            <w:r w:rsidRPr="00100BF5">
              <w:rPr>
                <w:b/>
                <w:sz w:val="16"/>
              </w:rPr>
              <w:t>Adjusted</w:t>
            </w:r>
            <w:r w:rsidRPr="00100BF5">
              <w:rPr>
                <w:b/>
                <w:sz w:val="16"/>
                <w:vertAlign w:val="superscript"/>
              </w:rPr>
              <w:t>1</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center"/>
              <w:rPr>
                <w:b/>
                <w:sz w:val="16"/>
                <w:vertAlign w:val="superscript"/>
              </w:rPr>
            </w:pP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center"/>
              <w:rPr>
                <w:b/>
                <w:sz w:val="16"/>
              </w:rPr>
            </w:pPr>
            <w:r w:rsidRPr="00100BF5">
              <w:rPr>
                <w:b/>
                <w:sz w:val="16"/>
              </w:rPr>
              <w:t>Statutory</w:t>
            </w:r>
          </w:p>
        </w:tc>
      </w:tr>
      <w:tr w:rsidR="00A12DCA" w:rsidRPr="00100BF5">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Return on Average Tangible Equity</w:t>
            </w:r>
            <w:r w:rsidRPr="00100BF5">
              <w:rPr>
                <w:b/>
                <w:sz w:val="16"/>
                <w:vertAlign w:val="superscript"/>
              </w:rPr>
              <w:t xml:space="preserve"> </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UK RBB</w:t>
            </w:r>
            <w:r w:rsidRPr="00100BF5">
              <w:rPr>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32.2%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28.5%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28.7%</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28.5%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12.3%</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Europe RBB</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(7.0%)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(44.8%)</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Africa RBB</w:t>
            </w:r>
            <w:r w:rsidRPr="00100BF5">
              <w:rPr>
                <w:sz w:val="16"/>
                <w:vertAlign w:val="superscript"/>
              </w:rPr>
              <w:t>2 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11.1%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18.2%</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14.2%</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18.3%</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14.2%</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Barclaycard</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29.4%</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23.5%</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29.4%</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(4.8%)</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Investment Bank</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15.5%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16.2%</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15.5%</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16.2%</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Corporate Banking</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6.4%</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0.6%</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(3.4%)</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(0.8%)</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Wealth and Investment Management</w:t>
            </w:r>
            <w:r w:rsidRPr="00100BF5">
              <w:rPr>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14.0%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16.7%</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13.2%</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14.0%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16.7%</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13.2%</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Group excluding Head Office and Other Operations</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15.0%</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9.3%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13.6%</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12.2%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9.4%</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Head Office and Other Operations impact</w:t>
            </w:r>
            <w:r w:rsidRPr="00100BF5">
              <w:rPr>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(3.5%)</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(4.7%)</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(11.9%)</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w:t>
            </w:r>
            <w:r w:rsidRPr="00100BF5">
              <w:rPr>
                <w:sz w:val="16"/>
                <w:vertAlign w:val="superscript"/>
              </w:rPr>
              <w:t xml:space="preserve"> </w:t>
            </w:r>
          </w:p>
        </w:tc>
      </w:tr>
      <w:tr w:rsidR="00A12DCA" w:rsidRPr="00100BF5">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11.5%</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4.6%</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11.3%</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0.3%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6.7%</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7.1%</w:t>
            </w:r>
            <w:r w:rsidRPr="00100BF5">
              <w:rPr>
                <w:b/>
                <w:sz w:val="16"/>
                <w:vertAlign w:val="superscript"/>
              </w:rPr>
              <w:t xml:space="preserve"> </w:t>
            </w:r>
          </w:p>
        </w:tc>
      </w:tr>
      <w:tr w:rsidR="00A12DCA" w:rsidRPr="00100BF5">
        <w:tblPrEx>
          <w:tblCellMar>
            <w:top w:w="0" w:type="dxa"/>
            <w:bottom w:w="0" w:type="dxa"/>
          </w:tblCellMar>
        </w:tblPrEx>
        <w:trPr>
          <w:trHeight w:hRule="exac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0810BB"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center"/>
              <w:rPr>
                <w:sz w:val="16"/>
                <w:vertAlign w:val="superscript"/>
              </w:rPr>
            </w:pPr>
            <w:r w:rsidRPr="00100BF5">
              <w:rPr>
                <w:b/>
                <w:sz w:val="16"/>
              </w:rPr>
              <w:t>Average Equity</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center"/>
              <w:rPr>
                <w:b/>
                <w:sz w:val="16"/>
                <w:vertAlign w:val="superscript"/>
              </w:rPr>
            </w:pP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center"/>
              <w:rPr>
                <w:b/>
                <w:sz w:val="16"/>
              </w:rPr>
            </w:pPr>
            <w:r w:rsidRPr="00100BF5">
              <w:rPr>
                <w:b/>
                <w:sz w:val="16"/>
              </w:rPr>
              <w:t>Average Tangible Equity</w:t>
            </w:r>
          </w:p>
        </w:tc>
      </w:tr>
      <w:tr w:rsidR="00A12DCA" w:rsidRPr="00100BF5" w:rsidTr="007A53C8">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b/>
                <w:sz w:val="16"/>
                <w:vertAlign w:val="superscript"/>
              </w:rPr>
            </w:pPr>
            <w:r w:rsidRPr="00100BF5">
              <w:rPr>
                <w:sz w:val="16"/>
              </w:rPr>
              <w:t>£m</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£m</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£m</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£m</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£m</w:t>
            </w:r>
          </w:p>
        </w:tc>
        <w:tc>
          <w:tcPr>
            <w:tcW w:w="960" w:type="dxa"/>
            <w:tcBorders>
              <w:top w:val="single" w:sz="6" w:space="0" w:color="969696"/>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£m</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UK RBB</w:t>
            </w:r>
            <w:r w:rsidRPr="00100BF5">
              <w:rPr>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6,772 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6,795 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6,847 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3,493 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3,535 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3,588 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Europe RBB</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2,325 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2,722 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2,683 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2,042 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2,067 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1,997 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Africa RBB</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2,612 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2,599 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2,651 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1,120 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1,066 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1,002 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Barclaycard</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4,660 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4,675 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4,594 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3,491 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3,546 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3,459 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Investment Bank</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20,778 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20,106 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20,896 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20,057 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19,386 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20,113 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Corporate Banking</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7,306 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7,420 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7,479 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6,947 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6,940 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6,978 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Wealth and Investment Management</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1,894 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1,752 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1,695 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1,359 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1,284 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1,233 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Head Office and Other Operations </w:t>
            </w:r>
            <w:r w:rsidRPr="00100BF5">
              <w:rPr>
                <w:sz w:val="16"/>
                <w:vertAlign w:val="superscript"/>
              </w:rPr>
              <w:t>3 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8,710 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7,033 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3,679 </w:t>
            </w:r>
            <w:r w:rsidRPr="00100BF5">
              <w:rPr>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A53C8">
            <w:pPr>
              <w:jc w:val="right"/>
              <w:rPr>
                <w:sz w:val="16"/>
              </w:rPr>
            </w:pPr>
            <w:r w:rsidRPr="00100BF5">
              <w:rPr>
                <w:sz w:val="16"/>
              </w:rPr>
              <w:t>8,711 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7,031 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3,678 </w:t>
            </w:r>
            <w:r w:rsidRPr="00100BF5">
              <w:rPr>
                <w:sz w:val="16"/>
                <w:vertAlign w:val="superscript"/>
              </w:rPr>
              <w:t xml:space="preserve"> </w:t>
            </w:r>
          </w:p>
        </w:tc>
      </w:tr>
      <w:tr w:rsidR="00A12DCA" w:rsidRPr="00100BF5" w:rsidTr="007A53C8">
        <w:tblPrEx>
          <w:tblCellMar>
            <w:top w:w="0" w:type="dxa"/>
            <w:bottom w:w="0" w:type="dxa"/>
          </w:tblCellMar>
        </w:tblPrEx>
        <w:trPr>
          <w:trHeight w:val="240"/>
        </w:trPr>
        <w:tc>
          <w:tcPr>
            <w:tcW w:w="38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w:t>
            </w:r>
            <w:r w:rsidRPr="00100BF5">
              <w:rPr>
                <w:b/>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vertAlign w:val="superscript"/>
              </w:rPr>
            </w:pPr>
            <w:r w:rsidRPr="00100BF5">
              <w:rPr>
                <w:b/>
                <w:sz w:val="16"/>
              </w:rPr>
              <w:t>55,057 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53,102 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50,524 </w:t>
            </w:r>
            <w:r w:rsidRPr="00100BF5">
              <w:rPr>
                <w:b/>
                <w:sz w:val="16"/>
                <w:vertAlign w:val="superscript"/>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rPr>
            </w:pPr>
            <w:r w:rsidRPr="00100BF5">
              <w:rPr>
                <w:b/>
                <w:sz w:val="16"/>
              </w:rPr>
              <w:t>47,220 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44,855 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42,048 </w:t>
            </w:r>
            <w:r w:rsidRPr="00100BF5">
              <w:rPr>
                <w:b/>
                <w:sz w:val="16"/>
                <w:vertAlign w:val="superscript"/>
              </w:rPr>
              <w:t xml:space="preserve"> </w:t>
            </w:r>
          </w:p>
        </w:tc>
      </w:tr>
    </w:tbl>
    <w:p w:rsidR="00A12DCA" w:rsidRPr="00100BF5" w:rsidRDefault="00A12DCA"/>
    <w:p w:rsidR="00A12DCA" w:rsidRPr="00100BF5" w:rsidRDefault="00A12DCA" w:rsidP="00A12DCA">
      <w:pPr>
        <w:pStyle w:val="Normal27"/>
        <w:ind w:left="284" w:hanging="284"/>
        <w:rPr>
          <w:i/>
          <w:sz w:val="14"/>
        </w:rPr>
      </w:pPr>
    </w:p>
    <w:p w:rsidR="00A12DCA" w:rsidRPr="00100BF5" w:rsidRDefault="00A12DCA" w:rsidP="00A12DCA">
      <w:pPr>
        <w:pStyle w:val="Normal27"/>
        <w:ind w:left="284" w:hanging="284"/>
        <w:rPr>
          <w:i/>
          <w:sz w:val="14"/>
        </w:rPr>
      </w:pPr>
    </w:p>
    <w:p w:rsidR="00A12DCA" w:rsidRPr="00100BF5" w:rsidRDefault="00A12DCA" w:rsidP="00A12DCA">
      <w:pPr>
        <w:pStyle w:val="Normal27"/>
        <w:ind w:left="284" w:hanging="284"/>
        <w:rPr>
          <w:i/>
          <w:sz w:val="14"/>
        </w:rPr>
      </w:pPr>
    </w:p>
    <w:p w:rsidR="00A12DCA" w:rsidRPr="00100BF5" w:rsidRDefault="00A12DCA" w:rsidP="00A12DCA">
      <w:pPr>
        <w:pStyle w:val="Normal27"/>
        <w:ind w:left="284" w:hanging="284"/>
        <w:rPr>
          <w:i/>
          <w:sz w:val="14"/>
        </w:rPr>
      </w:pPr>
    </w:p>
    <w:p w:rsidR="00A12DCA" w:rsidRPr="00100BF5" w:rsidRDefault="00A12DCA" w:rsidP="00A12DCA">
      <w:pPr>
        <w:pStyle w:val="Normal27"/>
        <w:ind w:left="284" w:hanging="284"/>
        <w:rPr>
          <w:i/>
          <w:sz w:val="14"/>
        </w:rPr>
      </w:pPr>
    </w:p>
    <w:p w:rsidR="00A12DCA" w:rsidRPr="00100BF5" w:rsidRDefault="00A12DCA" w:rsidP="00A12DCA">
      <w:pPr>
        <w:pStyle w:val="Normal27"/>
        <w:ind w:left="284" w:hanging="284"/>
        <w:rPr>
          <w:i/>
          <w:szCs w:val="2"/>
        </w:rPr>
      </w:pPr>
    </w:p>
    <w:p w:rsidR="00AF72CF" w:rsidRPr="00100BF5" w:rsidRDefault="00AF72CF" w:rsidP="00A12DCA">
      <w:pPr>
        <w:pStyle w:val="Normal27"/>
        <w:ind w:left="284" w:hanging="284"/>
        <w:rPr>
          <w:i/>
          <w:szCs w:val="2"/>
        </w:rPr>
      </w:pPr>
    </w:p>
    <w:p w:rsidR="00AF72CF" w:rsidRPr="00100BF5" w:rsidRDefault="00AF72CF" w:rsidP="00A12DCA">
      <w:pPr>
        <w:pStyle w:val="Normal27"/>
        <w:ind w:left="284" w:hanging="284"/>
        <w:rPr>
          <w:i/>
          <w:szCs w:val="2"/>
        </w:rPr>
      </w:pPr>
    </w:p>
    <w:p w:rsidR="00AF72CF" w:rsidRPr="00100BF5" w:rsidRDefault="00AF72CF" w:rsidP="00A12DCA">
      <w:pPr>
        <w:pStyle w:val="Normal27"/>
        <w:ind w:left="284" w:hanging="284"/>
        <w:rPr>
          <w:i/>
          <w:szCs w:val="2"/>
        </w:rPr>
      </w:pPr>
    </w:p>
    <w:p w:rsidR="00AF72CF" w:rsidRPr="00100BF5" w:rsidRDefault="00AF72CF" w:rsidP="00A12DCA">
      <w:pPr>
        <w:pStyle w:val="Normal27"/>
        <w:ind w:left="284" w:hanging="284"/>
        <w:rPr>
          <w:i/>
          <w:szCs w:val="2"/>
        </w:rPr>
      </w:pPr>
    </w:p>
    <w:p w:rsidR="00AF72CF" w:rsidRPr="00100BF5" w:rsidRDefault="00AF72CF" w:rsidP="00A12DCA">
      <w:pPr>
        <w:pStyle w:val="Normal27"/>
        <w:ind w:left="284" w:hanging="284"/>
        <w:rPr>
          <w:i/>
          <w:szCs w:val="2"/>
        </w:rPr>
      </w:pPr>
    </w:p>
    <w:p w:rsidR="00AF72CF" w:rsidRPr="00100BF5" w:rsidRDefault="00AF72CF" w:rsidP="00A12DCA">
      <w:pPr>
        <w:pStyle w:val="Normal27"/>
        <w:ind w:left="284" w:hanging="284"/>
        <w:rPr>
          <w:i/>
          <w:szCs w:val="2"/>
        </w:rPr>
      </w:pPr>
    </w:p>
    <w:p w:rsidR="00A12DCA" w:rsidRPr="00100BF5" w:rsidRDefault="00A12DCA" w:rsidP="00A12DCA">
      <w:pPr>
        <w:pStyle w:val="Normal27"/>
        <w:ind w:left="284" w:hanging="284"/>
        <w:rPr>
          <w:b/>
          <w:sz w:val="16"/>
          <w:vertAlign w:val="superscript"/>
        </w:rPr>
      </w:pPr>
      <w:r w:rsidRPr="00100BF5">
        <w:rPr>
          <w:i/>
          <w:sz w:val="14"/>
        </w:rPr>
        <w:t>1      Adjusted performance metrics exclude the impact of own credit gain, gains on debt buy-backs, impairment  and gain/loss on disposal of BlackRock, Inc.,  provision for PPI redress, provision for interest rate hedging products redress, goodwill impairment and (loss)/gain on acquisitions and disposals.</w:t>
      </w:r>
    </w:p>
    <w:p w:rsidR="00A12DCA" w:rsidRPr="00100BF5" w:rsidRDefault="00A12DCA" w:rsidP="00A12DCA">
      <w:pPr>
        <w:pStyle w:val="Normal27"/>
        <w:ind w:left="284" w:hanging="284"/>
        <w:rPr>
          <w:i/>
          <w:sz w:val="14"/>
        </w:rPr>
      </w:pPr>
      <w:r w:rsidRPr="00100BF5">
        <w:rPr>
          <w:i/>
          <w:sz w:val="14"/>
        </w:rPr>
        <w:t>2      The return on average tangible equity for Africa RBB has been calculated based on average tangible equity including amounts relating to Absa Group’s non-controlling interests.</w:t>
      </w:r>
    </w:p>
    <w:p w:rsidR="00A12DCA" w:rsidRPr="00100BF5" w:rsidRDefault="00A12DCA" w:rsidP="00A12DCA">
      <w:pPr>
        <w:pStyle w:val="Normal27"/>
        <w:ind w:left="284" w:hanging="284"/>
      </w:pPr>
      <w:r w:rsidRPr="00100BF5">
        <w:rPr>
          <w:i/>
          <w:sz w:val="14"/>
        </w:rPr>
        <w:t xml:space="preserve">3      Includes risk weighted assets and capital deductions in Head Office and Other Operations, plus the residual balance of average shareholders’ equity and tangible equity. </w:t>
      </w:r>
      <w:r w:rsidRPr="00100BF5">
        <w:rPr>
          <w:i/>
          <w:sz w:val="14"/>
          <w:vertAlign w:val="superscript"/>
        </w:rPr>
        <w:t xml:space="preserve"> </w:t>
      </w:r>
    </w:p>
    <w:p w:rsidR="00A12DCA" w:rsidRPr="00100BF5" w:rsidRDefault="00A12DCA" w:rsidP="005F437E">
      <w:pPr>
        <w:pStyle w:val="HeadingLevel1-BarcRA"/>
      </w:pPr>
      <w:r w:rsidRPr="00100BF5">
        <w:br w:type="page"/>
      </w:r>
      <w:r w:rsidR="005F437E">
        <w:t>Performance Management</w:t>
      </w:r>
    </w:p>
    <w:tbl>
      <w:tblPr>
        <w:tblW w:w="0" w:type="auto"/>
        <w:tblLayout w:type="fixed"/>
        <w:tblLook w:val="0000" w:firstRow="0" w:lastRow="0" w:firstColumn="0" w:lastColumn="0" w:noHBand="0" w:noVBand="0"/>
      </w:tblPr>
      <w:tblGrid>
        <w:gridCol w:w="6765"/>
        <w:gridCol w:w="960"/>
        <w:gridCol w:w="960"/>
        <w:gridCol w:w="960"/>
      </w:tblGrid>
      <w:tr w:rsidR="00A12DCA" w:rsidRPr="00100BF5" w:rsidTr="004962C8">
        <w:tblPrEx>
          <w:tblCellMar>
            <w:top w:w="0" w:type="dxa"/>
            <w:bottom w:w="0" w:type="dxa"/>
          </w:tblCellMar>
        </w:tblPrEx>
        <w:trPr>
          <w:trHeight w:val="113"/>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Margins and Balances</w:t>
            </w:r>
            <w:r w:rsidRPr="00100BF5">
              <w:rPr>
                <w:rFonts w:ascii="Calibri" w:eastAsia="Calibri" w:hAnsi="Calibri" w:cs="Calibri"/>
                <w:sz w:val="22"/>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vertAlign w:val="superscript"/>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r>
      <w:tr w:rsidR="00A12DCA" w:rsidRPr="00100BF5" w:rsidTr="007A53C8">
        <w:tblPrEx>
          <w:tblCellMar>
            <w:top w:w="0" w:type="dxa"/>
            <w:bottom w:w="0" w:type="dxa"/>
          </w:tblCellMar>
        </w:tblPrEx>
        <w:trPr>
          <w:trHeight w:val="170"/>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Calibri" w:eastAsia="Calibri" w:hAnsi="Calibri" w:cs="Calibri"/>
                <w:sz w:val="22"/>
              </w:rPr>
            </w:pPr>
            <w:r w:rsidRPr="00100BF5">
              <w:rPr>
                <w:b/>
                <w:sz w:val="24"/>
              </w:rPr>
              <w:t xml:space="preserve"> </w:t>
            </w:r>
            <w:r w:rsidRPr="00100BF5">
              <w:rPr>
                <w:rFonts w:ascii="Calibri" w:eastAsia="Calibri" w:hAnsi="Calibri" w:cs="Calibri"/>
                <w:sz w:val="22"/>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rFonts w:ascii="Calibri" w:eastAsia="Calibri" w:hAnsi="Calibri" w:cs="Calibri"/>
                <w:sz w:val="22"/>
                <w:vertAlign w:val="superscript"/>
              </w:rPr>
            </w:pPr>
            <w:r w:rsidRPr="00100BF5">
              <w:rPr>
                <w:b/>
                <w:sz w:val="16"/>
              </w:rPr>
              <w:t>Half Year</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Half Year</w:t>
            </w:r>
          </w:p>
        </w:tc>
      </w:tr>
      <w:tr w:rsidR="00A12DCA" w:rsidRPr="00100BF5" w:rsidTr="007A53C8">
        <w:tblPrEx>
          <w:tblCellMar>
            <w:top w:w="0" w:type="dxa"/>
            <w:bottom w:w="0" w:type="dxa"/>
          </w:tblCellMar>
        </w:tblPrEx>
        <w:trPr>
          <w:trHeight w:val="170"/>
        </w:trPr>
        <w:tc>
          <w:tcPr>
            <w:tcW w:w="676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rFonts w:ascii="Calibri" w:eastAsia="Calibri" w:hAnsi="Calibri" w:cs="Calibri"/>
                <w:sz w:val="22"/>
              </w:rPr>
              <w:t xml:space="preserve"> </w:t>
            </w:r>
            <w:r w:rsidRPr="00100BF5">
              <w:rPr>
                <w:b/>
                <w:sz w:val="20"/>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20"/>
                <w:vertAlign w:val="superscript"/>
              </w:rPr>
            </w:pPr>
            <w:r w:rsidRPr="00100BF5">
              <w:rPr>
                <w:b/>
                <w:sz w:val="16"/>
              </w:rPr>
              <w:t>Ended</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Ended</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Ended</w:t>
            </w:r>
          </w:p>
        </w:tc>
      </w:tr>
      <w:tr w:rsidR="00A12DCA" w:rsidRPr="00100BF5" w:rsidTr="00FB505A">
        <w:tblPrEx>
          <w:tblCellMar>
            <w:top w:w="0" w:type="dxa"/>
            <w:bottom w:w="0" w:type="dxa"/>
          </w:tblCellMar>
        </w:tblPrEx>
        <w:trPr>
          <w:trHeight w:val="113"/>
        </w:trPr>
        <w:tc>
          <w:tcPr>
            <w:tcW w:w="6765" w:type="dxa"/>
            <w:tcBorders>
              <w:top w:val="nil"/>
              <w:left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20"/>
              </w:rPr>
              <w:t>Analysis of Net Interest Income</w:t>
            </w:r>
            <w:r w:rsidRPr="00100BF5">
              <w:rPr>
                <w:sz w:val="16"/>
                <w:vertAlign w:val="superscript"/>
              </w:rPr>
              <w:t xml:space="preserve"> </w:t>
            </w:r>
          </w:p>
        </w:tc>
        <w:tc>
          <w:tcPr>
            <w:tcW w:w="960" w:type="dxa"/>
            <w:tcBorders>
              <w:top w:val="nil"/>
              <w:left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b/>
                <w:sz w:val="16"/>
              </w:rPr>
              <w:t>30.06.12</w:t>
            </w:r>
          </w:p>
        </w:tc>
        <w:tc>
          <w:tcPr>
            <w:tcW w:w="960" w:type="dxa"/>
            <w:tcBorders>
              <w:top w:val="nil"/>
              <w:left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31.12.11</w:t>
            </w:r>
          </w:p>
        </w:tc>
        <w:tc>
          <w:tcPr>
            <w:tcW w:w="960" w:type="dxa"/>
            <w:tcBorders>
              <w:top w:val="nil"/>
              <w:left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30.06.11</w:t>
            </w:r>
          </w:p>
        </w:tc>
      </w:tr>
      <w:tr w:rsidR="00A12DCA" w:rsidRPr="00100BF5" w:rsidTr="00FB505A">
        <w:tblPrEx>
          <w:tblCellMar>
            <w:top w:w="0" w:type="dxa"/>
            <w:bottom w:w="0" w:type="dxa"/>
          </w:tblCellMar>
        </w:tblPrEx>
        <w:trPr>
          <w:trHeight w:val="240"/>
        </w:trPr>
        <w:tc>
          <w:tcPr>
            <w:tcW w:w="67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rsidTr="00FB505A">
        <w:tblPrEx>
          <w:tblCellMar>
            <w:top w:w="0" w:type="dxa"/>
            <w:bottom w:w="0" w:type="dxa"/>
          </w:tblCellMar>
        </w:tblPrEx>
        <w:trPr>
          <w:trHeight w:val="240"/>
        </w:trPr>
        <w:tc>
          <w:tcPr>
            <w:tcW w:w="67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RBB, Corporate Banking and Wealth and Investment Management customer income:</w:t>
            </w:r>
            <w:r w:rsidRPr="00100BF5">
              <w:rPr>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7A53C8">
        <w:tblPrEx>
          <w:tblCellMar>
            <w:top w:w="0" w:type="dxa"/>
            <w:bottom w:w="0" w:type="dxa"/>
          </w:tblCellMar>
        </w:tblPrEx>
        <w:trPr>
          <w:trHeight w:val="240"/>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Customer assets</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3,335 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3,478 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3,505 </w:t>
            </w:r>
          </w:p>
        </w:tc>
      </w:tr>
      <w:tr w:rsidR="00A12DCA" w:rsidRPr="00100BF5" w:rsidTr="007A53C8">
        <w:tblPrEx>
          <w:tblCellMar>
            <w:top w:w="0" w:type="dxa"/>
            <w:bottom w:w="0" w:type="dxa"/>
          </w:tblCellMar>
        </w:tblPrEx>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sz w:val="16"/>
              </w:rPr>
            </w:pPr>
            <w:r w:rsidRPr="00100BF5">
              <w:rPr>
                <w:sz w:val="16"/>
              </w:rPr>
              <w:t>- Customer liabilities</w:t>
            </w:r>
            <w:r w:rsidRPr="00100BF5">
              <w:rPr>
                <w:sz w:val="16"/>
                <w:vertAlign w:val="superscript"/>
              </w:rPr>
              <w:t xml:space="preserve"> </w:t>
            </w:r>
          </w:p>
        </w:tc>
        <w:tc>
          <w:tcPr>
            <w:tcW w:w="960" w:type="dxa"/>
            <w:tcBorders>
              <w:top w:val="nil"/>
              <w:left w:val="nil"/>
              <w:bottom w:val="single" w:sz="6" w:space="0" w:color="7F7F7F"/>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1,564 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1,552 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1,314 </w:t>
            </w:r>
          </w:p>
        </w:tc>
      </w:tr>
      <w:tr w:rsidR="00A12DCA" w:rsidRPr="00100BF5" w:rsidTr="00FB505A">
        <w:tblPrEx>
          <w:tblCellMar>
            <w:top w:w="0" w:type="dxa"/>
            <w:bottom w:w="0" w:type="dxa"/>
          </w:tblCellMar>
        </w:tblPrEx>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r w:rsidRPr="00100BF5">
              <w:rPr>
                <w:sz w:val="16"/>
                <w:vertAlign w:val="superscript"/>
              </w:rPr>
              <w:t xml:space="preserve"> </w:t>
            </w:r>
          </w:p>
        </w:tc>
        <w:tc>
          <w:tcPr>
            <w:tcW w:w="960" w:type="dxa"/>
            <w:tcBorders>
              <w:top w:val="single" w:sz="6" w:space="0" w:color="7F7F7F"/>
              <w:left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b/>
                <w:sz w:val="16"/>
              </w:rPr>
              <w:t xml:space="preserve"> 4,899 </w:t>
            </w:r>
          </w:p>
        </w:tc>
        <w:tc>
          <w:tcPr>
            <w:tcW w:w="960" w:type="dxa"/>
            <w:tcBorders>
              <w:top w:val="single" w:sz="6" w:space="0" w:color="7F7F7F"/>
              <w:left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 xml:space="preserve"> 5,030 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 xml:space="preserve"> 4,819 </w:t>
            </w:r>
          </w:p>
        </w:tc>
      </w:tr>
      <w:tr w:rsidR="00A12DCA" w:rsidRPr="00100BF5" w:rsidTr="00FB505A">
        <w:tblPrEx>
          <w:tblCellMar>
            <w:top w:w="0" w:type="dxa"/>
            <w:bottom w:w="0" w:type="dxa"/>
          </w:tblCellMar>
        </w:tblPrEx>
        <w:trPr>
          <w:trHeight w:val="240"/>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RBB, Corporate Banking and Wealth and Investment Management non-customer income:</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w:t>
            </w:r>
          </w:p>
        </w:tc>
      </w:tr>
      <w:tr w:rsidR="00A12DCA" w:rsidRPr="00100BF5" w:rsidTr="007A53C8">
        <w:tblPrEx>
          <w:tblCellMar>
            <w:top w:w="0" w:type="dxa"/>
            <w:bottom w:w="0" w:type="dxa"/>
          </w:tblCellMar>
        </w:tblPrEx>
        <w:trPr>
          <w:trHeight w:val="240"/>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Product structural hedge</w:t>
            </w:r>
            <w:r w:rsidRPr="00100BF5">
              <w:rPr>
                <w:sz w:val="16"/>
                <w:vertAlign w:val="superscript"/>
              </w:rPr>
              <w:t>1 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487 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540 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628 </w:t>
            </w:r>
          </w:p>
        </w:tc>
      </w:tr>
      <w:tr w:rsidR="00A12DCA" w:rsidRPr="00100BF5" w:rsidTr="007A53C8">
        <w:tblPrEx>
          <w:tblCellMar>
            <w:top w:w="0" w:type="dxa"/>
            <w:bottom w:w="0" w:type="dxa"/>
          </w:tblCellMar>
        </w:tblPrEx>
        <w:trPr>
          <w:trHeight w:val="240"/>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Equity structural hedge</w:t>
            </w:r>
            <w:r w:rsidRPr="00100BF5">
              <w:rPr>
                <w:sz w:val="16"/>
                <w:vertAlign w:val="superscript"/>
              </w:rPr>
              <w:t>2 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119 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643 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181 </w:t>
            </w:r>
          </w:p>
        </w:tc>
      </w:tr>
      <w:tr w:rsidR="00A12DCA" w:rsidRPr="00100BF5" w:rsidTr="007A53C8">
        <w:tblPrEx>
          <w:tblCellMar>
            <w:top w:w="0" w:type="dxa"/>
            <w:bottom w:w="0" w:type="dxa"/>
          </w:tblCellMar>
        </w:tblPrEx>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sz w:val="16"/>
              </w:rPr>
            </w:pPr>
            <w:r w:rsidRPr="00100BF5">
              <w:rPr>
                <w:sz w:val="16"/>
              </w:rPr>
              <w:t>- Other</w:t>
            </w:r>
            <w:r w:rsidRPr="00100BF5">
              <w:rPr>
                <w:sz w:val="16"/>
                <w:vertAlign w:val="superscript"/>
              </w:rPr>
              <w:t xml:space="preserve"> </w:t>
            </w:r>
          </w:p>
        </w:tc>
        <w:tc>
          <w:tcPr>
            <w:tcW w:w="960" w:type="dxa"/>
            <w:tcBorders>
              <w:top w:val="nil"/>
              <w:left w:val="nil"/>
              <w:bottom w:val="single" w:sz="6" w:space="0" w:color="7F7F7F"/>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83 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83 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65 </w:t>
            </w:r>
          </w:p>
        </w:tc>
      </w:tr>
      <w:tr w:rsidR="00A12DCA" w:rsidRPr="00100BF5" w:rsidTr="007A53C8">
        <w:tblPrEx>
          <w:tblCellMar>
            <w:top w:w="0" w:type="dxa"/>
            <w:bottom w:w="0" w:type="dxa"/>
          </w:tblCellMar>
        </w:tblPrEx>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RBB, Corporate Banking and Wealth and Investment Management net interest income</w:t>
            </w:r>
            <w:r w:rsidRPr="00100BF5">
              <w:rPr>
                <w:b/>
                <w:sz w:val="16"/>
                <w:vertAlign w:val="superscript"/>
              </w:rPr>
              <w:t xml:space="preserve"> </w:t>
            </w:r>
          </w:p>
        </w:tc>
        <w:tc>
          <w:tcPr>
            <w:tcW w:w="960" w:type="dxa"/>
            <w:tcBorders>
              <w:top w:val="single" w:sz="6" w:space="0" w:color="7F7F7F"/>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5,588 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 xml:space="preserve"> 6,296 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 xml:space="preserve"> 5,693 </w:t>
            </w:r>
          </w:p>
        </w:tc>
      </w:tr>
      <w:tr w:rsidR="00A12DCA" w:rsidRPr="00100BF5" w:rsidTr="007A53C8">
        <w:tblPrEx>
          <w:tblCellMar>
            <w:top w:w="0" w:type="dxa"/>
            <w:bottom w:w="0" w:type="dxa"/>
          </w:tblCellMar>
        </w:tblPrEx>
        <w:trPr>
          <w:trHeight w:val="240"/>
        </w:trPr>
        <w:tc>
          <w:tcPr>
            <w:tcW w:w="67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Investment Bank</w:t>
            </w:r>
            <w:r w:rsidRPr="00100BF5">
              <w:rPr>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426 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666 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 xml:space="preserve"> 511 </w:t>
            </w:r>
          </w:p>
        </w:tc>
      </w:tr>
      <w:tr w:rsidR="00A12DCA" w:rsidRPr="00100BF5" w:rsidTr="007A53C8">
        <w:tblPrEx>
          <w:tblCellMar>
            <w:top w:w="0" w:type="dxa"/>
            <w:bottom w:w="0" w:type="dxa"/>
          </w:tblCellMar>
        </w:tblPrEx>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sz w:val="16"/>
              </w:rPr>
            </w:pPr>
            <w:r w:rsidRPr="00100BF5">
              <w:rPr>
                <w:sz w:val="16"/>
              </w:rPr>
              <w:t>Head Office and Other Operations</w:t>
            </w:r>
            <w:r w:rsidRPr="00100BF5">
              <w:rPr>
                <w:sz w:val="16"/>
                <w:vertAlign w:val="superscript"/>
              </w:rPr>
              <w:t xml:space="preserve"> </w:t>
            </w:r>
          </w:p>
        </w:tc>
        <w:tc>
          <w:tcPr>
            <w:tcW w:w="960" w:type="dxa"/>
            <w:tcBorders>
              <w:top w:val="nil"/>
              <w:left w:val="nil"/>
              <w:bottom w:val="single" w:sz="6" w:space="0" w:color="7F7F7F"/>
              <w:right w:val="nil"/>
            </w:tcBorders>
            <w:shd w:val="clear" w:color="auto" w:fill="EAEAEA"/>
            <w:tcMar>
              <w:left w:w="36" w:type="dxa"/>
              <w:right w:w="36" w:type="dxa"/>
            </w:tcMar>
            <w:vAlign w:val="center"/>
          </w:tcPr>
          <w:p w:rsidR="00A12DCA" w:rsidRPr="00100BF5" w:rsidRDefault="00A12DCA" w:rsidP="007A53C8">
            <w:pPr>
              <w:jc w:val="right"/>
              <w:rPr>
                <w:sz w:val="16"/>
                <w:vertAlign w:val="superscript"/>
              </w:rPr>
            </w:pPr>
            <w:r w:rsidRPr="00100BF5">
              <w:rPr>
                <w:sz w:val="16"/>
              </w:rPr>
              <w:t xml:space="preserve"> 98 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(950)</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7A53C8">
            <w:pPr>
              <w:jc w:val="right"/>
              <w:rPr>
                <w:sz w:val="16"/>
              </w:rPr>
            </w:pPr>
            <w:r w:rsidRPr="00100BF5">
              <w:rPr>
                <w:sz w:val="16"/>
              </w:rPr>
              <w:t>(15)</w:t>
            </w:r>
          </w:p>
        </w:tc>
      </w:tr>
      <w:tr w:rsidR="00A12DCA" w:rsidRPr="00100BF5" w:rsidTr="007A53C8">
        <w:tblPrEx>
          <w:tblCellMar>
            <w:top w:w="0" w:type="dxa"/>
            <w:bottom w:w="0" w:type="dxa"/>
          </w:tblCellMar>
        </w:tblPrEx>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Group net interest income </w:t>
            </w:r>
            <w:r w:rsidRPr="00100BF5">
              <w:rPr>
                <w:b/>
                <w:sz w:val="16"/>
                <w:vertAlign w:val="superscript"/>
              </w:rPr>
              <w:t xml:space="preserve"> </w:t>
            </w:r>
          </w:p>
        </w:tc>
        <w:tc>
          <w:tcPr>
            <w:tcW w:w="960" w:type="dxa"/>
            <w:tcBorders>
              <w:top w:val="single" w:sz="6" w:space="0" w:color="7F7F7F"/>
              <w:left w:val="nil"/>
              <w:bottom w:val="nil"/>
              <w:right w:val="nil"/>
            </w:tcBorders>
            <w:shd w:val="clear" w:color="auto" w:fill="EAEAEA"/>
            <w:tcMar>
              <w:left w:w="36" w:type="dxa"/>
              <w:right w:w="36" w:type="dxa"/>
            </w:tcMar>
            <w:vAlign w:val="center"/>
          </w:tcPr>
          <w:p w:rsidR="00A12DCA" w:rsidRPr="00100BF5" w:rsidRDefault="00A12DCA" w:rsidP="007A53C8">
            <w:pPr>
              <w:jc w:val="right"/>
              <w:rPr>
                <w:b/>
                <w:sz w:val="16"/>
                <w:vertAlign w:val="superscript"/>
              </w:rPr>
            </w:pPr>
            <w:r w:rsidRPr="00100BF5">
              <w:rPr>
                <w:b/>
                <w:sz w:val="16"/>
              </w:rPr>
              <w:t xml:space="preserve"> 6,112 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 xml:space="preserve"> 6,012 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7A53C8">
            <w:pPr>
              <w:jc w:val="right"/>
              <w:rPr>
                <w:b/>
                <w:sz w:val="16"/>
              </w:rPr>
            </w:pPr>
            <w:r w:rsidRPr="00100BF5">
              <w:rPr>
                <w:b/>
                <w:sz w:val="16"/>
              </w:rPr>
              <w:t xml:space="preserve"> 6,189 </w:t>
            </w:r>
          </w:p>
        </w:tc>
      </w:tr>
    </w:tbl>
    <w:p w:rsidR="00A12DCA" w:rsidRPr="00100BF5" w:rsidRDefault="00A12DCA"/>
    <w:p w:rsidR="00A12DCA" w:rsidRPr="00100BF5" w:rsidRDefault="00A12DCA" w:rsidP="004962C8">
      <w:pPr>
        <w:pStyle w:val="HeadingLevel2-BarcRA1"/>
        <w:spacing w:before="180"/>
        <w:rPr>
          <w:color w:val="auto"/>
          <w:lang w:val="en-GB"/>
        </w:rPr>
      </w:pPr>
      <w:r w:rsidRPr="00100BF5">
        <w:rPr>
          <w:color w:val="auto"/>
          <w:lang w:val="en-GB"/>
        </w:rPr>
        <w:t>RBB</w:t>
      </w:r>
      <w:r w:rsidRPr="00100BF5">
        <w:rPr>
          <w:color w:val="auto"/>
        </w:rPr>
        <w:t xml:space="preserve">, Corporate </w:t>
      </w:r>
      <w:r w:rsidRPr="00100BF5">
        <w:rPr>
          <w:color w:val="auto"/>
          <w:lang w:val="en-GB"/>
        </w:rPr>
        <w:t xml:space="preserve">Banking </w:t>
      </w:r>
      <w:r w:rsidRPr="00100BF5">
        <w:rPr>
          <w:color w:val="auto"/>
        </w:rPr>
        <w:t>and Wealth</w:t>
      </w:r>
      <w:r w:rsidRPr="00100BF5">
        <w:rPr>
          <w:color w:val="auto"/>
          <w:lang w:val="en-GB"/>
        </w:rPr>
        <w:t xml:space="preserve"> and Investment Management</w:t>
      </w:r>
      <w:r w:rsidRPr="00100BF5">
        <w:rPr>
          <w:color w:val="auto"/>
        </w:rPr>
        <w:t xml:space="preserve"> net interest income</w:t>
      </w:r>
      <w:r w:rsidRPr="00100BF5">
        <w:rPr>
          <w:color w:val="auto"/>
          <w:lang w:val="en-GB"/>
        </w:rPr>
        <w:t xml:space="preserve"> (NII)</w:t>
      </w:r>
    </w:p>
    <w:p w:rsidR="00A12DCA" w:rsidRPr="00100BF5" w:rsidRDefault="00A12DCA" w:rsidP="00A12DCA">
      <w:pPr>
        <w:pStyle w:val="BodyText-BarcRA26"/>
      </w:pPr>
      <w:r w:rsidRPr="00100BF5">
        <w:t xml:space="preserve">Barclays distinguishes the relative net interest contribution from customer assets and customer liabilities, and separates this from the contribution delivered by non-customer income, which principally arises from Group hedging activities. </w:t>
      </w:r>
    </w:p>
    <w:p w:rsidR="00A12DCA" w:rsidRPr="00100BF5" w:rsidRDefault="00A12DCA" w:rsidP="00A12DCA">
      <w:pPr>
        <w:pStyle w:val="BodyText-BarcRA33"/>
        <w:rPr>
          <w:b/>
        </w:rPr>
      </w:pPr>
      <w:r w:rsidRPr="00100BF5">
        <w:rPr>
          <w:b/>
        </w:rPr>
        <w:t>Customer interest income</w:t>
      </w:r>
    </w:p>
    <w:p w:rsidR="00A12DCA" w:rsidRPr="00100BF5" w:rsidRDefault="00A12DCA" w:rsidP="00DF3B20">
      <w:pPr>
        <w:pStyle w:val="Level1Bullet-BarcRA03"/>
        <w:rPr>
          <w:lang w:val="en-GB"/>
        </w:rPr>
      </w:pPr>
      <w:r w:rsidRPr="00100BF5">
        <w:rPr>
          <w:lang w:val="en-GB"/>
        </w:rPr>
        <w:t>Customer NII increased 2% to £4,899m, driven by increases in the customer liability margin and growth in average customer asset and liability balances. Customer liabilities grew due to increases in retail savings products and corporate deposits in the UK</w:t>
      </w:r>
    </w:p>
    <w:p w:rsidR="00A12DCA" w:rsidRPr="00100BF5" w:rsidRDefault="00A12DCA" w:rsidP="00DF3B20">
      <w:pPr>
        <w:pStyle w:val="Level1Bullet-BarcRA03"/>
        <w:rPr>
          <w:lang w:val="en-GB"/>
        </w:rPr>
      </w:pPr>
      <w:r w:rsidRPr="00100BF5">
        <w:rPr>
          <w:lang w:val="en-GB"/>
        </w:rPr>
        <w:t xml:space="preserve">The customer asset margin declined to 2.11% (2011: 2.23%), reflecting an increase in </w:t>
      </w:r>
      <w:r w:rsidR="00931FB3" w:rsidRPr="00100BF5">
        <w:rPr>
          <w:lang w:val="en-GB"/>
        </w:rPr>
        <w:t>funding rate</w:t>
      </w:r>
      <w:r w:rsidR="0052473E">
        <w:rPr>
          <w:lang w:val="en-GB"/>
        </w:rPr>
        <w:t>s</w:t>
      </w:r>
      <w:r w:rsidRPr="00100BF5">
        <w:rPr>
          <w:lang w:val="en-GB"/>
        </w:rPr>
        <w:t xml:space="preserve"> across RBB, Corporate Banking and Wealth and Investment Management businesses. This was partially offset by a move towards higher margin business in Africa RBB</w:t>
      </w:r>
    </w:p>
    <w:p w:rsidR="00A12DCA" w:rsidRPr="00100BF5" w:rsidRDefault="00A12DCA" w:rsidP="00DF3B20">
      <w:pPr>
        <w:pStyle w:val="Level1Bullet-BarcRA03"/>
        <w:rPr>
          <w:lang w:val="en-GB"/>
        </w:rPr>
      </w:pPr>
      <w:r w:rsidRPr="00100BF5">
        <w:rPr>
          <w:lang w:val="en-GB"/>
        </w:rPr>
        <w:t>The customer liability margin increased to 1.13% (2011: 0.99%) reflecting increase</w:t>
      </w:r>
      <w:r w:rsidR="00766739">
        <w:rPr>
          <w:lang w:val="en-GB"/>
        </w:rPr>
        <w:t>d</w:t>
      </w:r>
      <w:r w:rsidRPr="00100BF5">
        <w:rPr>
          <w:lang w:val="en-GB"/>
        </w:rPr>
        <w:t xml:space="preserve"> </w:t>
      </w:r>
      <w:r w:rsidR="00931FB3" w:rsidRPr="00100BF5">
        <w:rPr>
          <w:lang w:val="en-GB"/>
        </w:rPr>
        <w:t>funding rate</w:t>
      </w:r>
      <w:r w:rsidR="0052473E">
        <w:rPr>
          <w:lang w:val="en-GB"/>
        </w:rPr>
        <w:t>s</w:t>
      </w:r>
      <w:r w:rsidRPr="00100BF5">
        <w:rPr>
          <w:lang w:val="en-GB"/>
        </w:rPr>
        <w:t xml:space="preserve"> and therefore value generated from RBB, Corporate Banking and Wealth and Investment Management customer liabilities</w:t>
      </w:r>
    </w:p>
    <w:p w:rsidR="00A12DCA" w:rsidRPr="00100BF5" w:rsidRDefault="00A12DCA" w:rsidP="00A12DCA">
      <w:pPr>
        <w:pStyle w:val="BodyText-BarcRA33"/>
        <w:rPr>
          <w:b/>
        </w:rPr>
      </w:pPr>
      <w:r w:rsidRPr="00100BF5">
        <w:rPr>
          <w:b/>
        </w:rPr>
        <w:t>Non-customer interest income</w:t>
      </w:r>
    </w:p>
    <w:p w:rsidR="00A12DCA" w:rsidRPr="00100BF5" w:rsidRDefault="00A12DCA" w:rsidP="00DF3B20">
      <w:pPr>
        <w:pStyle w:val="Level1Bullet-BarcRA03"/>
        <w:rPr>
          <w:lang w:val="en-GB"/>
        </w:rPr>
      </w:pPr>
      <w:r w:rsidRPr="00100BF5">
        <w:rPr>
          <w:lang w:val="en-GB"/>
        </w:rPr>
        <w:t>Non-customer NII decreased 21% to £689m, reflecting a reduction in the benefits from Group hedging activities. Group hedging activities utilise structural interest rate hedges to mitigate the impact of the low interest rate environment on customer liabilities and the Group’s equity</w:t>
      </w:r>
    </w:p>
    <w:p w:rsidR="00A12DCA" w:rsidRPr="00100BF5" w:rsidRDefault="00A12DCA" w:rsidP="00DF3B20">
      <w:pPr>
        <w:pStyle w:val="Level1Bullet-BarcRA03"/>
        <w:rPr>
          <w:lang w:val="en-GB"/>
        </w:rPr>
      </w:pPr>
      <w:r w:rsidRPr="00100BF5">
        <w:rPr>
          <w:lang w:val="en-GB"/>
        </w:rPr>
        <w:t xml:space="preserve">Product structural hedges generated a lower contribution of £487m (2011: £628m), as hedges were maintained in this period of continued low interest rates. Based on current interest rate curves and the on-going hedging strategy, fixed rate returns on product structural hedges are expected to continue to make a significant but declining contribution </w:t>
      </w:r>
      <w:r w:rsidR="0052473E">
        <w:rPr>
          <w:lang w:val="en-GB"/>
        </w:rPr>
        <w:t>in H2 2012 and 2013</w:t>
      </w:r>
    </w:p>
    <w:p w:rsidR="00A12DCA" w:rsidRPr="00100BF5" w:rsidRDefault="00A12DCA" w:rsidP="00DF3B20">
      <w:pPr>
        <w:pStyle w:val="Level1Bullet-BarcRA03"/>
        <w:rPr>
          <w:lang w:val="en-GB"/>
        </w:rPr>
      </w:pPr>
      <w:r w:rsidRPr="00100BF5">
        <w:rPr>
          <w:lang w:val="en-GB"/>
        </w:rPr>
        <w:t>The contribution from equity structural hedges in RBB, Corporate Banking and Wealth and Investment Management decreased to £119m (2011: £181m) following the sale of he</w:t>
      </w:r>
      <w:r w:rsidR="00882E4A">
        <w:rPr>
          <w:lang w:val="en-GB"/>
        </w:rPr>
        <w:t xml:space="preserve">dging instruments in H2 </w:t>
      </w:r>
      <w:r w:rsidRPr="00100BF5">
        <w:rPr>
          <w:lang w:val="en-GB"/>
        </w:rPr>
        <w:t>11 and the continued low interest rate environment</w:t>
      </w:r>
    </w:p>
    <w:p w:rsidR="00A12DCA" w:rsidRPr="00100BF5" w:rsidRDefault="00A12DCA" w:rsidP="00A12DCA">
      <w:pPr>
        <w:pStyle w:val="BodyText-BarcRA33"/>
        <w:rPr>
          <w:b/>
        </w:rPr>
      </w:pPr>
      <w:r w:rsidRPr="00100BF5">
        <w:rPr>
          <w:b/>
        </w:rPr>
        <w:t>Other Group interest income</w:t>
      </w:r>
    </w:p>
    <w:p w:rsidR="004962C8" w:rsidRPr="00100BF5" w:rsidRDefault="00A12DCA" w:rsidP="00DF3B20">
      <w:pPr>
        <w:pStyle w:val="Level1Bullet-BarcRA03"/>
      </w:pPr>
      <w:r w:rsidRPr="00100BF5">
        <w:t>Head Office and Other Operations NII of £98m (2011: £15m expense</w:t>
      </w:r>
      <w:r w:rsidR="00B05D0A" w:rsidRPr="00100BF5">
        <w:t>s</w:t>
      </w:r>
      <w:r w:rsidRPr="00100BF5">
        <w:t>) principally reflects an increase in income transferred from trading income within Head Office relating to interest rate swaps used for hedge accounting</w:t>
      </w:r>
    </w:p>
    <w:p w:rsidR="004962C8" w:rsidRPr="00100BF5" w:rsidRDefault="004962C8"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F72CF" w:rsidRPr="00100BF5" w:rsidRDefault="00AF72CF" w:rsidP="00AF72CF">
      <w:pPr>
        <w:pStyle w:val="Level1Bullet-BarcRA130"/>
        <w:numPr>
          <w:ilvl w:val="0"/>
          <w:numId w:val="0"/>
        </w:numPr>
        <w:spacing w:before="0" w:after="0"/>
        <w:ind w:left="284" w:hanging="284"/>
        <w:rPr>
          <w:sz w:val="2"/>
          <w:szCs w:val="2"/>
          <w:lang w:val="en-GB"/>
        </w:rPr>
      </w:pPr>
    </w:p>
    <w:p w:rsidR="00A12DCA" w:rsidRPr="00100BF5" w:rsidRDefault="00A12DCA" w:rsidP="00A12DCA">
      <w:pPr>
        <w:pStyle w:val="NoteandSourceText-BarcRA"/>
        <w:ind w:left="284" w:hanging="284"/>
      </w:pPr>
      <w:r w:rsidRPr="00100BF5">
        <w:t>Product structural hedges convert short term interest margin volatility on product balances (such as non-interest bearing current accounts and managed rate deposits) into a more stable medium term rate and are built on a monthly basis to achieve a targeted maturity profile. Product structural hedge income for H1 11 has been revised to £628m (previously reported as £711m).</w:t>
      </w:r>
    </w:p>
    <w:p w:rsidR="00A12DCA" w:rsidRPr="00100BF5" w:rsidRDefault="00A12DCA" w:rsidP="00A12DCA">
      <w:pPr>
        <w:pStyle w:val="NoteandSourceText-BarcRA"/>
        <w:ind w:left="284" w:hanging="284"/>
      </w:pPr>
      <w:r w:rsidRPr="00100BF5">
        <w:t>Equity structural hedges are in place to manage the volatility in net earnings generated by businesses on the Group’s equity, with the impact allocated to businesses in line with their economic capital usage.</w:t>
      </w:r>
    </w:p>
    <w:p w:rsidR="00351861" w:rsidRPr="00351861" w:rsidRDefault="00351861" w:rsidP="00351861">
      <w:pPr>
        <w:pStyle w:val="HeadingLevel1-BarcRA"/>
        <w:rPr>
          <w:lang w:val="en-GB"/>
        </w:rPr>
      </w:pPr>
      <w:r>
        <w:br w:type="page"/>
        <w:t>Performance Management</w:t>
      </w:r>
    </w:p>
    <w:p w:rsidR="00A12DCA" w:rsidRPr="00100BF5" w:rsidRDefault="00A12DCA" w:rsidP="00DF3B20">
      <w:pPr>
        <w:pStyle w:val="Level1Bullet-BarcRA03"/>
      </w:pPr>
      <w:r w:rsidRPr="00100BF5">
        <w:t xml:space="preserve">Investment Bank NII decreased 17% to £426m, </w:t>
      </w:r>
      <w:r w:rsidR="00713318" w:rsidRPr="00100BF5">
        <w:t>due to a reduction in interest income from credit market exposures</w:t>
      </w:r>
    </w:p>
    <w:p w:rsidR="00A12DCA" w:rsidRPr="00100BF5" w:rsidRDefault="00A12DCA" w:rsidP="00DF3B20">
      <w:pPr>
        <w:pStyle w:val="Level1Bullet-BarcRA03"/>
      </w:pPr>
      <w:r w:rsidRPr="00100BF5">
        <w:t>Total Group income from equity structural hedges decreased to £378m (2011: £583m) including £259m (2011: £402m) that was allocated to the Investment Bank and Head Office</w:t>
      </w:r>
    </w:p>
    <w:p w:rsidR="00A12DCA" w:rsidRPr="00100BF5" w:rsidRDefault="00A12DCA" w:rsidP="00A12DCA">
      <w:pPr>
        <w:pStyle w:val="HeadingLevel2-BarcRA1"/>
        <w:rPr>
          <w:color w:val="auto"/>
        </w:rPr>
      </w:pPr>
      <w:r w:rsidRPr="00100BF5">
        <w:rPr>
          <w:color w:val="auto"/>
        </w:rPr>
        <w:t>Net Interest Margin</w:t>
      </w:r>
    </w:p>
    <w:p w:rsidR="00A12DCA" w:rsidRPr="00100BF5" w:rsidRDefault="00A12DCA" w:rsidP="00DF3B20">
      <w:pPr>
        <w:pStyle w:val="Level1Bullet-BarcRA03"/>
      </w:pPr>
      <w:r w:rsidRPr="00100BF5">
        <w:t>The net interest margin for RBB, Corporate Banking and Wealth and Investment Management decreased to 1.89% (2011: 1.97%), reflecting the reduction in contribution from Group hedging activities. Consistent with prior periods the net interest margin is expressed as a percentage of the sum of average customer assets and liabilities, to reflect the impact of the margin generated on retail and commercial banking liabilities</w:t>
      </w:r>
    </w:p>
    <w:p w:rsidR="00A12DCA" w:rsidRPr="00100BF5" w:rsidRDefault="00A12DCA" w:rsidP="00DF3B20">
      <w:pPr>
        <w:pStyle w:val="Level1Bullet-BarcRA03"/>
      </w:pPr>
      <w:r w:rsidRPr="00100BF5">
        <w:t>The net interest margin expressed as a percentage of average customer assets only, declined to 3.53% (2011: 3.6</w:t>
      </w:r>
      <w:r w:rsidR="00713318" w:rsidRPr="00100BF5">
        <w:t>3</w:t>
      </w:r>
      <w:r w:rsidRPr="00100BF5">
        <w:t>%)</w:t>
      </w:r>
      <w:r w:rsidR="00911600" w:rsidRPr="00100BF5">
        <w:rPr>
          <w:vertAlign w:val="superscript"/>
          <w:lang w:val="en-GB"/>
        </w:rPr>
        <w:t>1</w:t>
      </w:r>
    </w:p>
    <w:p w:rsidR="00A12DCA" w:rsidRPr="00100BF5" w:rsidRDefault="00A12DCA"/>
    <w:tbl>
      <w:tblPr>
        <w:tblW w:w="0" w:type="auto"/>
        <w:tblLayout w:type="fixed"/>
        <w:tblLook w:val="0000" w:firstRow="0" w:lastRow="0" w:firstColumn="0" w:lastColumn="0" w:noHBand="0" w:noVBand="0"/>
      </w:tblPr>
      <w:tblGrid>
        <w:gridCol w:w="2820"/>
        <w:gridCol w:w="960"/>
        <w:gridCol w:w="960"/>
        <w:gridCol w:w="960"/>
        <w:gridCol w:w="960"/>
        <w:gridCol w:w="960"/>
        <w:gridCol w:w="1065"/>
        <w:gridCol w:w="960"/>
      </w:tblGrid>
      <w:tr w:rsidR="004962C8" w:rsidRPr="00100BF5" w:rsidTr="004962C8">
        <w:tblPrEx>
          <w:tblCellMar>
            <w:top w:w="0" w:type="dxa"/>
            <w:bottom w:w="0" w:type="dxa"/>
          </w:tblCellMar>
        </w:tblPrEx>
        <w:trPr>
          <w:trHeight w:hRule="exact" w:val="238"/>
        </w:trPr>
        <w:tc>
          <w:tcPr>
            <w:tcW w:w="3780" w:type="dxa"/>
            <w:gridSpan w:val="2"/>
            <w:tcBorders>
              <w:top w:val="nil"/>
              <w:left w:val="nil"/>
              <w:bottom w:val="nil"/>
              <w:right w:val="nil"/>
            </w:tcBorders>
            <w:shd w:val="clear" w:color="auto" w:fill="FFFFFF"/>
            <w:tcMar>
              <w:left w:w="36" w:type="dxa"/>
              <w:right w:w="36" w:type="dxa"/>
            </w:tcMar>
            <w:vAlign w:val="center"/>
          </w:tcPr>
          <w:p w:rsidR="004962C8" w:rsidRPr="00100BF5" w:rsidRDefault="004962C8">
            <w:r w:rsidRPr="00100BF5">
              <w:rPr>
                <w:b/>
                <w:sz w:val="20"/>
              </w:rPr>
              <w:t>Analysis of Net Interest Margin</w:t>
            </w:r>
          </w:p>
        </w:tc>
        <w:tc>
          <w:tcPr>
            <w:tcW w:w="960" w:type="dxa"/>
            <w:tcBorders>
              <w:top w:val="nil"/>
              <w:left w:val="nil"/>
              <w:bottom w:val="nil"/>
              <w:right w:val="nil"/>
            </w:tcBorders>
            <w:shd w:val="clear" w:color="auto" w:fill="FFFFFF"/>
            <w:tcMar>
              <w:left w:w="36" w:type="dxa"/>
              <w:right w:w="36" w:type="dxa"/>
            </w:tcMar>
            <w:vAlign w:val="bottom"/>
          </w:tcPr>
          <w:p w:rsidR="004962C8" w:rsidRPr="00100BF5" w:rsidRDefault="004962C8">
            <w:pPr>
              <w:rPr>
                <w:rFonts w:ascii="Calibri" w:eastAsia="Calibri" w:hAnsi="Calibri" w:cs="Calibri"/>
                <w:sz w:val="22"/>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4962C8" w:rsidRPr="00100BF5" w:rsidRDefault="004962C8">
            <w:pPr>
              <w:rPr>
                <w:rFonts w:ascii="Calibri" w:eastAsia="Calibri" w:hAnsi="Calibri" w:cs="Calibri"/>
                <w:sz w:val="22"/>
              </w:rPr>
            </w:pPr>
            <w:r w:rsidRPr="00100BF5">
              <w:rPr>
                <w:rFonts w:ascii="Calibri" w:eastAsia="Calibri" w:hAnsi="Calibri" w:cs="Calibri"/>
                <w:sz w:val="22"/>
              </w:rPr>
              <w:t xml:space="preserve"> </w:t>
            </w:r>
            <w:r w:rsidRPr="00100BF5">
              <w:rPr>
                <w:rFonts w:ascii="Calibri" w:eastAsia="Calibri" w:hAnsi="Calibri" w:cs="Calibri"/>
                <w:sz w:val="22"/>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4962C8" w:rsidRPr="00100BF5" w:rsidRDefault="004962C8">
            <w:pPr>
              <w:rPr>
                <w:rFonts w:ascii="Calibri" w:eastAsia="Calibri" w:hAnsi="Calibri" w:cs="Calibri"/>
                <w:sz w:val="22"/>
                <w:vertAlign w:val="superscript"/>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4962C8" w:rsidRPr="00100BF5" w:rsidRDefault="004962C8">
            <w:pPr>
              <w:rPr>
                <w:rFonts w:ascii="Calibri" w:eastAsia="Calibri" w:hAnsi="Calibri" w:cs="Calibri"/>
                <w:sz w:val="22"/>
              </w:rPr>
            </w:pPr>
            <w:r w:rsidRPr="00100BF5">
              <w:rPr>
                <w:rFonts w:ascii="Calibri" w:eastAsia="Calibri" w:hAnsi="Calibri" w:cs="Calibri"/>
                <w:sz w:val="22"/>
              </w:rPr>
              <w:t xml:space="preserve"> </w:t>
            </w:r>
            <w:r w:rsidRPr="00100BF5">
              <w:rPr>
                <w:rFonts w:ascii="Calibri" w:eastAsia="Calibri" w:hAnsi="Calibri" w:cs="Calibri"/>
                <w:sz w:val="22"/>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4962C8" w:rsidRPr="00100BF5" w:rsidRDefault="004962C8">
            <w:pPr>
              <w:rPr>
                <w:rFonts w:ascii="Calibri" w:eastAsia="Calibri" w:hAnsi="Calibri" w:cs="Calibri"/>
                <w:sz w:val="22"/>
                <w:vertAlign w:val="superscript"/>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4962C8" w:rsidRPr="00100BF5" w:rsidRDefault="004962C8">
            <w:pPr>
              <w:rPr>
                <w:rFonts w:ascii="Calibri" w:eastAsia="Calibri" w:hAnsi="Calibri" w:cs="Calibri"/>
                <w:sz w:val="22"/>
              </w:rPr>
            </w:pPr>
            <w:r w:rsidRPr="00100BF5">
              <w:rPr>
                <w:rFonts w:ascii="Calibri" w:eastAsia="Calibri" w:hAnsi="Calibri" w:cs="Calibri"/>
                <w:sz w:val="22"/>
              </w:rPr>
              <w:t xml:space="preserve"> </w:t>
            </w:r>
          </w:p>
        </w:tc>
      </w:tr>
      <w:tr w:rsidR="00A12DCA" w:rsidRPr="00100BF5" w:rsidTr="00D123CC">
        <w:tblPrEx>
          <w:tblCellMar>
            <w:top w:w="0" w:type="dxa"/>
            <w:bottom w:w="0" w:type="dxa"/>
          </w:tblCellMar>
        </w:tblPrEx>
        <w:trPr>
          <w:trHeight w:val="170"/>
        </w:trPr>
        <w:tc>
          <w:tcPr>
            <w:tcW w:w="2820" w:type="dxa"/>
            <w:tcBorders>
              <w:top w:val="nil"/>
              <w:left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b/>
                <w:sz w:val="16"/>
              </w:rPr>
              <w:t xml:space="preserve"> </w:t>
            </w:r>
          </w:p>
        </w:tc>
        <w:tc>
          <w:tcPr>
            <w:tcW w:w="96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UK RBB</w:t>
            </w:r>
          </w:p>
        </w:tc>
        <w:tc>
          <w:tcPr>
            <w:tcW w:w="96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Europe RBB</w:t>
            </w:r>
          </w:p>
        </w:tc>
        <w:tc>
          <w:tcPr>
            <w:tcW w:w="96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Africa RBB</w:t>
            </w:r>
            <w:r w:rsidRPr="00100BF5">
              <w:rPr>
                <w:b/>
                <w:sz w:val="16"/>
                <w:vertAlign w:val="superscript"/>
              </w:rPr>
              <w:t>1 </w:t>
            </w:r>
          </w:p>
        </w:tc>
        <w:tc>
          <w:tcPr>
            <w:tcW w:w="96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Barclaycard</w:t>
            </w:r>
          </w:p>
        </w:tc>
        <w:tc>
          <w:tcPr>
            <w:tcW w:w="96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Corporate Banking</w:t>
            </w:r>
            <w:r w:rsidRPr="00100BF5">
              <w:rPr>
                <w:b/>
                <w:sz w:val="16"/>
                <w:vertAlign w:val="superscript"/>
              </w:rPr>
              <w:t>1 </w:t>
            </w:r>
          </w:p>
        </w:tc>
        <w:tc>
          <w:tcPr>
            <w:tcW w:w="1065"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Wealth and Investment Management</w:t>
            </w:r>
          </w:p>
        </w:tc>
        <w:tc>
          <w:tcPr>
            <w:tcW w:w="96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 RBB, Corporate and Wealth</w:t>
            </w:r>
          </w:p>
        </w:tc>
      </w:tr>
      <w:tr w:rsidR="00A12DCA" w:rsidRPr="00100BF5" w:rsidTr="00D123CC">
        <w:tblPrEx>
          <w:tblCellMar>
            <w:top w:w="0" w:type="dxa"/>
            <w:bottom w:w="0" w:type="dxa"/>
          </w:tblCellMar>
        </w:tblPrEx>
        <w:trPr>
          <w:trHeight w:val="240"/>
        </w:trPr>
        <w:tc>
          <w:tcPr>
            <w:tcW w:w="28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Half Year Ended 30.06.12</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r w:rsidRPr="00100BF5">
              <w:rPr>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r w:rsidRPr="00100BF5">
              <w:rPr>
                <w:sz w:val="16"/>
                <w:vertAlign w:val="superscript"/>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r>
      <w:tr w:rsidR="00A12DCA" w:rsidRPr="00100BF5" w:rsidTr="00D123CC">
        <w:tblPrEx>
          <w:tblCellMar>
            <w:top w:w="0" w:type="dxa"/>
            <w:bottom w:w="0" w:type="dxa"/>
          </w:tblCellMar>
        </w:tblPrEx>
        <w:trPr>
          <w:trHeight w:val="240"/>
        </w:trPr>
        <w:tc>
          <w:tcPr>
            <w:tcW w:w="28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Customer asset margin</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1.08 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0.80 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3.10 </w:t>
            </w:r>
            <w:r w:rsidRPr="00100BF5">
              <w:rPr>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9.53 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1.20 </w:t>
            </w:r>
            <w:r w:rsidRPr="00100BF5">
              <w:rPr>
                <w:sz w:val="16"/>
                <w:vertAlign w:val="superscript"/>
              </w:rPr>
              <w:t xml:space="preserve">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0.65 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2.11 </w:t>
            </w:r>
          </w:p>
        </w:tc>
      </w:tr>
      <w:tr w:rsidR="00A12DCA" w:rsidRPr="00100BF5" w:rsidTr="00D123CC">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Customer liability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0.97 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0.47 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2.66 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n/m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1.08 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1.11 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1.13 </w:t>
            </w:r>
          </w:p>
        </w:tc>
      </w:tr>
      <w:tr w:rsidR="00A12DCA" w:rsidRPr="00100BF5" w:rsidTr="00D123CC">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Non-customer generated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0.37 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0.36 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0.25 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(0.73)</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0.16 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0.27 </w:t>
            </w:r>
          </w:p>
        </w:tc>
        <w:tc>
          <w:tcPr>
            <w:tcW w:w="960" w:type="dxa"/>
            <w:tcBorders>
              <w:top w:val="nil"/>
              <w:left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0.23 </w:t>
            </w:r>
          </w:p>
        </w:tc>
      </w:tr>
      <w:tr w:rsidR="00A12DCA" w:rsidRPr="00100BF5" w:rsidTr="00D123CC">
        <w:tblPrEx>
          <w:tblCellMar>
            <w:top w:w="0" w:type="dxa"/>
            <w:bottom w:w="0" w:type="dxa"/>
          </w:tblCellMar>
        </w:tblPrEx>
        <w:trPr>
          <w:trHeight w:hRule="exact" w:val="12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right w:val="nil"/>
            </w:tcBorders>
            <w:shd w:val="clear" w:color="auto" w:fill="EAEAEA"/>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rsidTr="00D123CC">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Net interest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3.18 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8.81 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1.29 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1.25 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shd w:val="clear" w:color="auto" w:fill="EAEAEA"/>
              </w:rPr>
              <w:t>1.89</w:t>
            </w:r>
            <w:r w:rsidRPr="00100BF5">
              <w:rPr>
                <w:sz w:val="16"/>
              </w:rPr>
              <w:t> </w:t>
            </w:r>
          </w:p>
        </w:tc>
      </w:tr>
      <w:tr w:rsidR="00A12DCA" w:rsidRPr="00100BF5" w:rsidTr="00D123CC">
        <w:tblPrEx>
          <w:tblCellMar>
            <w:top w:w="0" w:type="dxa"/>
            <w:bottom w:w="0" w:type="dxa"/>
          </w:tblCellMar>
        </w:tblPrEx>
        <w:trPr>
          <w:trHeight w:hRule="exact" w:val="12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right w:val="nil"/>
            </w:tcBorders>
            <w:shd w:val="clear" w:color="auto" w:fill="EAEAEA"/>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rsidTr="00D123CC">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Average customer assets (£m)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122,343 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42,044 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34,369 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31,830 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68,162 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19,152 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317,900 </w:t>
            </w:r>
          </w:p>
        </w:tc>
      </w:tr>
      <w:tr w:rsidR="00A12DCA" w:rsidRPr="00100BF5" w:rsidTr="00D123CC">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Average customer liabilities (£m)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110,540 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15,523 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22,345 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n/m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80,758 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48,246 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277,412 </w:t>
            </w:r>
          </w:p>
        </w:tc>
      </w:tr>
      <w:tr w:rsidR="00A12DCA" w:rsidRPr="00100BF5" w:rsidTr="004962C8">
        <w:tblPrEx>
          <w:tblCellMar>
            <w:top w:w="0" w:type="dxa"/>
            <w:bottom w:w="0" w:type="dxa"/>
          </w:tblCellMar>
        </w:tblPrEx>
        <w:trPr>
          <w:trHeight w:hRule="exact" w:val="215"/>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tblPrEx>
          <w:tblCellMar>
            <w:top w:w="0" w:type="dxa"/>
            <w:bottom w:w="0" w:type="dxa"/>
          </w:tblCellMar>
        </w:tblPrEx>
        <w:trPr>
          <w:trHeight w:val="240"/>
        </w:trPr>
        <w:tc>
          <w:tcPr>
            <w:tcW w:w="282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sz w:val="16"/>
              </w:rPr>
            </w:pPr>
            <w:r w:rsidRPr="00100BF5">
              <w:rPr>
                <w:b/>
                <w:sz w:val="16"/>
              </w:rPr>
              <w:t>Half Year Ended 31.12.11</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6C090D">
        <w:tblPrEx>
          <w:tblCellMar>
            <w:top w:w="0" w:type="dxa"/>
            <w:bottom w:w="0" w:type="dxa"/>
          </w:tblCellMar>
        </w:tblPrEx>
        <w:trPr>
          <w:trHeight w:val="240"/>
        </w:trPr>
        <w:tc>
          <w:tcPr>
            <w:tcW w:w="282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Customer asset margin</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1.18 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0.82 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2.89 </w:t>
            </w:r>
            <w:r w:rsidRPr="00100BF5">
              <w:rPr>
                <w:sz w:val="16"/>
                <w:vertAlign w:val="superscript"/>
              </w:rPr>
              <w:t xml:space="preserve">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9.47 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1.40 </w:t>
            </w:r>
            <w:r w:rsidRPr="00100BF5">
              <w:rPr>
                <w:sz w:val="16"/>
                <w:vertAlign w:val="superscript"/>
              </w:rPr>
              <w:t xml:space="preserve">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0.78 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2.15 </w:t>
            </w:r>
          </w:p>
        </w:tc>
      </w:tr>
      <w:tr w:rsidR="00A12DCA" w:rsidRPr="00100BF5" w:rsidTr="006C090D">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Customer liability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0.90 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0.90 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2.91 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n/m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0.99 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1.05 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1.12 </w:t>
            </w:r>
          </w:p>
        </w:tc>
      </w:tr>
      <w:tr w:rsidR="00A12DCA" w:rsidRPr="00100BF5" w:rsidTr="006C090D">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Non-customer generated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0.50 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0.54 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0.52 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0.02 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0.31 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0.39 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0.42 </w:t>
            </w:r>
          </w:p>
        </w:tc>
      </w:tr>
      <w:tr w:rsidR="00A12DCA" w:rsidRPr="00100BF5">
        <w:tblPrEx>
          <w:tblCellMar>
            <w:top w:w="0" w:type="dxa"/>
            <w:bottom w:w="0" w:type="dxa"/>
          </w:tblCellMar>
        </w:tblPrEx>
        <w:trPr>
          <w:trHeight w:hRule="exact" w:val="12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rsidTr="006C090D">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Net interest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1.55 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1.38 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3.42 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9.49 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1.50 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1.36 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2.10 </w:t>
            </w:r>
          </w:p>
        </w:tc>
      </w:tr>
      <w:tr w:rsidR="00A12DCA" w:rsidRPr="00100BF5">
        <w:tblPrEx>
          <w:tblCellMar>
            <w:top w:w="0" w:type="dxa"/>
            <w:bottom w:w="0" w:type="dxa"/>
          </w:tblCellMar>
        </w:tblPrEx>
        <w:trPr>
          <w:trHeight w:hRule="exact" w:val="12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Average customer assets (£m)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120,015 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44,133 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35,992 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31,155 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71,027 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18,045 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320,367 </w:t>
            </w:r>
          </w:p>
        </w:tc>
      </w:tr>
      <w:tr w:rsidR="00A12DCA" w:rsidRPr="00100BF5">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Average customer liabilities (£m)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108,408 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17,379 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23,274 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n/m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80,268 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44,718 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274,047 </w:t>
            </w:r>
          </w:p>
        </w:tc>
      </w:tr>
      <w:tr w:rsidR="00A12DCA" w:rsidRPr="00100BF5" w:rsidTr="004962C8">
        <w:tblPrEx>
          <w:tblCellMar>
            <w:top w:w="0" w:type="dxa"/>
            <w:bottom w:w="0" w:type="dxa"/>
          </w:tblCellMar>
        </w:tblPrEx>
        <w:trPr>
          <w:trHeight w:hRule="exact" w:val="215"/>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r w:rsidRPr="00100BF5">
              <w:rPr>
                <w:rFonts w:ascii="Calibri" w:eastAsia="Calibri" w:hAnsi="Calibri" w:cs="Calibri"/>
                <w:sz w:val="22"/>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vertAlign w:val="superscript"/>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r w:rsidRPr="00100BF5">
              <w:rPr>
                <w:rFonts w:ascii="Calibri" w:eastAsia="Calibri" w:hAnsi="Calibri" w:cs="Calibri"/>
                <w:sz w:val="22"/>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vertAlign w:val="superscript"/>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r>
      <w:tr w:rsidR="00A12DCA" w:rsidRPr="00100BF5">
        <w:tblPrEx>
          <w:tblCellMar>
            <w:top w:w="0" w:type="dxa"/>
            <w:bottom w:w="0" w:type="dxa"/>
          </w:tblCellMar>
        </w:tblPrEx>
        <w:trPr>
          <w:trHeight w:val="240"/>
        </w:trPr>
        <w:tc>
          <w:tcPr>
            <w:tcW w:w="282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rFonts w:ascii="Calibri" w:eastAsia="Calibri" w:hAnsi="Calibri" w:cs="Calibri"/>
                <w:sz w:val="22"/>
              </w:rPr>
            </w:pPr>
            <w:r w:rsidRPr="00100BF5">
              <w:rPr>
                <w:b/>
                <w:sz w:val="16"/>
              </w:rPr>
              <w:t>Half Year Ended 30.06.11</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6C090D">
        <w:tblPrEx>
          <w:tblCellMar>
            <w:top w:w="0" w:type="dxa"/>
            <w:bottom w:w="0" w:type="dxa"/>
          </w:tblCellMar>
        </w:tblPrEx>
        <w:trPr>
          <w:trHeight w:val="240"/>
        </w:trPr>
        <w:tc>
          <w:tcPr>
            <w:tcW w:w="282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Customer asset margin</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1.25 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0.94 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2.95 </w:t>
            </w:r>
            <w:r w:rsidRPr="00100BF5">
              <w:rPr>
                <w:sz w:val="16"/>
                <w:vertAlign w:val="superscript"/>
              </w:rPr>
              <w:t xml:space="preserve">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9.58 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1.54 </w:t>
            </w:r>
            <w:r w:rsidRPr="00100BF5">
              <w:rPr>
                <w:sz w:val="16"/>
                <w:vertAlign w:val="superscript"/>
              </w:rPr>
              <w:t xml:space="preserve">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0.77 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2.23 </w:t>
            </w:r>
          </w:p>
        </w:tc>
      </w:tr>
      <w:tr w:rsidR="00A12DCA" w:rsidRPr="00100BF5" w:rsidTr="006C090D">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Customer liability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0.83 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0.41 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2.58 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n/m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0.89 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0.94 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0.99 </w:t>
            </w:r>
          </w:p>
        </w:tc>
      </w:tr>
      <w:tr w:rsidR="00A12DCA" w:rsidRPr="00100BF5" w:rsidTr="006C090D">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Non-customer generated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0.41 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0.40 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0.21 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(0.18)</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0.22 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0.33 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0.30 </w:t>
            </w:r>
          </w:p>
        </w:tc>
      </w:tr>
      <w:tr w:rsidR="00A12DCA" w:rsidRPr="00100BF5">
        <w:tblPrEx>
          <w:tblCellMar>
            <w:top w:w="0" w:type="dxa"/>
            <w:bottom w:w="0" w:type="dxa"/>
          </w:tblCellMar>
        </w:tblPrEx>
        <w:trPr>
          <w:trHeight w:hRule="exact" w:val="12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rsidTr="006C090D">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Net interest margin</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1.46 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1.18 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3.02 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9.39 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1.42 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vertAlign w:val="superscript"/>
              </w:rPr>
            </w:pPr>
            <w:r w:rsidRPr="00100BF5">
              <w:rPr>
                <w:sz w:val="16"/>
              </w:rPr>
              <w:t>1.22 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090D">
            <w:pPr>
              <w:jc w:val="right"/>
              <w:rPr>
                <w:sz w:val="16"/>
              </w:rPr>
            </w:pPr>
            <w:r w:rsidRPr="00100BF5">
              <w:rPr>
                <w:sz w:val="16"/>
              </w:rPr>
              <w:t>1.97 </w:t>
            </w:r>
          </w:p>
        </w:tc>
      </w:tr>
      <w:tr w:rsidR="00A12DCA" w:rsidRPr="00100BF5">
        <w:tblPrEx>
          <w:tblCellMar>
            <w:top w:w="0" w:type="dxa"/>
            <w:bottom w:w="0" w:type="dxa"/>
          </w:tblCellMar>
        </w:tblPrEx>
        <w:trPr>
          <w:trHeight w:hRule="exact" w:val="120"/>
        </w:trPr>
        <w:tc>
          <w:tcPr>
            <w:tcW w:w="28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Average customer assets (£m)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116,977 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43,360 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39,943 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29,408 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69,760 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16,849 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316,297 </w:t>
            </w:r>
          </w:p>
        </w:tc>
      </w:tr>
      <w:tr w:rsidR="00A12DCA" w:rsidRPr="00100BF5">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Average customer liabilities (£m)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107,007 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18,029 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23,914 </w:t>
            </w:r>
            <w:r w:rsidRPr="00100BF5">
              <w:rPr>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n/m</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74,430 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43,994 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267,374 </w:t>
            </w:r>
          </w:p>
        </w:tc>
      </w:tr>
    </w:tbl>
    <w:p w:rsidR="00A12DCA" w:rsidRPr="00100BF5" w:rsidRDefault="00A12DCA"/>
    <w:p w:rsidR="00931FB3" w:rsidRPr="00100BF5" w:rsidRDefault="00931FB3" w:rsidP="008247A6">
      <w:pPr>
        <w:pStyle w:val="Level1Bullet-BarcRA03"/>
      </w:pPr>
      <w:r w:rsidRPr="00100BF5">
        <w:t>Customer asset and liability margins reflect a year on year increase in the Group’s internal funding rate</w:t>
      </w:r>
      <w:r w:rsidR="0052473E">
        <w:rPr>
          <w:lang w:val="en-GB"/>
        </w:rPr>
        <w:t>s</w:t>
      </w:r>
      <w:r w:rsidRPr="00100BF5">
        <w:t xml:space="preserve">, which </w:t>
      </w:r>
      <w:r w:rsidR="0052473E">
        <w:rPr>
          <w:lang w:val="en-GB"/>
        </w:rPr>
        <w:t>are</w:t>
      </w:r>
      <w:r w:rsidRPr="00100BF5">
        <w:t xml:space="preserve"> based on the cost to th</w:t>
      </w:r>
      <w:r w:rsidR="0052473E">
        <w:t xml:space="preserve">e Group of alternative funding </w:t>
      </w:r>
      <w:r w:rsidR="0052473E">
        <w:rPr>
          <w:lang w:val="en-GB"/>
        </w:rPr>
        <w:t>i</w:t>
      </w:r>
      <w:r w:rsidRPr="00100BF5">
        <w:t>n the wholesale market. The increase in funding rate</w:t>
      </w:r>
      <w:r w:rsidR="0052473E">
        <w:rPr>
          <w:lang w:val="en-GB"/>
        </w:rPr>
        <w:t>s</w:t>
      </w:r>
      <w:r w:rsidRPr="00100BF5">
        <w:t xml:space="preserve"> has had an adverse impact to customer asset margins and a benefit to customer liability margins</w:t>
      </w:r>
    </w:p>
    <w:p w:rsidR="00931FB3" w:rsidRPr="00100BF5" w:rsidRDefault="00931FB3" w:rsidP="008247A6">
      <w:pPr>
        <w:pStyle w:val="Level1Bullet-BarcRA03"/>
      </w:pPr>
      <w:r w:rsidRPr="00100BF5">
        <w:t>The Group’s internal funding rate prices intra-group funding and liquidity to appropriately give credit to businesses with net surplus liquidity and to charge those businesses in need of wholesale funding at a rate that is driven by prevailing market rates and includes a term premium. The objective is to price internal funding for assets and liabilities in line with the cost of alternative funding, which ensures there is consistency between retail and wholesale sources</w:t>
      </w:r>
    </w:p>
    <w:p w:rsidR="002A0D5B" w:rsidRPr="00100BF5" w:rsidRDefault="002A0D5B" w:rsidP="002A0D5B">
      <w:pPr>
        <w:pStyle w:val="NoteandSourceText-BarcRA0"/>
        <w:numPr>
          <w:ilvl w:val="0"/>
          <w:numId w:val="0"/>
        </w:numPr>
        <w:ind w:left="284"/>
      </w:pPr>
    </w:p>
    <w:p w:rsidR="002A0D5B" w:rsidRPr="00100BF5" w:rsidRDefault="002A0D5B" w:rsidP="002A0D5B">
      <w:pPr>
        <w:pStyle w:val="NoteandSourceText-BarcRA0"/>
        <w:numPr>
          <w:ilvl w:val="0"/>
          <w:numId w:val="0"/>
        </w:numPr>
        <w:ind w:left="284"/>
      </w:pPr>
    </w:p>
    <w:p w:rsidR="00931FB3" w:rsidRPr="00100BF5" w:rsidRDefault="00931FB3" w:rsidP="002A0D5B">
      <w:pPr>
        <w:pStyle w:val="NoteandSourceText-BarcRA0"/>
        <w:numPr>
          <w:ilvl w:val="0"/>
          <w:numId w:val="0"/>
        </w:numPr>
        <w:ind w:left="284"/>
      </w:pPr>
    </w:p>
    <w:p w:rsidR="002A0D5B" w:rsidRPr="00100BF5" w:rsidRDefault="002A0D5B"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F72CF" w:rsidRPr="00100BF5" w:rsidRDefault="00AF72CF" w:rsidP="002A0D5B">
      <w:pPr>
        <w:pStyle w:val="NoteandSourceText-BarcRA0"/>
        <w:numPr>
          <w:ilvl w:val="0"/>
          <w:numId w:val="0"/>
        </w:numPr>
        <w:ind w:left="284"/>
        <w:rPr>
          <w:sz w:val="2"/>
          <w:szCs w:val="2"/>
        </w:rPr>
      </w:pPr>
    </w:p>
    <w:p w:rsidR="00A12DCA" w:rsidRPr="00100BF5" w:rsidRDefault="004962C8" w:rsidP="00A12DCA">
      <w:pPr>
        <w:pStyle w:val="NoteandSourceText-BarcRA0"/>
        <w:ind w:left="284" w:hanging="284"/>
      </w:pPr>
      <w:r w:rsidRPr="00100BF5">
        <w:t>2</w:t>
      </w:r>
      <w:r w:rsidR="00A12DCA" w:rsidRPr="00100BF5">
        <w:t>011 comparatives have been revised to reflect certain corporate banking activities previously reported in Africa RBB which are now included within Corporate Banking. Africa RBB comparatives have additionally been revised to include gross cheque advances and cheque deposits within average assets and average liabilities respectively where these were previously reported net.</w:t>
      </w:r>
      <w:r w:rsidR="00882E4A">
        <w:t xml:space="preserve"> The H1 </w:t>
      </w:r>
      <w:r w:rsidR="00713318" w:rsidRPr="00100BF5">
        <w:t>11 net interest margin expressed as a percentage of average customer assets only is therefore revised to 3.63% (previously reported as 3.64%).</w:t>
      </w:r>
    </w:p>
    <w:p w:rsidR="00A12DCA" w:rsidRPr="00100BF5" w:rsidRDefault="00A12DCA">
      <w:pPr>
        <w:sectPr w:rsidR="00A12DCA" w:rsidRPr="00100BF5" w:rsidSect="00E100EB">
          <w:headerReference w:type="default" r:id="rId24"/>
          <w:pgSz w:w="11905" w:h="16837"/>
          <w:pgMar w:top="851" w:right="1134" w:bottom="567" w:left="1134" w:header="851" w:footer="567" w:gutter="0"/>
          <w:cols w:space="708"/>
        </w:sectPr>
      </w:pPr>
    </w:p>
    <w:p w:rsidR="005F437E" w:rsidRDefault="005F437E" w:rsidP="005F437E">
      <w:pPr>
        <w:pStyle w:val="HeadingLevel1-BarcRA"/>
      </w:pPr>
      <w:r>
        <w:t>Risk Management</w:t>
      </w:r>
    </w:p>
    <w:p w:rsidR="00A12DCA" w:rsidRPr="00100BF5" w:rsidRDefault="00A12DCA" w:rsidP="00A12DCA">
      <w:pPr>
        <w:pStyle w:val="HeadingLevel1-BarcRA23"/>
        <w:rPr>
          <w:color w:val="auto"/>
        </w:rPr>
      </w:pPr>
      <w:r w:rsidRPr="00100BF5">
        <w:rPr>
          <w:color w:val="auto"/>
        </w:rPr>
        <w:t>Overview</w:t>
      </w:r>
    </w:p>
    <w:p w:rsidR="00A12DCA" w:rsidRPr="00100BF5" w:rsidRDefault="00A12DCA" w:rsidP="008247A6">
      <w:pPr>
        <w:pStyle w:val="Level1Bullet-BarcRA03"/>
        <w:rPr>
          <w:lang w:val="en-GB"/>
        </w:rPr>
      </w:pPr>
      <w:r w:rsidRPr="00100BF5">
        <w:rPr>
          <w:lang w:val="en-GB"/>
        </w:rPr>
        <w:t>Barclays has clear risk management objectives, and a well-established strategy and framework for managing risk. The approach to identifying, assessing, controlling, reporting and managing risks is formalised in the Principal Risks Framework. The framework, which groups risk into four Principal Risks categories, is unchanged in 2012. Further detail on how these risks are managed may be found in the 2011 Annual Report and Accounts</w:t>
      </w:r>
    </w:p>
    <w:p w:rsidR="00A12DCA" w:rsidRPr="00100BF5" w:rsidRDefault="00A12DCA" w:rsidP="008247A6">
      <w:pPr>
        <w:pStyle w:val="Level1Bullet-BarcRA03"/>
        <w:rPr>
          <w:lang w:val="en-GB"/>
        </w:rPr>
      </w:pPr>
      <w:r w:rsidRPr="00100BF5">
        <w:rPr>
          <w:lang w:val="en-GB"/>
        </w:rPr>
        <w:t xml:space="preserve">The uncertainties currently associated with the Group’s Principal Risks are described below:  </w:t>
      </w:r>
    </w:p>
    <w:tbl>
      <w:tblPr>
        <w:tblW w:w="9750" w:type="dxa"/>
        <w:tblBorders>
          <w:insideH w:val="single" w:sz="4" w:space="0" w:color="969696"/>
        </w:tblBorders>
        <w:tblLayout w:type="fixed"/>
        <w:tblLook w:val="04A0" w:firstRow="1" w:lastRow="0" w:firstColumn="1" w:lastColumn="0" w:noHBand="0" w:noVBand="1"/>
      </w:tblPr>
      <w:tblGrid>
        <w:gridCol w:w="5355"/>
        <w:gridCol w:w="236"/>
        <w:gridCol w:w="3544"/>
        <w:gridCol w:w="615"/>
      </w:tblGrid>
      <w:tr w:rsidR="00A12DCA" w:rsidRPr="00100BF5" w:rsidTr="00A12DCA">
        <w:trPr>
          <w:trHeight w:val="398"/>
        </w:trPr>
        <w:tc>
          <w:tcPr>
            <w:tcW w:w="5355" w:type="dxa"/>
            <w:tcBorders>
              <w:top w:val="nil"/>
              <w:left w:val="nil"/>
              <w:bottom w:val="single" w:sz="4" w:space="0" w:color="969696"/>
              <w:right w:val="nil"/>
            </w:tcBorders>
            <w:shd w:val="clear" w:color="auto" w:fill="FFFFFF"/>
            <w:vAlign w:val="center"/>
          </w:tcPr>
          <w:p w:rsidR="00A12DCA" w:rsidRPr="00100BF5" w:rsidRDefault="00A12DCA">
            <w:pPr>
              <w:pStyle w:val="BodyText-BarcRA2900"/>
              <w:spacing w:before="15" w:after="15"/>
              <w:jc w:val="left"/>
              <w:rPr>
                <w:rFonts w:eastAsia="Expert Sans Regular" w:cs="Expert Sans Regular"/>
                <w:b/>
                <w:szCs w:val="24"/>
                <w:vertAlign w:val="superscript"/>
                <w:lang w:val="en-US"/>
              </w:rPr>
            </w:pPr>
            <w:r w:rsidRPr="00100BF5">
              <w:rPr>
                <w:b/>
              </w:rPr>
              <w:t>Principal Risks and Associated Uncertainties</w:t>
            </w:r>
            <w:r w:rsidRPr="00100BF5">
              <w:rPr>
                <w:b/>
                <w:vertAlign w:val="superscript"/>
              </w:rPr>
              <w:t>1</w:t>
            </w:r>
          </w:p>
        </w:tc>
        <w:tc>
          <w:tcPr>
            <w:tcW w:w="236" w:type="dxa"/>
            <w:shd w:val="clear" w:color="auto" w:fill="FFFFFF"/>
          </w:tcPr>
          <w:p w:rsidR="00A12DCA" w:rsidRPr="00100BF5" w:rsidRDefault="00A12DCA">
            <w:pPr>
              <w:pStyle w:val="BodyText-BarcRA2900"/>
              <w:spacing w:before="15" w:after="15"/>
              <w:rPr>
                <w:b/>
              </w:rPr>
            </w:pPr>
          </w:p>
        </w:tc>
        <w:tc>
          <w:tcPr>
            <w:tcW w:w="3544" w:type="dxa"/>
            <w:tcBorders>
              <w:top w:val="nil"/>
              <w:left w:val="nil"/>
              <w:bottom w:val="single" w:sz="4" w:space="0" w:color="969696"/>
              <w:right w:val="nil"/>
            </w:tcBorders>
            <w:shd w:val="clear" w:color="auto" w:fill="FFFFFF"/>
            <w:vAlign w:val="center"/>
          </w:tcPr>
          <w:p w:rsidR="00A12DCA" w:rsidRPr="00100BF5" w:rsidRDefault="00A12DCA">
            <w:pPr>
              <w:pStyle w:val="BodyText-BarcRA2900"/>
              <w:spacing w:before="15" w:after="15"/>
              <w:rPr>
                <w:rFonts w:eastAsia="Expert Sans Regular" w:cs="Expert Sans Regular"/>
                <w:b/>
                <w:szCs w:val="24"/>
                <w:lang w:val="en-US"/>
              </w:rPr>
            </w:pPr>
            <w:r w:rsidRPr="00100BF5">
              <w:rPr>
                <w:b/>
              </w:rPr>
              <w:t>Topics Covered</w:t>
            </w:r>
          </w:p>
        </w:tc>
        <w:tc>
          <w:tcPr>
            <w:tcW w:w="615" w:type="dxa"/>
            <w:tcBorders>
              <w:top w:val="nil"/>
              <w:left w:val="nil"/>
              <w:bottom w:val="single" w:sz="4" w:space="0" w:color="969696"/>
              <w:right w:val="nil"/>
            </w:tcBorders>
            <w:shd w:val="clear" w:color="auto" w:fill="FFFFFF"/>
            <w:vAlign w:val="center"/>
          </w:tcPr>
          <w:p w:rsidR="00A12DCA" w:rsidRPr="00100BF5" w:rsidRDefault="00A12DCA">
            <w:pPr>
              <w:pStyle w:val="BodyText-BarcRA2900"/>
              <w:spacing w:before="15" w:after="15"/>
              <w:jc w:val="center"/>
              <w:rPr>
                <w:b/>
              </w:rPr>
            </w:pPr>
            <w:r w:rsidRPr="00100BF5">
              <w:rPr>
                <w:b/>
              </w:rPr>
              <w:t>Page</w:t>
            </w:r>
          </w:p>
        </w:tc>
      </w:tr>
      <w:tr w:rsidR="00A12DCA" w:rsidRPr="00100BF5" w:rsidTr="00A12DCA">
        <w:trPr>
          <w:trHeight w:val="216"/>
        </w:trPr>
        <w:tc>
          <w:tcPr>
            <w:tcW w:w="5355" w:type="dxa"/>
            <w:tcBorders>
              <w:top w:val="nil"/>
              <w:left w:val="nil"/>
              <w:bottom w:val="single" w:sz="4" w:space="0" w:color="969696"/>
              <w:right w:val="nil"/>
            </w:tcBorders>
            <w:shd w:val="clear" w:color="auto" w:fill="FFFFFF"/>
            <w:vAlign w:val="center"/>
          </w:tcPr>
          <w:p w:rsidR="00A12DCA" w:rsidRPr="00100BF5" w:rsidRDefault="00A12DCA">
            <w:pPr>
              <w:pStyle w:val="BodyText-BarcRA2900"/>
              <w:spacing w:before="15" w:after="15"/>
              <w:jc w:val="left"/>
              <w:rPr>
                <w:b/>
              </w:rPr>
            </w:pPr>
            <w:r w:rsidRPr="00100BF5">
              <w:rPr>
                <w:b/>
              </w:rPr>
              <w:t>Funding Risk</w:t>
            </w:r>
          </w:p>
        </w:tc>
        <w:tc>
          <w:tcPr>
            <w:tcW w:w="236" w:type="dxa"/>
            <w:shd w:val="clear" w:color="auto" w:fill="FFFFFF"/>
          </w:tcPr>
          <w:p w:rsidR="00A12DCA" w:rsidRPr="00100BF5" w:rsidRDefault="00A12DCA">
            <w:pPr>
              <w:pStyle w:val="BodyText-BarcRA2900"/>
              <w:spacing w:before="15" w:after="15"/>
              <w:rPr>
                <w:b/>
              </w:rPr>
            </w:pPr>
          </w:p>
        </w:tc>
        <w:tc>
          <w:tcPr>
            <w:tcW w:w="3544" w:type="dxa"/>
            <w:tcBorders>
              <w:top w:val="nil"/>
              <w:left w:val="nil"/>
              <w:bottom w:val="single" w:sz="4" w:space="0" w:color="969696"/>
              <w:right w:val="nil"/>
            </w:tcBorders>
            <w:shd w:val="clear" w:color="auto" w:fill="FFFFFF"/>
            <w:vAlign w:val="center"/>
          </w:tcPr>
          <w:p w:rsidR="00A12DCA" w:rsidRPr="00100BF5" w:rsidRDefault="00A12DCA">
            <w:pPr>
              <w:pStyle w:val="BodyText-BarcRA2900"/>
              <w:spacing w:before="15" w:after="15"/>
              <w:rPr>
                <w:b/>
              </w:rPr>
            </w:pPr>
          </w:p>
        </w:tc>
        <w:tc>
          <w:tcPr>
            <w:tcW w:w="615" w:type="dxa"/>
            <w:tcBorders>
              <w:top w:val="nil"/>
              <w:left w:val="nil"/>
              <w:bottom w:val="single" w:sz="4" w:space="0" w:color="969696"/>
              <w:right w:val="nil"/>
            </w:tcBorders>
            <w:shd w:val="clear" w:color="auto" w:fill="FFFFFF"/>
            <w:vAlign w:val="center"/>
          </w:tcPr>
          <w:p w:rsidR="00A12DCA" w:rsidRPr="00100BF5" w:rsidRDefault="00A12DCA">
            <w:pPr>
              <w:pStyle w:val="BodyText-BarcRA2900"/>
              <w:spacing w:before="15" w:after="15"/>
              <w:rPr>
                <w:b/>
              </w:rPr>
            </w:pPr>
          </w:p>
        </w:tc>
      </w:tr>
      <w:tr w:rsidR="00A12DCA" w:rsidRPr="00100BF5" w:rsidTr="00A12DCA">
        <w:trPr>
          <w:trHeight w:val="227"/>
        </w:trPr>
        <w:tc>
          <w:tcPr>
            <w:tcW w:w="5355"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I</w:t>
            </w:r>
            <w:r w:rsidRPr="00100BF5">
              <w:t xml:space="preserve">mpact of Basel </w:t>
            </w:r>
            <w:r w:rsidRPr="00100BF5">
              <w:rPr>
                <w:lang w:val="en-GB"/>
              </w:rPr>
              <w:t>3</w:t>
            </w:r>
            <w:r w:rsidRPr="00100BF5">
              <w:t xml:space="preserve"> as regulatory rules are finalised</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Impacts on capital ratios </w:t>
            </w:r>
            <w:r w:rsidRPr="00100BF5">
              <w:rPr>
                <w:lang w:val="en-GB"/>
              </w:rPr>
              <w:t xml:space="preserve">of </w:t>
            </w:r>
            <w:r w:rsidRPr="00100BF5">
              <w:t>weak profit performanc</w:t>
            </w:r>
            <w:r w:rsidRPr="00100BF5">
              <w:rPr>
                <w:lang w:val="en-GB"/>
              </w:rPr>
              <w:t>e</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Volatility in cost of funding due to economic uncertainty</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Reduction in </w:t>
            </w:r>
            <w:r w:rsidRPr="00100BF5">
              <w:rPr>
                <w:lang w:val="en-GB"/>
              </w:rPr>
              <w:t xml:space="preserve">available depositor and wholesale </w:t>
            </w:r>
            <w:r w:rsidRPr="00100BF5">
              <w:t>funding</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 xml:space="preserve">Changes in the value of local assets and liabilities due to the potential exit of one or more countries from the Euro </w:t>
            </w:r>
          </w:p>
        </w:tc>
        <w:tc>
          <w:tcPr>
            <w:tcW w:w="236" w:type="dxa"/>
          </w:tcPr>
          <w:p w:rsidR="00A12DCA" w:rsidRPr="00100BF5" w:rsidRDefault="00A12DCA">
            <w:pPr>
              <w:pStyle w:val="Level1Bullet-BarcRA1300"/>
              <w:tabs>
                <w:tab w:val="clear" w:pos="284"/>
                <w:tab w:val="left" w:pos="720"/>
              </w:tabs>
              <w:spacing w:before="50" w:after="0"/>
              <w:ind w:firstLine="0"/>
              <w:jc w:val="left"/>
              <w:rPr>
                <w:rFonts w:eastAsia="Expert Sans Regular" w:cs="Expert Sans Regular"/>
                <w:szCs w:val="24"/>
                <w:lang w:val="en-GB"/>
              </w:rPr>
            </w:pPr>
          </w:p>
        </w:tc>
        <w:tc>
          <w:tcPr>
            <w:tcW w:w="3544"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C</w:t>
            </w:r>
            <w:r w:rsidRPr="00100BF5">
              <w:t>apital base, risk weighted assets</w:t>
            </w:r>
            <w:r w:rsidRPr="00100BF5">
              <w:rPr>
                <w:lang w:val="en-GB"/>
              </w:rPr>
              <w:t xml:space="preserve">, balance sheet </w:t>
            </w:r>
            <w:r w:rsidRPr="00100BF5">
              <w:t>leverage</w:t>
            </w:r>
            <w:r w:rsidRPr="00100BF5">
              <w:rPr>
                <w:lang w:val="en-GB"/>
              </w:rPr>
              <w:t xml:space="preserve"> and significant regulatory changes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rPr>
                <w:rFonts w:eastAsia="Expert Sans Regular" w:cs="Expert Sans Regular"/>
                <w:szCs w:val="24"/>
              </w:rPr>
            </w:pPr>
            <w:r w:rsidRPr="00100BF5">
              <w:rPr>
                <w:lang w:val="en-GB"/>
              </w:rPr>
              <w:t>Liquidity pool and funding structure</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rPr>
                <w:rFonts w:eastAsia="Expert Sans Regular" w:cs="Expert Sans Regular"/>
                <w:szCs w:val="24"/>
              </w:rPr>
            </w:pPr>
            <w:r w:rsidRPr="00100BF5">
              <w:rPr>
                <w:lang w:val="en-GB"/>
              </w:rPr>
              <w:t>Local Eurozone balance sheet funding exposures</w:t>
            </w:r>
          </w:p>
        </w:tc>
        <w:tc>
          <w:tcPr>
            <w:tcW w:w="615" w:type="dxa"/>
            <w:tcBorders>
              <w:top w:val="single" w:sz="4" w:space="0" w:color="969696"/>
              <w:left w:val="nil"/>
              <w:bottom w:val="single" w:sz="4" w:space="0" w:color="969696"/>
              <w:right w:val="nil"/>
            </w:tcBorders>
          </w:tcPr>
          <w:p w:rsidR="00A12DCA" w:rsidRPr="00100BF5" w:rsidRDefault="001973AB">
            <w:pPr>
              <w:pStyle w:val="BodyText-BarcRA2900"/>
              <w:spacing w:before="30" w:after="0"/>
              <w:jc w:val="center"/>
              <w:rPr>
                <w:lang w:eastAsia="en-GB"/>
              </w:rPr>
            </w:pPr>
            <w:r>
              <w:rPr>
                <w:lang w:eastAsia="en-GB"/>
              </w:rPr>
              <w:t>37</w:t>
            </w:r>
          </w:p>
          <w:p w:rsidR="00A12DCA" w:rsidRPr="00100BF5" w:rsidRDefault="00A12DCA">
            <w:pPr>
              <w:pStyle w:val="BodyText-BarcRA2900"/>
              <w:spacing w:before="30" w:after="0"/>
              <w:jc w:val="center"/>
              <w:rPr>
                <w:lang w:eastAsia="en-GB"/>
              </w:rPr>
            </w:pPr>
          </w:p>
          <w:p w:rsidR="00A12DCA" w:rsidRPr="00100BF5" w:rsidRDefault="00A12DCA">
            <w:pPr>
              <w:pStyle w:val="BodyText-BarcRA2900"/>
              <w:spacing w:before="30" w:after="0"/>
              <w:jc w:val="center"/>
              <w:rPr>
                <w:lang w:eastAsia="en-GB"/>
              </w:rPr>
            </w:pPr>
          </w:p>
          <w:p w:rsidR="00A12DCA" w:rsidRPr="00100BF5" w:rsidRDefault="001973AB">
            <w:pPr>
              <w:pStyle w:val="BodyText-BarcRA2900"/>
              <w:spacing w:before="30" w:after="0"/>
              <w:jc w:val="center"/>
              <w:rPr>
                <w:lang w:eastAsia="en-GB"/>
              </w:rPr>
            </w:pPr>
            <w:r>
              <w:rPr>
                <w:lang w:eastAsia="en-GB"/>
              </w:rPr>
              <w:t>40</w:t>
            </w:r>
          </w:p>
          <w:p w:rsidR="00A12DCA" w:rsidRPr="00100BF5" w:rsidRDefault="005F1542" w:rsidP="005F1542">
            <w:pPr>
              <w:pStyle w:val="BodyText-BarcRA2900"/>
              <w:spacing w:before="30" w:after="0"/>
              <w:jc w:val="center"/>
              <w:rPr>
                <w:lang w:eastAsia="en-GB"/>
              </w:rPr>
            </w:pPr>
            <w:r>
              <w:rPr>
                <w:lang w:eastAsia="en-GB"/>
              </w:rPr>
              <w:t>62</w:t>
            </w:r>
          </w:p>
        </w:tc>
      </w:tr>
      <w:tr w:rsidR="00A12DCA" w:rsidRPr="00100BF5" w:rsidTr="00A12DCA">
        <w:trPr>
          <w:trHeight w:val="153"/>
        </w:trPr>
        <w:tc>
          <w:tcPr>
            <w:tcW w:w="5355" w:type="dxa"/>
            <w:tcBorders>
              <w:top w:val="single" w:sz="4" w:space="0" w:color="969696"/>
              <w:left w:val="nil"/>
              <w:bottom w:val="single" w:sz="4" w:space="0" w:color="969696"/>
              <w:right w:val="nil"/>
            </w:tcBorders>
          </w:tcPr>
          <w:p w:rsidR="00A12DCA" w:rsidRPr="00100BF5" w:rsidRDefault="00A12DCA">
            <w:pPr>
              <w:pStyle w:val="BodyText-BarcRA2900"/>
              <w:spacing w:before="15" w:after="15"/>
              <w:jc w:val="left"/>
              <w:rPr>
                <w:b/>
              </w:rPr>
            </w:pPr>
            <w:r w:rsidRPr="00100BF5">
              <w:rPr>
                <w:b/>
              </w:rPr>
              <w:t>Credit Risk</w:t>
            </w:r>
          </w:p>
        </w:tc>
        <w:tc>
          <w:tcPr>
            <w:tcW w:w="236" w:type="dxa"/>
          </w:tcPr>
          <w:p w:rsidR="00A12DCA" w:rsidRPr="00100BF5" w:rsidRDefault="00A12DCA">
            <w:pPr>
              <w:pStyle w:val="BodyText-BarcRA2900"/>
              <w:spacing w:before="15" w:after="15"/>
              <w:jc w:val="left"/>
              <w:rPr>
                <w:b/>
              </w:rPr>
            </w:pPr>
          </w:p>
        </w:tc>
        <w:tc>
          <w:tcPr>
            <w:tcW w:w="3544" w:type="dxa"/>
            <w:tcBorders>
              <w:top w:val="single" w:sz="4" w:space="0" w:color="969696"/>
              <w:left w:val="nil"/>
              <w:bottom w:val="single" w:sz="4" w:space="0" w:color="969696"/>
              <w:right w:val="nil"/>
            </w:tcBorders>
            <w:vAlign w:val="center"/>
          </w:tcPr>
          <w:p w:rsidR="00A12DCA" w:rsidRPr="00100BF5" w:rsidRDefault="00A12DCA">
            <w:pPr>
              <w:pStyle w:val="BodyText-BarcRA2900"/>
              <w:spacing w:before="15" w:after="15"/>
              <w:jc w:val="left"/>
              <w:rPr>
                <w:b/>
              </w:rPr>
            </w:pPr>
          </w:p>
        </w:tc>
        <w:tc>
          <w:tcPr>
            <w:tcW w:w="615" w:type="dxa"/>
            <w:tcBorders>
              <w:top w:val="single" w:sz="4" w:space="0" w:color="969696"/>
              <w:left w:val="nil"/>
              <w:bottom w:val="single" w:sz="4" w:space="0" w:color="969696"/>
              <w:right w:val="nil"/>
            </w:tcBorders>
          </w:tcPr>
          <w:p w:rsidR="00A12DCA" w:rsidRPr="00100BF5" w:rsidRDefault="00A12DCA">
            <w:pPr>
              <w:pStyle w:val="BodyText-BarcRA2900"/>
              <w:spacing w:before="15" w:after="15"/>
              <w:jc w:val="center"/>
              <w:rPr>
                <w:b/>
              </w:rPr>
            </w:pPr>
          </w:p>
        </w:tc>
      </w:tr>
      <w:tr w:rsidR="00A12DCA" w:rsidRPr="00100BF5" w:rsidTr="00A12DCA">
        <w:trPr>
          <w:trHeight w:val="1697"/>
        </w:trPr>
        <w:tc>
          <w:tcPr>
            <w:tcW w:w="5355"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Impact of potentially deteriorating sovereign credit quality, particularly debt servicing and refinancing capability</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Extent and sustainability of economic recovery</w:t>
            </w:r>
            <w:r w:rsidRPr="00100BF5">
              <w:rPr>
                <w:lang w:val="en-GB"/>
              </w:rPr>
              <w:t>, including</w:t>
            </w:r>
            <w:r w:rsidRPr="00100BF5">
              <w:t xml:space="preserve"> impact of austerity measures on the European economies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I</w:t>
            </w:r>
            <w:r w:rsidRPr="00100BF5">
              <w:t>ncrease in unemployment due to a weaker economy, fiscal tightening and other measures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Impact of rising inflation and</w:t>
            </w:r>
            <w:r w:rsidRPr="00100BF5">
              <w:rPr>
                <w:lang w:val="en-GB"/>
              </w:rPr>
              <w:t xml:space="preserve"> potential</w:t>
            </w:r>
            <w:r w:rsidRPr="00100BF5">
              <w:t xml:space="preserve"> interest rate rises on</w:t>
            </w:r>
            <w:r w:rsidRPr="00100BF5">
              <w:rPr>
                <w:lang w:val="en-GB"/>
              </w:rPr>
              <w:t xml:space="preserve"> consumer debt</w:t>
            </w:r>
            <w:r w:rsidRPr="00100BF5">
              <w:t xml:space="preserve"> affordability and corporate profitability</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P</w:t>
            </w:r>
            <w:r w:rsidRPr="00100BF5">
              <w:t xml:space="preserve">ossibility of further falls in residential property prices in the </w:t>
            </w:r>
            <w:r w:rsidRPr="00100BF5">
              <w:rPr>
                <w:lang w:val="en-GB"/>
              </w:rPr>
              <w:t xml:space="preserve">US, </w:t>
            </w:r>
            <w:r w:rsidRPr="00100BF5">
              <w:t>UK, South Africa and Western Europe</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Potential liquidity shortages increasing counterparty risks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Potential for large single name losses and deterioration in specific sectors and geographies</w:t>
            </w:r>
          </w:p>
          <w:p w:rsidR="00A12DCA" w:rsidRPr="00100BF5" w:rsidRDefault="00A12DCA" w:rsidP="002D090C">
            <w:pPr>
              <w:pStyle w:val="Level1Bullet-BarcRA1300"/>
              <w:keepNext/>
              <w:keepLines/>
              <w:numPr>
                <w:ilvl w:val="0"/>
                <w:numId w:val="61"/>
              </w:numPr>
              <w:tabs>
                <w:tab w:val="clear" w:pos="720"/>
                <w:tab w:val="num" w:pos="284"/>
              </w:tabs>
              <w:spacing w:before="50" w:after="0"/>
              <w:ind w:left="284" w:hanging="284"/>
              <w:jc w:val="left"/>
              <w:outlineLvl w:val="2"/>
              <w:rPr>
                <w:rFonts w:eastAsia="Expert Sans Regular" w:cs="Expert Sans Regular"/>
                <w:szCs w:val="24"/>
              </w:rPr>
            </w:pPr>
            <w:r w:rsidRPr="00100BF5">
              <w:t xml:space="preserve">Possible deterioration in remaining credit market exposures </w:t>
            </w:r>
          </w:p>
        </w:tc>
        <w:tc>
          <w:tcPr>
            <w:tcW w:w="236" w:type="dxa"/>
          </w:tcPr>
          <w:p w:rsidR="00A12DCA" w:rsidRPr="00100BF5" w:rsidRDefault="00A12DCA">
            <w:pPr>
              <w:pStyle w:val="Level1Bullet-BarcRA1300"/>
              <w:tabs>
                <w:tab w:val="clear" w:pos="284"/>
                <w:tab w:val="left" w:pos="720"/>
              </w:tabs>
              <w:spacing w:before="50" w:after="0"/>
              <w:ind w:firstLine="0"/>
              <w:jc w:val="left"/>
              <w:rPr>
                <w:rFonts w:eastAsia="Expert Sans Regular" w:cs="Expert Sans Regular"/>
                <w:szCs w:val="24"/>
                <w:lang w:val="en-GB"/>
              </w:rPr>
            </w:pPr>
          </w:p>
        </w:tc>
        <w:tc>
          <w:tcPr>
            <w:tcW w:w="3544"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rPr>
                <w:lang w:val="en-GB" w:eastAsia="en-GB"/>
              </w:rPr>
            </w:pPr>
            <w:r w:rsidRPr="00100BF5">
              <w:rPr>
                <w:lang w:val="en-GB"/>
              </w:rPr>
              <w:t>T</w:t>
            </w:r>
            <w:r w:rsidRPr="00100BF5">
              <w:t>otal assets by valuation basis and underlying asset class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L</w:t>
            </w:r>
            <w:r w:rsidRPr="00100BF5">
              <w:t>oans and advances to customers and banks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Impairment, potential credit risk loans and coverage ratios </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Retail credit risk </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Wholesale credit risk </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Investment Bank</w:t>
            </w:r>
            <w:r w:rsidRPr="00100BF5">
              <w:t xml:space="preserve"> credit market exposures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Group exposures </w:t>
            </w:r>
            <w:r w:rsidRPr="00100BF5">
              <w:rPr>
                <w:lang w:val="en-GB"/>
              </w:rPr>
              <w:t>to</w:t>
            </w:r>
            <w:r w:rsidRPr="00100BF5">
              <w:t xml:space="preserve"> </w:t>
            </w:r>
            <w:r w:rsidRPr="00100BF5">
              <w:rPr>
                <w:lang w:val="en-GB"/>
              </w:rPr>
              <w:t xml:space="preserve">Eurozone </w:t>
            </w:r>
            <w:r w:rsidRPr="00100BF5">
              <w:t>countries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Credit derivatives referencing Eurozone sovereign debt</w:t>
            </w:r>
          </w:p>
        </w:tc>
        <w:tc>
          <w:tcPr>
            <w:tcW w:w="615" w:type="dxa"/>
            <w:tcBorders>
              <w:top w:val="single" w:sz="4" w:space="0" w:color="969696"/>
              <w:left w:val="nil"/>
              <w:bottom w:val="single" w:sz="4" w:space="0" w:color="969696"/>
              <w:right w:val="nil"/>
            </w:tcBorders>
          </w:tcPr>
          <w:p w:rsidR="00A12DCA" w:rsidRPr="00100BF5" w:rsidRDefault="001973AB">
            <w:pPr>
              <w:pStyle w:val="BodyText-BarcRA2900"/>
              <w:spacing w:before="50" w:after="0"/>
              <w:jc w:val="center"/>
            </w:pPr>
            <w:r>
              <w:t>45</w:t>
            </w:r>
          </w:p>
          <w:p w:rsidR="00A12DCA" w:rsidRPr="00100BF5" w:rsidRDefault="00A12DCA">
            <w:pPr>
              <w:pStyle w:val="BodyText-BarcRA2900"/>
              <w:spacing w:before="0" w:after="0"/>
              <w:jc w:val="center"/>
            </w:pPr>
          </w:p>
          <w:p w:rsidR="00A12DCA" w:rsidRPr="00100BF5" w:rsidRDefault="00A12DCA" w:rsidP="00A12DCA">
            <w:pPr>
              <w:pStyle w:val="BodyText-BarcRA2900"/>
              <w:spacing w:before="50" w:after="0"/>
            </w:pPr>
            <w:r w:rsidRPr="00100BF5">
              <w:t xml:space="preserve"> </w:t>
            </w:r>
          </w:p>
          <w:p w:rsidR="00A12DCA" w:rsidRPr="00100BF5" w:rsidRDefault="00A12DCA" w:rsidP="00A12DCA">
            <w:pPr>
              <w:pStyle w:val="BodyText-BarcRA2900"/>
              <w:spacing w:before="50" w:after="0"/>
            </w:pPr>
            <w:r w:rsidRPr="00100BF5">
              <w:t xml:space="preserve">  </w:t>
            </w:r>
            <w:r w:rsidR="001973AB">
              <w:t>46</w:t>
            </w:r>
          </w:p>
          <w:p w:rsidR="00A12DCA" w:rsidRPr="00100BF5" w:rsidRDefault="00A12DCA">
            <w:pPr>
              <w:pStyle w:val="BodyText-BarcRA2900"/>
              <w:spacing w:before="0" w:after="0"/>
              <w:jc w:val="center"/>
            </w:pPr>
          </w:p>
          <w:p w:rsidR="00A12DCA" w:rsidRPr="00100BF5" w:rsidRDefault="001973AB" w:rsidP="00A12DCA">
            <w:pPr>
              <w:pStyle w:val="BodyText-BarcRA2900"/>
              <w:spacing w:before="50" w:after="0"/>
              <w:jc w:val="center"/>
            </w:pPr>
            <w:r>
              <w:t>48</w:t>
            </w:r>
          </w:p>
          <w:p w:rsidR="00A12DCA" w:rsidRPr="00100BF5" w:rsidRDefault="001973AB">
            <w:pPr>
              <w:pStyle w:val="BodyText-BarcRA2900"/>
              <w:spacing w:before="30" w:after="0"/>
              <w:jc w:val="center"/>
            </w:pPr>
            <w:r>
              <w:t>51</w:t>
            </w:r>
          </w:p>
          <w:p w:rsidR="00A12DCA" w:rsidRPr="00100BF5" w:rsidRDefault="00A12DCA" w:rsidP="00A12DCA">
            <w:pPr>
              <w:pStyle w:val="BodyText-BarcRA2900"/>
              <w:spacing w:before="50" w:after="0"/>
            </w:pPr>
            <w:r w:rsidRPr="00100BF5">
              <w:t xml:space="preserve">  </w:t>
            </w:r>
            <w:r w:rsidR="001973AB">
              <w:t>56</w:t>
            </w:r>
          </w:p>
          <w:p w:rsidR="00A12DCA" w:rsidRPr="00100BF5" w:rsidRDefault="00A12DCA" w:rsidP="00A12DCA">
            <w:pPr>
              <w:pStyle w:val="BodyText-BarcRA2900"/>
              <w:spacing w:before="0" w:after="0"/>
              <w:jc w:val="center"/>
            </w:pPr>
          </w:p>
          <w:p w:rsidR="00A12DCA" w:rsidRPr="00100BF5" w:rsidRDefault="001973AB" w:rsidP="00A12DCA">
            <w:pPr>
              <w:pStyle w:val="BodyText-BarcRA2900"/>
              <w:spacing w:before="0" w:after="0"/>
              <w:jc w:val="center"/>
            </w:pPr>
            <w:r>
              <w:t>69</w:t>
            </w:r>
          </w:p>
          <w:p w:rsidR="00A12DCA" w:rsidRPr="00100BF5" w:rsidRDefault="00A12DCA" w:rsidP="00A12DCA">
            <w:pPr>
              <w:pStyle w:val="BodyText-BarcRA2900"/>
              <w:spacing w:before="0" w:after="0"/>
              <w:jc w:val="center"/>
            </w:pPr>
          </w:p>
          <w:p w:rsidR="00A12DCA" w:rsidRPr="00100BF5" w:rsidRDefault="001973AB" w:rsidP="00A12DCA">
            <w:pPr>
              <w:pStyle w:val="BodyText-BarcRA2900"/>
              <w:spacing w:before="0" w:after="0"/>
              <w:jc w:val="center"/>
            </w:pPr>
            <w:r>
              <w:t>58</w:t>
            </w:r>
          </w:p>
          <w:p w:rsidR="00A12DCA" w:rsidRPr="00100BF5" w:rsidRDefault="001973AB">
            <w:pPr>
              <w:pStyle w:val="BodyText-BarcRA2900"/>
              <w:spacing w:before="280" w:after="0"/>
              <w:jc w:val="center"/>
            </w:pPr>
            <w:r>
              <w:t>60</w:t>
            </w:r>
          </w:p>
        </w:tc>
      </w:tr>
      <w:tr w:rsidR="00A12DCA" w:rsidRPr="00100BF5" w:rsidTr="00A12DCA">
        <w:trPr>
          <w:trHeight w:val="227"/>
        </w:trPr>
        <w:tc>
          <w:tcPr>
            <w:tcW w:w="5355" w:type="dxa"/>
            <w:tcBorders>
              <w:top w:val="single" w:sz="4" w:space="0" w:color="969696"/>
              <w:left w:val="nil"/>
              <w:bottom w:val="single" w:sz="4" w:space="0" w:color="969696"/>
              <w:right w:val="nil"/>
            </w:tcBorders>
          </w:tcPr>
          <w:p w:rsidR="00A12DCA" w:rsidRPr="00100BF5" w:rsidRDefault="00A12DCA">
            <w:pPr>
              <w:pStyle w:val="BodyText-BarcRA2900"/>
              <w:spacing w:before="15" w:after="15"/>
              <w:jc w:val="left"/>
              <w:rPr>
                <w:b/>
              </w:rPr>
            </w:pPr>
            <w:r w:rsidRPr="00100BF5">
              <w:rPr>
                <w:b/>
              </w:rPr>
              <w:t>Market Risk</w:t>
            </w:r>
          </w:p>
        </w:tc>
        <w:tc>
          <w:tcPr>
            <w:tcW w:w="236" w:type="dxa"/>
          </w:tcPr>
          <w:p w:rsidR="00A12DCA" w:rsidRPr="00100BF5" w:rsidRDefault="00A12DCA">
            <w:pPr>
              <w:pStyle w:val="BodyText-BarcRA2900"/>
              <w:spacing w:before="15" w:after="15"/>
              <w:jc w:val="left"/>
              <w:rPr>
                <w:b/>
              </w:rPr>
            </w:pPr>
          </w:p>
        </w:tc>
        <w:tc>
          <w:tcPr>
            <w:tcW w:w="3544" w:type="dxa"/>
            <w:tcBorders>
              <w:top w:val="single" w:sz="4" w:space="0" w:color="969696"/>
              <w:left w:val="nil"/>
              <w:bottom w:val="single" w:sz="4" w:space="0" w:color="969696"/>
              <w:right w:val="nil"/>
            </w:tcBorders>
            <w:vAlign w:val="center"/>
          </w:tcPr>
          <w:p w:rsidR="00A12DCA" w:rsidRPr="00100BF5" w:rsidRDefault="00A12DCA">
            <w:pPr>
              <w:pStyle w:val="BodyText-BarcRA2900"/>
              <w:spacing w:before="15" w:after="15"/>
              <w:jc w:val="left"/>
              <w:rPr>
                <w:b/>
              </w:rPr>
            </w:pPr>
          </w:p>
        </w:tc>
        <w:tc>
          <w:tcPr>
            <w:tcW w:w="615" w:type="dxa"/>
            <w:tcBorders>
              <w:top w:val="single" w:sz="4" w:space="0" w:color="969696"/>
              <w:left w:val="nil"/>
              <w:bottom w:val="single" w:sz="4" w:space="0" w:color="969696"/>
              <w:right w:val="nil"/>
            </w:tcBorders>
          </w:tcPr>
          <w:p w:rsidR="00A12DCA" w:rsidRPr="00100BF5" w:rsidRDefault="00A12DCA">
            <w:pPr>
              <w:pStyle w:val="BodyText-BarcRA2900"/>
              <w:spacing w:before="15" w:after="15"/>
              <w:jc w:val="center"/>
              <w:rPr>
                <w:b/>
              </w:rPr>
            </w:pPr>
          </w:p>
        </w:tc>
      </w:tr>
      <w:tr w:rsidR="00A12DCA" w:rsidRPr="00100BF5" w:rsidTr="00A12DCA">
        <w:trPr>
          <w:trHeight w:val="227"/>
        </w:trPr>
        <w:tc>
          <w:tcPr>
            <w:tcW w:w="5355"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Reduced client activity leading to lower re</w:t>
            </w:r>
            <w:r w:rsidRPr="00100BF5">
              <w:rPr>
                <w:lang w:val="en-GB"/>
              </w:rPr>
              <w:t>turns</w:t>
            </w:r>
            <w:r w:rsidRPr="00100BF5">
              <w:t xml:space="preserve"> </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Decreases in market liquidity due to economic uncertainty</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Impact on income from uncertain interest </w:t>
            </w:r>
            <w:r w:rsidRPr="00100BF5">
              <w:rPr>
                <w:lang w:val="en-GB"/>
              </w:rPr>
              <w:t>and exchange rate</w:t>
            </w:r>
            <w:r w:rsidRPr="00100BF5">
              <w:t xml:space="preserve"> environment</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rPr>
                <w:rFonts w:eastAsia="Expert Sans Regular" w:cs="Expert Sans Regular"/>
                <w:szCs w:val="24"/>
              </w:rPr>
            </w:pPr>
            <w:r w:rsidRPr="00100BF5">
              <w:rPr>
                <w:lang w:val="en-GB"/>
              </w:rPr>
              <w:t>Underperformance of pension asset returns</w:t>
            </w:r>
          </w:p>
        </w:tc>
        <w:tc>
          <w:tcPr>
            <w:tcW w:w="236" w:type="dxa"/>
          </w:tcPr>
          <w:p w:rsidR="00A12DCA" w:rsidRPr="00100BF5" w:rsidRDefault="00A12DCA">
            <w:pPr>
              <w:pStyle w:val="Level1Bullet-BarcRA1300"/>
              <w:tabs>
                <w:tab w:val="clear" w:pos="284"/>
                <w:tab w:val="left" w:pos="720"/>
              </w:tabs>
              <w:spacing w:before="50" w:after="0"/>
              <w:ind w:firstLine="0"/>
              <w:jc w:val="left"/>
              <w:rPr>
                <w:rFonts w:eastAsia="Expert Sans Regular" w:cs="Expert Sans Regular"/>
                <w:szCs w:val="24"/>
              </w:rPr>
            </w:pPr>
          </w:p>
        </w:tc>
        <w:tc>
          <w:tcPr>
            <w:tcW w:w="3544"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Analysis of market risk and, in particular, </w:t>
            </w:r>
            <w:r w:rsidRPr="00100BF5">
              <w:rPr>
                <w:lang w:val="en-GB"/>
              </w:rPr>
              <w:t>Investment Bank</w:t>
            </w:r>
            <w:r w:rsidRPr="00100BF5">
              <w:t>’s DvaR</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Analysis of interest margins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Retirement benefit liabilities</w:t>
            </w:r>
          </w:p>
        </w:tc>
        <w:tc>
          <w:tcPr>
            <w:tcW w:w="615" w:type="dxa"/>
            <w:tcBorders>
              <w:top w:val="single" w:sz="4" w:space="0" w:color="969696"/>
              <w:left w:val="nil"/>
              <w:bottom w:val="single" w:sz="4" w:space="0" w:color="969696"/>
              <w:right w:val="nil"/>
            </w:tcBorders>
          </w:tcPr>
          <w:p w:rsidR="00A12DCA" w:rsidRPr="00100BF5" w:rsidRDefault="001973AB">
            <w:pPr>
              <w:pStyle w:val="BodyText-BarcRA2900"/>
              <w:spacing w:before="50" w:after="0"/>
              <w:jc w:val="center"/>
            </w:pPr>
            <w:r>
              <w:t>70</w:t>
            </w:r>
          </w:p>
          <w:p w:rsidR="00A12DCA" w:rsidRPr="00100BF5" w:rsidRDefault="005F1542">
            <w:pPr>
              <w:pStyle w:val="BodyText-BarcRA2900"/>
              <w:spacing w:before="260" w:after="0"/>
              <w:jc w:val="center"/>
            </w:pPr>
            <w:r>
              <w:t>35</w:t>
            </w:r>
          </w:p>
          <w:p w:rsidR="00A12DCA" w:rsidRPr="00100BF5" w:rsidRDefault="001973AB">
            <w:pPr>
              <w:pStyle w:val="BodyText-BarcRA2900"/>
              <w:spacing w:before="50" w:after="0"/>
              <w:jc w:val="center"/>
            </w:pPr>
            <w:r>
              <w:t>81</w:t>
            </w:r>
          </w:p>
        </w:tc>
      </w:tr>
      <w:tr w:rsidR="00A12DCA" w:rsidRPr="00100BF5" w:rsidTr="00FD570E">
        <w:trPr>
          <w:trHeight w:val="227"/>
        </w:trPr>
        <w:tc>
          <w:tcPr>
            <w:tcW w:w="5355" w:type="dxa"/>
            <w:tcBorders>
              <w:top w:val="single" w:sz="4" w:space="0" w:color="969696"/>
              <w:left w:val="nil"/>
              <w:bottom w:val="single" w:sz="4" w:space="0" w:color="969696"/>
              <w:right w:val="nil"/>
            </w:tcBorders>
          </w:tcPr>
          <w:p w:rsidR="00A12DCA" w:rsidRPr="00100BF5" w:rsidRDefault="00A12DCA">
            <w:pPr>
              <w:pStyle w:val="BodyText-BarcRA2900"/>
              <w:spacing w:before="15" w:after="15"/>
              <w:jc w:val="left"/>
              <w:rPr>
                <w:b/>
              </w:rPr>
            </w:pPr>
            <w:r w:rsidRPr="00100BF5">
              <w:rPr>
                <w:b/>
              </w:rPr>
              <w:t>Operational Risk</w:t>
            </w:r>
          </w:p>
        </w:tc>
        <w:tc>
          <w:tcPr>
            <w:tcW w:w="236" w:type="dxa"/>
            <w:tcBorders>
              <w:bottom w:val="single" w:sz="4" w:space="0" w:color="969696"/>
            </w:tcBorders>
          </w:tcPr>
          <w:p w:rsidR="00A12DCA" w:rsidRPr="00100BF5" w:rsidRDefault="00A12DCA">
            <w:pPr>
              <w:pStyle w:val="BodyText-BarcRA2900"/>
              <w:spacing w:before="15" w:after="15"/>
              <w:jc w:val="left"/>
              <w:rPr>
                <w:b/>
              </w:rPr>
            </w:pPr>
          </w:p>
        </w:tc>
        <w:tc>
          <w:tcPr>
            <w:tcW w:w="3544" w:type="dxa"/>
            <w:tcBorders>
              <w:top w:val="single" w:sz="4" w:space="0" w:color="969696"/>
              <w:left w:val="nil"/>
              <w:bottom w:val="single" w:sz="4" w:space="0" w:color="969696"/>
              <w:right w:val="nil"/>
            </w:tcBorders>
            <w:vAlign w:val="center"/>
          </w:tcPr>
          <w:p w:rsidR="00A12DCA" w:rsidRPr="00100BF5" w:rsidRDefault="00A12DCA">
            <w:pPr>
              <w:pStyle w:val="BodyText-BarcRA2900"/>
              <w:spacing w:before="15" w:after="15"/>
              <w:jc w:val="left"/>
              <w:rPr>
                <w:b/>
              </w:rPr>
            </w:pPr>
          </w:p>
        </w:tc>
        <w:tc>
          <w:tcPr>
            <w:tcW w:w="615" w:type="dxa"/>
            <w:tcBorders>
              <w:top w:val="single" w:sz="4" w:space="0" w:color="969696"/>
              <w:left w:val="nil"/>
              <w:bottom w:val="single" w:sz="4" w:space="0" w:color="969696"/>
              <w:right w:val="nil"/>
            </w:tcBorders>
          </w:tcPr>
          <w:p w:rsidR="00A12DCA" w:rsidRPr="00100BF5" w:rsidRDefault="00A12DCA">
            <w:pPr>
              <w:pStyle w:val="BodyText-BarcRA2900"/>
              <w:spacing w:before="15" w:after="15"/>
              <w:jc w:val="center"/>
              <w:rPr>
                <w:b/>
              </w:rPr>
            </w:pPr>
          </w:p>
        </w:tc>
      </w:tr>
      <w:tr w:rsidR="00A12DCA" w:rsidRPr="00100BF5" w:rsidTr="00FD570E">
        <w:trPr>
          <w:trHeight w:val="227"/>
        </w:trPr>
        <w:tc>
          <w:tcPr>
            <w:tcW w:w="5355"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Implementation of strategic change and integration programmes across the Group</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Continued regulatory </w:t>
            </w:r>
            <w:r w:rsidRPr="00100BF5">
              <w:rPr>
                <w:lang w:val="en-GB"/>
              </w:rPr>
              <w:t>and change programmes</w:t>
            </w:r>
            <w:r w:rsidRPr="00100BF5">
              <w:t xml:space="preserve">, driven by the global economic climate </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I</w:t>
            </w:r>
            <w:r w:rsidRPr="00100BF5">
              <w:t>mpact of new</w:t>
            </w:r>
            <w:r w:rsidRPr="00100BF5">
              <w:rPr>
                <w:lang w:val="en-GB"/>
              </w:rPr>
              <w:t>,</w:t>
            </w:r>
            <w:r w:rsidRPr="00100BF5">
              <w:t xml:space="preserve"> wide ranging</w:t>
            </w:r>
            <w:r w:rsidRPr="00100BF5">
              <w:rPr>
                <w:lang w:val="en-GB"/>
              </w:rPr>
              <w:t>,</w:t>
            </w:r>
            <w:r w:rsidRPr="00100BF5">
              <w:t xml:space="preserve"> legislation</w:t>
            </w:r>
            <w:r w:rsidRPr="00100BF5">
              <w:rPr>
                <w:lang w:val="en-GB"/>
              </w:rPr>
              <w:t xml:space="preserve"> in various countries</w:t>
            </w:r>
            <w:r w:rsidRPr="00100BF5">
              <w:t xml:space="preserve"> coupled with </w:t>
            </w:r>
            <w:r w:rsidRPr="00100BF5">
              <w:rPr>
                <w:lang w:val="en-GB"/>
              </w:rPr>
              <w:t xml:space="preserve">a </w:t>
            </w:r>
            <w:r w:rsidRPr="00100BF5">
              <w:t>changing regulatory landscape</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 xml:space="preserve">Increasingly litigious environment </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The crisis management agenda and breadth of regulatory change required in global financial institutions</w:t>
            </w:r>
          </w:p>
        </w:tc>
        <w:tc>
          <w:tcPr>
            <w:tcW w:w="236" w:type="dxa"/>
            <w:tcBorders>
              <w:top w:val="single" w:sz="4" w:space="0" w:color="969696"/>
              <w:bottom w:val="single" w:sz="4" w:space="0" w:color="969696"/>
            </w:tcBorders>
          </w:tcPr>
          <w:p w:rsidR="00A12DCA" w:rsidRPr="00100BF5" w:rsidRDefault="00A12DCA">
            <w:pPr>
              <w:pStyle w:val="Level1Bullet-BarcRA1300"/>
              <w:tabs>
                <w:tab w:val="clear" w:pos="284"/>
                <w:tab w:val="left" w:pos="720"/>
              </w:tabs>
              <w:spacing w:before="50" w:after="0"/>
              <w:ind w:firstLine="0"/>
              <w:jc w:val="left"/>
              <w:rPr>
                <w:rFonts w:eastAsia="Expert Sans Regular" w:cs="Expert Sans Regular"/>
                <w:szCs w:val="24"/>
              </w:rPr>
            </w:pPr>
          </w:p>
        </w:tc>
        <w:tc>
          <w:tcPr>
            <w:tcW w:w="3544" w:type="dxa"/>
            <w:tcBorders>
              <w:top w:val="single" w:sz="4" w:space="0" w:color="969696"/>
              <w:left w:val="nil"/>
              <w:bottom w:val="single" w:sz="4" w:space="0" w:color="969696"/>
              <w:right w:val="nil"/>
            </w:tcBorders>
          </w:tcPr>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t>Significant litigation matters</w:t>
            </w:r>
          </w:p>
          <w:p w:rsidR="00A12DCA" w:rsidRPr="00100BF5" w:rsidRDefault="00A12DCA" w:rsidP="002D090C">
            <w:pPr>
              <w:pStyle w:val="Level1Bullet-BarcRA1300"/>
              <w:numPr>
                <w:ilvl w:val="0"/>
                <w:numId w:val="61"/>
              </w:numPr>
              <w:tabs>
                <w:tab w:val="clear" w:pos="720"/>
                <w:tab w:val="num" w:pos="284"/>
              </w:tabs>
              <w:spacing w:before="50" w:after="0"/>
              <w:ind w:left="284" w:hanging="284"/>
              <w:jc w:val="left"/>
            </w:pPr>
            <w:r w:rsidRPr="00100BF5">
              <w:rPr>
                <w:lang w:val="en-GB"/>
              </w:rPr>
              <w:t xml:space="preserve">Significant competition and </w:t>
            </w:r>
            <w:r w:rsidRPr="00100BF5">
              <w:t>regulatory matters</w:t>
            </w:r>
            <w:r w:rsidRPr="00100BF5">
              <w:rPr>
                <w:lang w:val="en-GB"/>
              </w:rPr>
              <w:t xml:space="preserve"> </w:t>
            </w:r>
            <w:r w:rsidR="00040D32">
              <w:rPr>
                <w:lang w:val="en-GB"/>
              </w:rPr>
              <w:t>which could lead to penalties and</w:t>
            </w:r>
            <w:r w:rsidR="00D75845">
              <w:rPr>
                <w:lang w:val="en-GB"/>
              </w:rPr>
              <w:t>/or</w:t>
            </w:r>
            <w:r w:rsidR="00040D32">
              <w:rPr>
                <w:lang w:val="en-GB"/>
              </w:rPr>
              <w:t xml:space="preserve"> the need for redress</w:t>
            </w:r>
          </w:p>
        </w:tc>
        <w:tc>
          <w:tcPr>
            <w:tcW w:w="615" w:type="dxa"/>
            <w:tcBorders>
              <w:top w:val="single" w:sz="4" w:space="0" w:color="969696"/>
              <w:left w:val="nil"/>
              <w:bottom w:val="single" w:sz="4" w:space="0" w:color="969696"/>
              <w:right w:val="nil"/>
            </w:tcBorders>
          </w:tcPr>
          <w:p w:rsidR="00A12DCA" w:rsidRPr="00100BF5" w:rsidRDefault="001973AB">
            <w:pPr>
              <w:pStyle w:val="BodyText-BarcRA2900"/>
              <w:spacing w:before="50" w:after="0"/>
              <w:jc w:val="center"/>
            </w:pPr>
            <w:r>
              <w:t>83</w:t>
            </w:r>
          </w:p>
          <w:p w:rsidR="00A12DCA" w:rsidRPr="00100BF5" w:rsidRDefault="001973AB">
            <w:pPr>
              <w:pStyle w:val="Normal110"/>
              <w:spacing w:before="50"/>
              <w:jc w:val="center"/>
            </w:pPr>
            <w:r>
              <w:t>87</w:t>
            </w:r>
          </w:p>
          <w:p w:rsidR="00A12DCA" w:rsidRPr="00100BF5" w:rsidRDefault="00A12DCA">
            <w:pPr>
              <w:pStyle w:val="Normal110"/>
              <w:spacing w:before="50"/>
              <w:jc w:val="center"/>
            </w:pPr>
          </w:p>
          <w:p w:rsidR="00A12DCA" w:rsidRPr="00100BF5" w:rsidRDefault="00A12DCA">
            <w:pPr>
              <w:pStyle w:val="Normal110"/>
              <w:spacing w:before="50"/>
              <w:jc w:val="center"/>
            </w:pPr>
          </w:p>
        </w:tc>
      </w:tr>
    </w:tbl>
    <w:p w:rsidR="004962C8" w:rsidRPr="00100BF5" w:rsidRDefault="004962C8" w:rsidP="004962C8">
      <w:pPr>
        <w:pStyle w:val="NoteandSourceText-BarcRA0"/>
        <w:numPr>
          <w:ilvl w:val="0"/>
          <w:numId w:val="0"/>
        </w:numPr>
        <w:ind w:left="284"/>
        <w:jc w:val="left"/>
      </w:pPr>
    </w:p>
    <w:p w:rsidR="004962C8" w:rsidRPr="00100BF5" w:rsidRDefault="004962C8" w:rsidP="004962C8">
      <w:pPr>
        <w:pStyle w:val="NoteandSourceText-BarcRA0"/>
        <w:numPr>
          <w:ilvl w:val="0"/>
          <w:numId w:val="0"/>
        </w:numPr>
        <w:ind w:left="284"/>
        <w:jc w:val="left"/>
      </w:pPr>
    </w:p>
    <w:p w:rsidR="004962C8" w:rsidRPr="00100BF5" w:rsidRDefault="004962C8" w:rsidP="004962C8">
      <w:pPr>
        <w:pStyle w:val="NoteandSourceText-BarcRA0"/>
        <w:numPr>
          <w:ilvl w:val="0"/>
          <w:numId w:val="0"/>
        </w:numPr>
        <w:ind w:left="284"/>
        <w:jc w:val="left"/>
      </w:pPr>
    </w:p>
    <w:p w:rsidR="004962C8" w:rsidRPr="00100BF5" w:rsidRDefault="004962C8"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F72CF" w:rsidRPr="00100BF5" w:rsidRDefault="00AF72CF" w:rsidP="004962C8">
      <w:pPr>
        <w:pStyle w:val="NoteandSourceText-BarcRA0"/>
        <w:numPr>
          <w:ilvl w:val="0"/>
          <w:numId w:val="0"/>
        </w:numPr>
        <w:ind w:left="284"/>
        <w:jc w:val="left"/>
        <w:rPr>
          <w:sz w:val="2"/>
          <w:szCs w:val="2"/>
        </w:rPr>
      </w:pPr>
    </w:p>
    <w:p w:rsidR="00A12DCA" w:rsidRPr="00100BF5" w:rsidRDefault="00A12DCA" w:rsidP="002D090C">
      <w:pPr>
        <w:pStyle w:val="NoteandSourceText-BarcRA0"/>
        <w:numPr>
          <w:ilvl w:val="0"/>
          <w:numId w:val="136"/>
        </w:numPr>
        <w:ind w:left="284" w:hanging="284"/>
        <w:jc w:val="left"/>
      </w:pPr>
      <w:r w:rsidRPr="00100BF5">
        <w:t>The associated uncertainties may affect more than one Principal Risk</w:t>
      </w:r>
      <w:r w:rsidR="001F0BC8" w:rsidRPr="00100BF5">
        <w:t>.</w:t>
      </w:r>
    </w:p>
    <w:p w:rsidR="00A12DCA" w:rsidRPr="00100BF5" w:rsidRDefault="00A12DCA">
      <w:pPr>
        <w:rPr>
          <w:i/>
          <w:sz w:val="16"/>
          <w:szCs w:val="16"/>
        </w:rPr>
        <w:sectPr w:rsidR="00A12DCA" w:rsidRPr="00100BF5" w:rsidSect="00E100EB">
          <w:headerReference w:type="default" r:id="rId25"/>
          <w:pgSz w:w="11905" w:h="16837"/>
          <w:pgMar w:top="851" w:right="1134" w:bottom="567" w:left="1134" w:header="851" w:footer="567" w:gutter="0"/>
          <w:cols w:space="708"/>
        </w:sectPr>
      </w:pPr>
    </w:p>
    <w:p w:rsidR="005F437E" w:rsidRPr="005F437E" w:rsidRDefault="005F437E" w:rsidP="005F437E">
      <w:pPr>
        <w:pStyle w:val="HeadingLevel1-BarcRA"/>
      </w:pPr>
      <w:r>
        <w:t>Funding Risk</w:t>
      </w:r>
    </w:p>
    <w:tbl>
      <w:tblPr>
        <w:tblW w:w="0" w:type="auto"/>
        <w:tblLayout w:type="fixed"/>
        <w:tblLook w:val="0000" w:firstRow="0" w:lastRow="0" w:firstColumn="0" w:lastColumn="0" w:noHBand="0" w:noVBand="0"/>
      </w:tblPr>
      <w:tblGrid>
        <w:gridCol w:w="6270"/>
        <w:gridCol w:w="1125"/>
        <w:gridCol w:w="1125"/>
        <w:gridCol w:w="1125"/>
      </w:tblGrid>
      <w:tr w:rsidR="00A12DCA" w:rsidRPr="00100BF5" w:rsidTr="00F06DA9">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F43F2" w:rsidP="00F06DA9">
            <w:pPr>
              <w:rPr>
                <w:i/>
                <w:sz w:val="16"/>
                <w:szCs w:val="16"/>
              </w:rPr>
            </w:pPr>
            <w:r w:rsidRPr="00100BF5">
              <w:rPr>
                <w:b/>
                <w:sz w:val="20"/>
                <w:szCs w:val="16"/>
              </w:rPr>
              <w:t>Key Capital R</w:t>
            </w:r>
            <w:r w:rsidR="00A12DCA" w:rsidRPr="00100BF5">
              <w:rPr>
                <w:b/>
                <w:sz w:val="20"/>
                <w:szCs w:val="16"/>
              </w:rPr>
              <w:t>atios</w:t>
            </w:r>
            <w:r w:rsidR="00A12DCA" w:rsidRPr="00100BF5">
              <w:rPr>
                <w:b/>
                <w:sz w:val="20"/>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20"/>
                <w:szCs w:val="16"/>
                <w:vertAlign w:val="superscript"/>
              </w:rPr>
            </w:pPr>
            <w:r w:rsidRPr="00100BF5">
              <w:rPr>
                <w:b/>
                <w:sz w:val="16"/>
                <w:szCs w:val="16"/>
              </w:rPr>
              <w:t xml:space="preserve">As at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szCs w:val="16"/>
              </w:rPr>
            </w:pPr>
            <w:r w:rsidRPr="00100BF5">
              <w:rPr>
                <w:b/>
                <w:sz w:val="16"/>
                <w:szCs w:val="16"/>
              </w:rPr>
              <w:t xml:space="preserve">As at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szCs w:val="16"/>
              </w:rPr>
            </w:pPr>
            <w:r w:rsidRPr="00100BF5">
              <w:rPr>
                <w:b/>
                <w:sz w:val="16"/>
                <w:szCs w:val="16"/>
              </w:rPr>
              <w:t xml:space="preserve">As at </w:t>
            </w:r>
          </w:p>
        </w:tc>
      </w:tr>
      <w:tr w:rsidR="00A12DCA" w:rsidRPr="00100BF5" w:rsidTr="00F06DA9">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szCs w:val="16"/>
              </w:rPr>
            </w:pPr>
            <w:r w:rsidRPr="00100BF5">
              <w:rPr>
                <w:b/>
                <w:sz w:val="16"/>
                <w:szCs w:val="16"/>
              </w:rPr>
              <w:t xml:space="preserve"> </w:t>
            </w:r>
            <w:r w:rsidRPr="00100BF5">
              <w:rPr>
                <w:b/>
                <w:sz w:val="16"/>
                <w:szCs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b/>
                <w:sz w:val="16"/>
                <w:szCs w:val="16"/>
                <w:vertAlign w:val="superscript"/>
              </w:rPr>
            </w:pPr>
            <w:r w:rsidRPr="00100BF5">
              <w:rPr>
                <w:b/>
                <w:sz w:val="16"/>
                <w:szCs w:val="16"/>
              </w:rPr>
              <w:t>30.06.12</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b/>
                <w:sz w:val="16"/>
                <w:szCs w:val="16"/>
              </w:rPr>
            </w:pPr>
            <w:r w:rsidRPr="00100BF5">
              <w:rPr>
                <w:b/>
                <w:sz w:val="16"/>
                <w:szCs w:val="16"/>
              </w:rPr>
              <w:t>31.12.11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b/>
                <w:sz w:val="16"/>
                <w:szCs w:val="16"/>
              </w:rPr>
            </w:pPr>
            <w:r w:rsidRPr="00100BF5">
              <w:rPr>
                <w:b/>
                <w:sz w:val="16"/>
                <w:szCs w:val="16"/>
              </w:rPr>
              <w:t>30.06.11</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szCs w:val="16"/>
              </w:rPr>
            </w:pPr>
            <w:r w:rsidRPr="00100BF5">
              <w:rPr>
                <w:sz w:val="16"/>
                <w:szCs w:val="16"/>
              </w:rPr>
              <w:t>Core tier 1</w:t>
            </w:r>
            <w:r w:rsidRPr="00100BF5">
              <w:rPr>
                <w:sz w:val="16"/>
                <w:szCs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10.9%</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11.0%</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11.0%</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Tier 1</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13.3%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12.9%</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13.5%</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Total capital</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16.5%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16.4%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16.9%</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20"/>
                <w:szCs w:val="16"/>
              </w:rPr>
              <w:t>Capital Resources</w:t>
            </w:r>
            <w:r w:rsidRPr="00100BF5">
              <w:rPr>
                <w:sz w:val="16"/>
                <w:szCs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£m</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szCs w:val="16"/>
              </w:rPr>
            </w:pPr>
            <w:r w:rsidRPr="00100BF5">
              <w:rPr>
                <w:b/>
                <w:sz w:val="16"/>
                <w:szCs w:val="16"/>
              </w:rPr>
              <w:t>Shareholders' equity (excluding non-controlling interests) per balance sheet</w:t>
            </w:r>
            <w:r w:rsidRPr="00100BF5">
              <w:rPr>
                <w:b/>
                <w:sz w:val="16"/>
                <w:szCs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16"/>
                <w:vertAlign w:val="superscript"/>
              </w:rPr>
            </w:pPr>
            <w:r w:rsidRPr="00100BF5">
              <w:rPr>
                <w:b/>
                <w:sz w:val="16"/>
                <w:szCs w:val="16"/>
              </w:rPr>
              <w:t xml:space="preserve"> 54,205 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55,589 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51,572 </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Non-controlling interests per balance sheet</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9,485 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9,607 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10,417 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Less: Other tier 1 capital - preference shares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(6,225)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(6,235)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(6,294)</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Less: Other tier 1 capital - Reserve Capital Instruments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(437)</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Less: Non-controlling tier 2 capital</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(564)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(573)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(552)</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Other regulatory adjustments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(171)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(138)</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(259)</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Regulatory adjustments and deductions:</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Own credit cumulative gain (net of tax)</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(492)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(2,680)</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(690)</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Defined benefit pension adjustment</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(2,260)</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(1,241)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139 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Unrealised losses on available for sale debt securities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83 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555 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171 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Unrealised gains on available for sale equity (recognised as tier 2 capital)</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(95)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(828)</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Cash flow hedging reserve</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(1,676)</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(1,442)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(104)</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Goodwill and intangible assets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(7,574)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(7,560)</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(8,223)</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excess of expected losses over impairment (net of tax)</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(500)</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(506)</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(419)</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of securitisation positions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(1,663)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(1,577)</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(1,959)</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Other regulatory adjustments</w:t>
            </w:r>
            <w:r w:rsidRPr="00100BF5">
              <w:rPr>
                <w:sz w:val="16"/>
                <w:szCs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23 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95 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175 </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Core tier 1 capital</w:t>
            </w:r>
            <w:r w:rsidRPr="00100BF5">
              <w:rPr>
                <w:sz w:val="16"/>
                <w:szCs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b/>
                <w:sz w:val="16"/>
                <w:szCs w:val="16"/>
              </w:rPr>
              <w:t xml:space="preserve"> 42,576 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43,066 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43,537 </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6"/>
              </w:rPr>
            </w:pPr>
            <w:r w:rsidRPr="00100BF5">
              <w:rPr>
                <w:b/>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Other tier 1 capital:</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Preference shares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6,225 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6,235 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6,294 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Tier 1 notes</w:t>
            </w:r>
            <w:r w:rsidRPr="00100BF5">
              <w:rPr>
                <w:sz w:val="16"/>
                <w:szCs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521 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530 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1,017 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Reserve Capital Instruments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2,874 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2,895 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5,206 </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Regulatory adjustments and deductions:</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of material holdings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(285)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(2,382)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(2,480)</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tax on excess of expected losses over impairment</w:t>
            </w:r>
            <w:r w:rsidRPr="00100BF5">
              <w:rPr>
                <w:sz w:val="16"/>
                <w:szCs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100 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129 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(41)</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Total tier 1 capital</w:t>
            </w:r>
            <w:r w:rsidRPr="00100BF5">
              <w:rPr>
                <w:sz w:val="16"/>
                <w:szCs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b/>
                <w:sz w:val="16"/>
                <w:szCs w:val="16"/>
              </w:rPr>
              <w:t xml:space="preserve"> 52,011 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50,473 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53,533 </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Tier 2 capital:</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Undated subordinated liabilities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1,648 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1,657 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1,637 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Dated subordinated liabilities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12,488 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15,189 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15,646 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Non-controlling tier 2 capital</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564 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573 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552 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Reserves arising on revaluation of property</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21 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29 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Unrealised gains on available for sale equity</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95 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828 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Collectively assessed impairment allowances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1,783 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2,385 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2,517 </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Tier 2 deductions:</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of material holdings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(285)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(2,382)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(2,480)</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excess of expected losses over impairment (gross of tax)</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(601)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(635)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(419)</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50% of securitisation positions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(1,663)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(1,577)</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(1,959)</w:t>
            </w:r>
          </w:p>
        </w:tc>
      </w:tr>
      <w:tr w:rsidR="00A12DCA" w:rsidRPr="00100BF5">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 xml:space="preserve"> </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Total capital regulatory adjustments and deductions:</w:t>
            </w:r>
            <w:r w:rsidRPr="00100BF5">
              <w:rPr>
                <w:sz w:val="16"/>
                <w:szCs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vertAlign w:val="superscript"/>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 xml:space="preserve">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Investments that are not material holdings or qualifying holdings</w:t>
            </w:r>
            <w:r w:rsidRPr="00100BF5">
              <w:rPr>
                <w:sz w:val="16"/>
                <w:szCs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(1,209)</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(1,991)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(1,761)</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6"/>
              </w:rPr>
            </w:pPr>
            <w:r w:rsidRPr="00100BF5">
              <w:rPr>
                <w:sz w:val="16"/>
                <w:szCs w:val="16"/>
              </w:rPr>
              <w:t>Other deductions from total capital</w:t>
            </w:r>
            <w:r w:rsidRPr="00100BF5">
              <w:rPr>
                <w:sz w:val="16"/>
                <w:szCs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sz w:val="16"/>
                <w:szCs w:val="16"/>
              </w:rPr>
              <w:t>(565)</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(597)</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6"/>
              </w:rPr>
            </w:pPr>
            <w:r w:rsidRPr="00100BF5">
              <w:rPr>
                <w:sz w:val="16"/>
                <w:szCs w:val="16"/>
              </w:rPr>
              <w:t>(559)</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6"/>
              </w:rPr>
            </w:pPr>
            <w:r w:rsidRPr="00100BF5">
              <w:rPr>
                <w:b/>
                <w:sz w:val="16"/>
                <w:szCs w:val="16"/>
              </w:rPr>
              <w:t xml:space="preserve">Total regulatory capital </w:t>
            </w:r>
            <w:r w:rsidRPr="00100BF5">
              <w:rPr>
                <w:sz w:val="16"/>
                <w:szCs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16"/>
                <w:vertAlign w:val="superscript"/>
              </w:rPr>
            </w:pPr>
            <w:r w:rsidRPr="00100BF5">
              <w:rPr>
                <w:b/>
                <w:sz w:val="16"/>
                <w:szCs w:val="16"/>
              </w:rPr>
              <w:t xml:space="preserve"> 64,287 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63,948 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6"/>
              </w:rPr>
            </w:pPr>
            <w:r w:rsidRPr="00100BF5">
              <w:rPr>
                <w:b/>
                <w:sz w:val="16"/>
                <w:szCs w:val="16"/>
              </w:rPr>
              <w:t xml:space="preserve"> 66,736 </w:t>
            </w:r>
          </w:p>
        </w:tc>
      </w:tr>
    </w:tbl>
    <w:p w:rsidR="00A12DCA" w:rsidRPr="00100BF5" w:rsidRDefault="00A12DCA">
      <w:pPr>
        <w:rPr>
          <w:i/>
          <w:sz w:val="16"/>
          <w:szCs w:val="16"/>
        </w:rPr>
      </w:pPr>
    </w:p>
    <w:p w:rsidR="00A12DCA" w:rsidRPr="00100BF5" w:rsidRDefault="00A12DCA" w:rsidP="00A12DCA">
      <w:pPr>
        <w:pStyle w:val="Normal30"/>
        <w:ind w:left="284" w:hanging="284"/>
        <w:rPr>
          <w:i/>
          <w:szCs w:val="18"/>
        </w:rPr>
      </w:pPr>
    </w:p>
    <w:p w:rsidR="00A12DCA" w:rsidRPr="00100BF5" w:rsidRDefault="00A12DCA"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F72CF" w:rsidRPr="00100BF5" w:rsidRDefault="00AF72CF" w:rsidP="00A12DCA">
      <w:pPr>
        <w:pStyle w:val="Normal30"/>
        <w:ind w:left="284" w:hanging="284"/>
        <w:rPr>
          <w:i/>
          <w:sz w:val="2"/>
          <w:szCs w:val="2"/>
        </w:rPr>
      </w:pPr>
    </w:p>
    <w:p w:rsidR="00A12DCA" w:rsidRPr="00100BF5" w:rsidRDefault="00A12DCA" w:rsidP="004962C8">
      <w:pPr>
        <w:pStyle w:val="NoteandSourceText-BarcRA0"/>
        <w:numPr>
          <w:ilvl w:val="0"/>
          <w:numId w:val="0"/>
        </w:numPr>
      </w:pPr>
      <w:r w:rsidRPr="00100BF5">
        <w:t>1      Tier 1 notes are included in subordinated liabilities in the consolidated balance sheet.</w:t>
      </w:r>
    </w:p>
    <w:p w:rsidR="005F437E" w:rsidRDefault="00A12DCA" w:rsidP="005F437E">
      <w:pPr>
        <w:pStyle w:val="HeadingLevel1-BarcRA"/>
      </w:pPr>
      <w:r w:rsidRPr="00100BF5">
        <w:br w:type="page"/>
      </w:r>
      <w:r w:rsidR="005F437E">
        <w:t>Funding Risk</w:t>
      </w:r>
    </w:p>
    <w:p w:rsidR="00AF43F2" w:rsidRPr="00100BF5" w:rsidRDefault="00AF43F2" w:rsidP="000C3F6A">
      <w:pPr>
        <w:pStyle w:val="Level1Bullet-BarcRA14"/>
        <w:spacing w:before="0"/>
        <w:rPr>
          <w:szCs w:val="18"/>
        </w:rPr>
      </w:pPr>
      <w:r w:rsidRPr="00100BF5">
        <w:rPr>
          <w:lang w:val="en-GB"/>
        </w:rPr>
        <w:t xml:space="preserve">In the first half of 2012, Core Tier 1 </w:t>
      </w:r>
      <w:r w:rsidR="00733066" w:rsidRPr="00100BF5">
        <w:rPr>
          <w:lang w:val="en-GB"/>
        </w:rPr>
        <w:t>c</w:t>
      </w:r>
      <w:r w:rsidRPr="00100BF5">
        <w:rPr>
          <w:lang w:val="en-GB"/>
        </w:rPr>
        <w:t>apital decreased by £0.</w:t>
      </w:r>
      <w:r w:rsidR="00733066" w:rsidRPr="00100BF5">
        <w:rPr>
          <w:lang w:val="en-GB"/>
        </w:rPr>
        <w:t>5</w:t>
      </w:r>
      <w:r w:rsidRPr="00100BF5">
        <w:rPr>
          <w:lang w:val="en-GB"/>
        </w:rPr>
        <w:t>bn to £42.6bn. Whil</w:t>
      </w:r>
      <w:r w:rsidR="00733066" w:rsidRPr="00100BF5">
        <w:rPr>
          <w:lang w:val="en-GB"/>
        </w:rPr>
        <w:t>st</w:t>
      </w:r>
      <w:r w:rsidRPr="00100BF5">
        <w:rPr>
          <w:lang w:val="en-GB"/>
        </w:rPr>
        <w:t xml:space="preserve"> the Group generated £2.</w:t>
      </w:r>
      <w:r w:rsidR="00050022">
        <w:rPr>
          <w:lang w:val="en-GB"/>
        </w:rPr>
        <w:t>3</w:t>
      </w:r>
      <w:r w:rsidRPr="00100BF5">
        <w:rPr>
          <w:lang w:val="en-GB"/>
        </w:rPr>
        <w:t xml:space="preserve">bn Core Tier 1 capital from retained profits (excluding own credit, which is added back for regulatory capital purposes), this </w:t>
      </w:r>
      <w:r w:rsidR="00733066" w:rsidRPr="00100BF5">
        <w:rPr>
          <w:lang w:val="en-GB"/>
        </w:rPr>
        <w:t xml:space="preserve">was </w:t>
      </w:r>
      <w:r w:rsidRPr="00100BF5">
        <w:rPr>
          <w:lang w:val="en-GB"/>
        </w:rPr>
        <w:t xml:space="preserve">more than offset by other movements in Core Tier 1 capital, principally: </w:t>
      </w:r>
    </w:p>
    <w:p w:rsidR="00AF43F2" w:rsidRPr="00100BF5" w:rsidRDefault="00AF43F2" w:rsidP="002D090C">
      <w:pPr>
        <w:pStyle w:val="Level2Bullet-BarcRA100000"/>
        <w:numPr>
          <w:ilvl w:val="0"/>
          <w:numId w:val="62"/>
        </w:numPr>
        <w:spacing w:before="120" w:after="120"/>
        <w:ind w:left="567" w:hanging="283"/>
        <w:rPr>
          <w:lang w:val="en-GB"/>
        </w:rPr>
      </w:pPr>
      <w:r w:rsidRPr="00100BF5">
        <w:rPr>
          <w:lang w:val="en-GB"/>
        </w:rPr>
        <w:t xml:space="preserve">£1.0bn increase in the deduction for defined benefit pensions, driven by </w:t>
      </w:r>
      <w:r w:rsidR="00733066" w:rsidRPr="00100BF5">
        <w:rPr>
          <w:lang w:val="en-GB"/>
        </w:rPr>
        <w:t>an</w:t>
      </w:r>
      <w:r w:rsidRPr="00100BF5">
        <w:rPr>
          <w:lang w:val="en-GB"/>
        </w:rPr>
        <w:t xml:space="preserve"> additional contribution made to the UK Retirement Fund in April 2012 </w:t>
      </w:r>
      <w:r w:rsidR="00040D32">
        <w:rPr>
          <w:lang w:val="en-GB"/>
        </w:rPr>
        <w:t xml:space="preserve">and </w:t>
      </w:r>
      <w:r w:rsidRPr="00100BF5">
        <w:rPr>
          <w:lang w:val="en-GB"/>
        </w:rPr>
        <w:t>deducting expected future deficit contributions over the next five years in addition to the pension asset recognised on the Group’s balance sheet</w:t>
      </w:r>
    </w:p>
    <w:p w:rsidR="00AF43F2" w:rsidRPr="00100BF5" w:rsidRDefault="00AF43F2" w:rsidP="002D090C">
      <w:pPr>
        <w:pStyle w:val="Level2Bullet-BarcRA100000"/>
        <w:numPr>
          <w:ilvl w:val="0"/>
          <w:numId w:val="62"/>
        </w:numPr>
        <w:spacing w:before="120" w:after="120"/>
        <w:ind w:left="567" w:hanging="283"/>
        <w:rPr>
          <w:lang w:val="en-GB"/>
        </w:rPr>
      </w:pPr>
      <w:r w:rsidRPr="00100BF5">
        <w:rPr>
          <w:lang w:val="en-GB"/>
        </w:rPr>
        <w:t>£0.5bn cash dividends paid during 2012, relating to the 2011 final dividend and the first interim dividend for 2012</w:t>
      </w:r>
    </w:p>
    <w:p w:rsidR="00AF43F2" w:rsidRPr="00100BF5" w:rsidRDefault="00733066" w:rsidP="002D090C">
      <w:pPr>
        <w:pStyle w:val="Level2Bullet-BarcRA100000"/>
        <w:numPr>
          <w:ilvl w:val="0"/>
          <w:numId w:val="62"/>
        </w:numPr>
        <w:spacing w:before="120" w:after="120"/>
        <w:ind w:left="567" w:hanging="283"/>
        <w:rPr>
          <w:lang w:val="en-GB"/>
        </w:rPr>
      </w:pPr>
      <w:r w:rsidRPr="00100BF5">
        <w:rPr>
          <w:lang w:val="en-GB"/>
        </w:rPr>
        <w:t>£</w:t>
      </w:r>
      <w:r w:rsidR="00AF43F2" w:rsidRPr="00100BF5">
        <w:rPr>
          <w:lang w:val="en-GB"/>
        </w:rPr>
        <w:t xml:space="preserve">0.5bn net reduction from the impact of share awards </w:t>
      </w:r>
    </w:p>
    <w:p w:rsidR="00AF43F2" w:rsidRPr="00100BF5" w:rsidRDefault="00AF43F2" w:rsidP="002D090C">
      <w:pPr>
        <w:pStyle w:val="Level2Bullet-BarcRA100000"/>
        <w:numPr>
          <w:ilvl w:val="0"/>
          <w:numId w:val="62"/>
        </w:numPr>
        <w:spacing w:before="120" w:after="120"/>
        <w:ind w:left="567" w:hanging="283"/>
        <w:rPr>
          <w:lang w:val="en-GB"/>
        </w:rPr>
      </w:pPr>
      <w:r w:rsidRPr="00100BF5">
        <w:rPr>
          <w:lang w:val="en-GB"/>
        </w:rPr>
        <w:t>£0.5bn reduction due to foreign currency movements, primarily due to depreciation of the US Dollar, South African Rand a</w:t>
      </w:r>
      <w:r w:rsidR="00733066" w:rsidRPr="00100BF5">
        <w:rPr>
          <w:lang w:val="en-GB"/>
        </w:rPr>
        <w:t>nd Euro against Sterling</w:t>
      </w:r>
    </w:p>
    <w:p w:rsidR="00AF43F2" w:rsidRPr="00100BF5" w:rsidRDefault="00AF43F2" w:rsidP="00AF43F2">
      <w:pPr>
        <w:pStyle w:val="Level1Bullet-BarcRA14"/>
        <w:rPr>
          <w:lang w:val="en-GB"/>
        </w:rPr>
      </w:pPr>
      <w:r w:rsidRPr="00100BF5">
        <w:rPr>
          <w:lang w:val="en-GB"/>
        </w:rPr>
        <w:t>Total Cap</w:t>
      </w:r>
      <w:r w:rsidR="00733066" w:rsidRPr="00100BF5">
        <w:rPr>
          <w:lang w:val="en-GB"/>
        </w:rPr>
        <w:t>ital Resources increased by £0.3</w:t>
      </w:r>
      <w:r w:rsidRPr="00100BF5">
        <w:rPr>
          <w:lang w:val="en-GB"/>
        </w:rPr>
        <w:t>bn principally as a result of the sale of the stake in B</w:t>
      </w:r>
      <w:r w:rsidR="00733066" w:rsidRPr="00100BF5">
        <w:rPr>
          <w:lang w:val="en-GB"/>
        </w:rPr>
        <w:t>lackRock, Inc. resulting in a £3.4bn</w:t>
      </w:r>
      <w:r w:rsidRPr="00100BF5">
        <w:rPr>
          <w:lang w:val="en-GB"/>
        </w:rPr>
        <w:t xml:space="preserve"> increase in capital (reflecting lower deductions for material holdings offset by gains on the available for sale investment being recognised in retained profits), offset by the redemption of £2.2bn dated subordinated liabilities</w:t>
      </w:r>
    </w:p>
    <w:p w:rsidR="00A12DCA" w:rsidRPr="00100BF5" w:rsidRDefault="00A12DCA"/>
    <w:tbl>
      <w:tblPr>
        <w:tblW w:w="0" w:type="auto"/>
        <w:tblLayout w:type="fixed"/>
        <w:tblLook w:val="0000" w:firstRow="0" w:lastRow="0" w:firstColumn="0" w:lastColumn="0" w:noHBand="0" w:noVBand="0"/>
      </w:tblPr>
      <w:tblGrid>
        <w:gridCol w:w="3330"/>
        <w:gridCol w:w="1020"/>
        <w:gridCol w:w="1020"/>
        <w:gridCol w:w="1020"/>
        <w:gridCol w:w="180"/>
        <w:gridCol w:w="1020"/>
        <w:gridCol w:w="1020"/>
        <w:gridCol w:w="1020"/>
      </w:tblGrid>
      <w:tr w:rsidR="000810BB" w:rsidRPr="00100BF5" w:rsidTr="00807610">
        <w:tblPrEx>
          <w:tblCellMar>
            <w:top w:w="0" w:type="dxa"/>
            <w:bottom w:w="0" w:type="dxa"/>
          </w:tblCellMar>
        </w:tblPrEx>
        <w:trPr>
          <w:trHeight w:hRule="exact" w:val="215"/>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16"/>
              </w:rPr>
              <w:t xml:space="preserve"> </w:t>
            </w:r>
            <w:r w:rsidRPr="00100BF5">
              <w:rPr>
                <w:b/>
                <w:sz w:val="16"/>
                <w:vertAlign w:val="superscript"/>
              </w:rPr>
              <w:t xml:space="preserve"> </w:t>
            </w:r>
          </w:p>
        </w:tc>
        <w:tc>
          <w:tcPr>
            <w:tcW w:w="306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center"/>
              <w:rPr>
                <w:b/>
                <w:sz w:val="16"/>
                <w:vertAlign w:val="superscript"/>
              </w:rPr>
            </w:pPr>
            <w:r w:rsidRPr="00100BF5">
              <w:rPr>
                <w:b/>
                <w:sz w:val="16"/>
              </w:rPr>
              <w:t>Total Assets by Business</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center"/>
              <w:rPr>
                <w:b/>
                <w:sz w:val="16"/>
              </w:rPr>
            </w:pPr>
          </w:p>
        </w:tc>
        <w:tc>
          <w:tcPr>
            <w:tcW w:w="30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center"/>
              <w:rPr>
                <w:sz w:val="16"/>
              </w:rPr>
            </w:pPr>
            <w:r w:rsidRPr="00100BF5">
              <w:rPr>
                <w:b/>
                <w:sz w:val="16"/>
              </w:rPr>
              <w:t>Risk Weighted Assets by Business</w:t>
            </w:r>
          </w:p>
        </w:tc>
      </w:tr>
      <w:tr w:rsidR="00A12DCA" w:rsidRPr="00100BF5" w:rsidTr="00F06DA9">
        <w:tblPrEx>
          <w:tblCellMar>
            <w:top w:w="0" w:type="dxa"/>
            <w:bottom w:w="0" w:type="dxa"/>
          </w:tblCellMar>
        </w:tblPrEx>
        <w:trPr>
          <w:trHeight w:val="48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F43F2">
            <w:pPr>
              <w:rPr>
                <w:b/>
                <w:sz w:val="16"/>
              </w:rPr>
            </w:pPr>
            <w:r w:rsidRPr="00100BF5">
              <w:rPr>
                <w:b/>
                <w:sz w:val="20"/>
                <w:szCs w:val="16"/>
              </w:rPr>
              <w:t>Assets and Risk Weighted Assets by Business</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vertAlign w:val="superscript"/>
              </w:rPr>
            </w:pPr>
            <w:r w:rsidRPr="00100BF5">
              <w:rPr>
                <w:b/>
                <w:sz w:val="16"/>
              </w:rPr>
              <w:t xml:space="preserve">As at </w:t>
            </w:r>
          </w:p>
          <w:p w:rsidR="00A12DCA" w:rsidRPr="00100BF5" w:rsidRDefault="00A12DCA" w:rsidP="00F06DA9">
            <w:pPr>
              <w:jc w:val="right"/>
              <w:rPr>
                <w:b/>
                <w:sz w:val="16"/>
              </w:rPr>
            </w:pPr>
            <w:r w:rsidRPr="00100BF5">
              <w:rPr>
                <w:b/>
                <w:sz w:val="16"/>
              </w:rPr>
              <w:t>30.06.12</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 xml:space="preserve">As at </w:t>
            </w:r>
          </w:p>
          <w:p w:rsidR="00A12DCA" w:rsidRPr="00100BF5" w:rsidRDefault="00A12DCA" w:rsidP="00F06DA9">
            <w:pPr>
              <w:jc w:val="right"/>
              <w:rPr>
                <w:b/>
                <w:sz w:val="16"/>
              </w:rPr>
            </w:pPr>
            <w:r w:rsidRPr="00100BF5">
              <w:rPr>
                <w:b/>
                <w:sz w:val="16"/>
              </w:rPr>
              <w:t>31.12.11</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 xml:space="preserve">As at </w:t>
            </w:r>
          </w:p>
          <w:p w:rsidR="00A12DCA" w:rsidRPr="00100BF5" w:rsidRDefault="00A12DCA" w:rsidP="00F06DA9">
            <w:pPr>
              <w:jc w:val="right"/>
              <w:rPr>
                <w:b/>
                <w:sz w:val="16"/>
              </w:rPr>
            </w:pPr>
            <w:r w:rsidRPr="00100BF5">
              <w:rPr>
                <w:b/>
                <w:sz w:val="16"/>
              </w:rPr>
              <w:t>30.06.11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b/>
                <w:sz w:val="16"/>
              </w:rPr>
              <w:t xml:space="preserve">As at </w:t>
            </w:r>
          </w:p>
          <w:p w:rsidR="00A12DCA" w:rsidRPr="00100BF5" w:rsidRDefault="00A12DCA" w:rsidP="00F06DA9">
            <w:pPr>
              <w:jc w:val="right"/>
              <w:rPr>
                <w:b/>
                <w:sz w:val="16"/>
              </w:rPr>
            </w:pPr>
            <w:r w:rsidRPr="00100BF5">
              <w:rPr>
                <w:b/>
                <w:sz w:val="16"/>
              </w:rPr>
              <w:t>30.06.12</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 xml:space="preserve">As at </w:t>
            </w:r>
          </w:p>
          <w:p w:rsidR="00A12DCA" w:rsidRPr="00100BF5" w:rsidRDefault="00A12DCA" w:rsidP="00F06DA9">
            <w:pPr>
              <w:jc w:val="right"/>
              <w:rPr>
                <w:b/>
                <w:sz w:val="16"/>
              </w:rPr>
            </w:pPr>
            <w:r w:rsidRPr="00100BF5">
              <w:rPr>
                <w:b/>
                <w:sz w:val="16"/>
              </w:rPr>
              <w:t>31.12.11</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 xml:space="preserve">As at </w:t>
            </w:r>
          </w:p>
          <w:p w:rsidR="00A12DCA" w:rsidRPr="00100BF5" w:rsidRDefault="00A12DCA" w:rsidP="00F06DA9">
            <w:pPr>
              <w:jc w:val="right"/>
              <w:rPr>
                <w:b/>
                <w:sz w:val="16"/>
              </w:rPr>
            </w:pPr>
            <w:r w:rsidRPr="00100BF5">
              <w:rPr>
                <w:b/>
                <w:sz w:val="16"/>
              </w:rPr>
              <w:t>30.06.11</w:t>
            </w:r>
          </w:p>
        </w:tc>
      </w:tr>
      <w:tr w:rsidR="00A12DCA" w:rsidRPr="00100BF5" w:rsidTr="00807610">
        <w:tblPrEx>
          <w:tblCellMar>
            <w:top w:w="0" w:type="dxa"/>
            <w:bottom w:w="0" w:type="dxa"/>
          </w:tblCellMar>
        </w:tblPrEx>
        <w:trPr>
          <w:trHeight w:hRule="exact" w:val="215"/>
        </w:trPr>
        <w:tc>
          <w:tcPr>
            <w:tcW w:w="33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r w:rsidRPr="00100BF5">
              <w:rPr>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vertAlign w:val="superscript"/>
              </w:rPr>
            </w:pPr>
            <w:r w:rsidRPr="00100BF5">
              <w:rPr>
                <w:sz w:val="16"/>
              </w:rPr>
              <w:t xml:space="preserve">£m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£m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£m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£m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£m </w:t>
            </w:r>
          </w:p>
        </w:tc>
      </w:tr>
      <w:tr w:rsidR="00A12DCA" w:rsidRPr="00100BF5" w:rsidTr="00F06DA9">
        <w:tblPrEx>
          <w:tblCellMar>
            <w:top w:w="0" w:type="dxa"/>
            <w:bottom w:w="0" w:type="dxa"/>
          </w:tblCellMar>
        </w:tblPrEx>
        <w:trPr>
          <w:trHeight w:val="240"/>
        </w:trPr>
        <w:tc>
          <w:tcPr>
            <w:tcW w:w="33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UK RBB</w:t>
            </w:r>
            <w:r w:rsidRPr="00100BF5">
              <w:rPr>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130,776 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127,845 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123,745 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36,038 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33,956 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34,216 </w:t>
            </w:r>
          </w:p>
        </w:tc>
      </w:tr>
      <w:tr w:rsidR="00A12DCA" w:rsidRPr="00100BF5" w:rsidTr="00F06DA9">
        <w:tblPrEx>
          <w:tblCellMar>
            <w:top w:w="0" w:type="dxa"/>
            <w:bottom w:w="0" w:type="dxa"/>
          </w:tblCellMar>
        </w:tblPrEx>
        <w:trPr>
          <w:trHeight w:val="24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Europe RBB</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48,109 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51,310 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56,699 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16,563 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17,436 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17,916 </w:t>
            </w:r>
          </w:p>
        </w:tc>
      </w:tr>
      <w:tr w:rsidR="00A12DCA" w:rsidRPr="00100BF5" w:rsidTr="00F06DA9">
        <w:tblPrEx>
          <w:tblCellMar>
            <w:top w:w="0" w:type="dxa"/>
            <w:bottom w:w="0" w:type="dxa"/>
          </w:tblCellMar>
        </w:tblPrEx>
        <w:trPr>
          <w:trHeight w:val="24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rsidP="00733066">
            <w:pPr>
              <w:rPr>
                <w:sz w:val="16"/>
              </w:rPr>
            </w:pPr>
            <w:r w:rsidRPr="00100BF5">
              <w:rPr>
                <w:sz w:val="16"/>
              </w:rPr>
              <w:t>Africa RBB</w:t>
            </w:r>
            <w:r w:rsidRPr="00100BF5">
              <w:rPr>
                <w:sz w:val="16"/>
                <w:vertAlign w:val="superscript"/>
              </w:rPr>
              <w:t>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47,398 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48,243 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55,064 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27,909 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30,289 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32,671 </w:t>
            </w:r>
          </w:p>
        </w:tc>
      </w:tr>
      <w:tr w:rsidR="00A12DCA" w:rsidRPr="00100BF5" w:rsidTr="00F06DA9">
        <w:tblPrEx>
          <w:tblCellMar>
            <w:top w:w="0" w:type="dxa"/>
            <w:bottom w:w="0" w:type="dxa"/>
          </w:tblCellMar>
        </w:tblPrEx>
        <w:trPr>
          <w:trHeight w:val="24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Barclaycard</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34,596 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33,838 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32,513 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33,149 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34,186 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33,983 </w:t>
            </w:r>
          </w:p>
        </w:tc>
      </w:tr>
      <w:tr w:rsidR="00A12DCA" w:rsidRPr="00100BF5" w:rsidTr="00F06DA9">
        <w:tblPrEx>
          <w:tblCellMar>
            <w:top w:w="0" w:type="dxa"/>
            <w:bottom w:w="0" w:type="dxa"/>
          </w:tblCellMar>
        </w:tblPrEx>
        <w:trPr>
          <w:trHeight w:val="24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Investment Bank</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1,225,409 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9D3500">
            <w:pPr>
              <w:jc w:val="right"/>
              <w:rPr>
                <w:sz w:val="16"/>
              </w:rPr>
            </w:pPr>
            <w:r w:rsidRPr="00100BF5">
              <w:rPr>
                <w:sz w:val="16"/>
              </w:rPr>
              <w:t>1,158,35</w:t>
            </w:r>
            <w:r w:rsidR="009D3500" w:rsidRPr="00100BF5">
              <w:rPr>
                <w:sz w:val="16"/>
              </w:rPr>
              <w:t>0</w:t>
            </w:r>
            <w:r w:rsidRPr="00100BF5">
              <w:rPr>
                <w:sz w:val="16"/>
              </w:rPr>
              <w:t>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1,076,018 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190,553 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186,700 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189,952 </w:t>
            </w:r>
          </w:p>
        </w:tc>
      </w:tr>
      <w:tr w:rsidR="00A12DCA" w:rsidRPr="00100BF5" w:rsidTr="00F06DA9">
        <w:tblPrEx>
          <w:tblCellMar>
            <w:top w:w="0" w:type="dxa"/>
            <w:bottom w:w="0" w:type="dxa"/>
          </w:tblCellMar>
        </w:tblPrEx>
        <w:trPr>
          <w:trHeight w:val="24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rsidP="00733066">
            <w:pPr>
              <w:rPr>
                <w:sz w:val="16"/>
              </w:rPr>
            </w:pPr>
            <w:r w:rsidRPr="00100BF5">
              <w:rPr>
                <w:sz w:val="16"/>
              </w:rPr>
              <w:t>Corporate Banking</w:t>
            </w:r>
            <w:r w:rsidRPr="00100BF5">
              <w:rPr>
                <w:sz w:val="16"/>
                <w:vertAlign w:val="superscript"/>
              </w:rPr>
              <w:t>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87,758 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91,190 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87,132 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69,328 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72,842 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72,044 </w:t>
            </w:r>
          </w:p>
        </w:tc>
      </w:tr>
      <w:tr w:rsidR="00A12DCA" w:rsidRPr="00100BF5" w:rsidTr="00F06DA9">
        <w:tblPrEx>
          <w:tblCellMar>
            <w:top w:w="0" w:type="dxa"/>
            <w:bottom w:w="0" w:type="dxa"/>
          </w:tblCellMar>
        </w:tblPrEx>
        <w:trPr>
          <w:trHeight w:val="240"/>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Wealth and Investment Management</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22,205 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20,866 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19,814 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13,998 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13,076 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12,664 </w:t>
            </w:r>
          </w:p>
        </w:tc>
      </w:tr>
      <w:tr w:rsidR="00A12DCA" w:rsidRPr="00100BF5" w:rsidTr="00F06DA9">
        <w:tblPrEx>
          <w:tblCellMar>
            <w:top w:w="0" w:type="dxa"/>
            <w:bottom w:w="0" w:type="dxa"/>
          </w:tblCellMar>
        </w:tblPrEx>
        <w:trPr>
          <w:trHeight w:val="240"/>
        </w:trPr>
        <w:tc>
          <w:tcPr>
            <w:tcW w:w="33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066">
            <w:pPr>
              <w:rPr>
                <w:sz w:val="16"/>
              </w:rPr>
            </w:pPr>
            <w:r w:rsidRPr="00100BF5">
              <w:rPr>
                <w:sz w:val="16"/>
              </w:rPr>
              <w:t>Head Office and Other Functions</w:t>
            </w:r>
            <w:r w:rsidRPr="00100BF5">
              <w:rPr>
                <w:sz w:val="16"/>
                <w:vertAlign w:val="superscript"/>
              </w:rPr>
              <w:t>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F06DA9">
            <w:pPr>
              <w:jc w:val="right"/>
              <w:rPr>
                <w:sz w:val="16"/>
                <w:vertAlign w:val="superscript"/>
              </w:rPr>
            </w:pPr>
            <w:r w:rsidRPr="00100BF5">
              <w:rPr>
                <w:sz w:val="16"/>
              </w:rPr>
              <w:t>35,014 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D3500">
            <w:pPr>
              <w:jc w:val="right"/>
              <w:rPr>
                <w:sz w:val="16"/>
              </w:rPr>
            </w:pPr>
            <w:r w:rsidRPr="00100BF5">
              <w:rPr>
                <w:sz w:val="16"/>
              </w:rPr>
              <w:t>31,88</w:t>
            </w:r>
            <w:r w:rsidR="009D3500" w:rsidRPr="00100BF5">
              <w:rPr>
                <w:sz w:val="16"/>
              </w:rPr>
              <w:t>5</w:t>
            </w:r>
            <w:r w:rsidRPr="00100BF5">
              <w:rPr>
                <w:sz w:val="16"/>
              </w:rPr>
              <w:t>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41,937 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sz w:val="16"/>
              </w:rPr>
              <w:t>2,685 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2,514 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06DA9">
            <w:pPr>
              <w:jc w:val="right"/>
              <w:rPr>
                <w:sz w:val="16"/>
              </w:rPr>
            </w:pPr>
            <w:r w:rsidRPr="00100BF5">
              <w:rPr>
                <w:sz w:val="16"/>
              </w:rPr>
              <w:t>1,704 </w:t>
            </w:r>
          </w:p>
        </w:tc>
      </w:tr>
      <w:tr w:rsidR="00A12DCA" w:rsidRPr="00100BF5" w:rsidTr="00F06DA9">
        <w:tblPrEx>
          <w:tblCellMar>
            <w:top w:w="0" w:type="dxa"/>
            <w:bottom w:w="0" w:type="dxa"/>
          </w:tblCellMar>
        </w:tblPrEx>
        <w:trPr>
          <w:trHeight w:val="240"/>
        </w:trPr>
        <w:tc>
          <w:tcPr>
            <w:tcW w:w="33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r w:rsidRPr="00100BF5">
              <w:rPr>
                <w:b/>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06DA9">
            <w:pPr>
              <w:jc w:val="right"/>
              <w:rPr>
                <w:b/>
                <w:sz w:val="16"/>
                <w:vertAlign w:val="superscript"/>
              </w:rPr>
            </w:pPr>
            <w:r w:rsidRPr="00100BF5">
              <w:rPr>
                <w:b/>
                <w:sz w:val="16"/>
              </w:rPr>
              <w:t>1,631,265 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1,563,527 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1,492,922 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sz w:val="16"/>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06DA9">
            <w:pPr>
              <w:jc w:val="right"/>
              <w:rPr>
                <w:sz w:val="16"/>
              </w:rPr>
            </w:pPr>
            <w:r w:rsidRPr="00100BF5">
              <w:rPr>
                <w:b/>
                <w:sz w:val="16"/>
              </w:rPr>
              <w:t>390,223 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390,999 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06DA9">
            <w:pPr>
              <w:jc w:val="right"/>
              <w:rPr>
                <w:b/>
                <w:sz w:val="16"/>
              </w:rPr>
            </w:pPr>
            <w:r w:rsidRPr="00100BF5">
              <w:rPr>
                <w:b/>
                <w:sz w:val="16"/>
              </w:rPr>
              <w:t>395,150 </w:t>
            </w:r>
          </w:p>
        </w:tc>
      </w:tr>
      <w:tr w:rsidR="00A12DCA" w:rsidRPr="00100BF5" w:rsidTr="00807610">
        <w:tblPrEx>
          <w:tblCellMar>
            <w:top w:w="0" w:type="dxa"/>
            <w:bottom w:w="0" w:type="dxa"/>
          </w:tblCellMar>
        </w:tblPrEx>
        <w:trPr>
          <w:trHeight w:hRule="exact" w:val="74"/>
        </w:trPr>
        <w:tc>
          <w:tcPr>
            <w:tcW w:w="333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bl>
    <w:p w:rsidR="00A12DCA" w:rsidRPr="00100BF5" w:rsidRDefault="00A12DCA"/>
    <w:tbl>
      <w:tblPr>
        <w:tblW w:w="0" w:type="auto"/>
        <w:tblLayout w:type="fixed"/>
        <w:tblLook w:val="0000" w:firstRow="0" w:lastRow="0" w:firstColumn="0" w:lastColumn="0" w:noHBand="0" w:noVBand="0"/>
      </w:tblPr>
      <w:tblGrid>
        <w:gridCol w:w="6585"/>
        <w:gridCol w:w="1020"/>
        <w:gridCol w:w="1020"/>
        <w:gridCol w:w="1020"/>
      </w:tblGrid>
      <w:tr w:rsidR="00A12DCA" w:rsidRPr="00100BF5" w:rsidTr="00807610">
        <w:tblPrEx>
          <w:tblCellMar>
            <w:top w:w="0" w:type="dxa"/>
            <w:bottom w:w="0" w:type="dxa"/>
          </w:tblCellMar>
        </w:tblPrEx>
        <w:trPr>
          <w:trHeight w:hRule="exact" w:val="215"/>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0"/>
              </w:rPr>
              <w:t>Risk Weighted Assets by Risk</w:t>
            </w:r>
            <w:r w:rsidRPr="00100BF5">
              <w:rPr>
                <w:b/>
                <w:sz w:val="20"/>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20"/>
                <w:vertAlign w:val="superscript"/>
              </w:rPr>
            </w:pPr>
            <w:r w:rsidRPr="00100BF5">
              <w:rPr>
                <w:b/>
                <w:sz w:val="16"/>
              </w:rPr>
              <w:t xml:space="preserve">As at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As at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As at </w:t>
            </w:r>
          </w:p>
        </w:tc>
      </w:tr>
      <w:tr w:rsidR="00A12DCA" w:rsidRPr="00100BF5" w:rsidTr="00807610">
        <w:tblPrEx>
          <w:tblCellMar>
            <w:top w:w="0" w:type="dxa"/>
            <w:bottom w:w="0" w:type="dxa"/>
          </w:tblCellMar>
        </w:tblPrEx>
        <w:trPr>
          <w:trHeight w:hRule="exact" w:val="215"/>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30.06.12</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r>
      <w:tr w:rsidR="00A12DCA" w:rsidRPr="00100BF5" w:rsidTr="00D123CC">
        <w:tblPrEx>
          <w:tblCellMar>
            <w:top w:w="0" w:type="dxa"/>
            <w:bottom w:w="0" w:type="dxa"/>
          </w:tblCellMar>
        </w:tblPrEx>
        <w:trPr>
          <w:trHeight w:hRule="exact" w:val="215"/>
        </w:trPr>
        <w:tc>
          <w:tcPr>
            <w:tcW w:w="65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£m</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rsidTr="00D123CC">
        <w:tblPrEx>
          <w:tblCellMar>
            <w:top w:w="0" w:type="dxa"/>
            <w:bottom w:w="0" w:type="dxa"/>
          </w:tblCellMar>
        </w:tblPrEx>
        <w:trPr>
          <w:trHeight w:val="240"/>
        </w:trPr>
        <w:tc>
          <w:tcPr>
            <w:tcW w:w="65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Credit risk</w:t>
            </w:r>
            <w:r w:rsidRPr="00100BF5">
              <w:rPr>
                <w:sz w:val="16"/>
                <w:vertAlign w:val="superscript"/>
              </w:rPr>
              <w:t xml:space="preserve"> </w:t>
            </w:r>
          </w:p>
        </w:tc>
        <w:tc>
          <w:tcPr>
            <w:tcW w:w="1020" w:type="dxa"/>
            <w:tcBorders>
              <w:top w:val="single" w:sz="6" w:space="0" w:color="969696"/>
              <w:left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239,543 </w:t>
            </w:r>
          </w:p>
        </w:tc>
        <w:tc>
          <w:tcPr>
            <w:tcW w:w="1020" w:type="dxa"/>
            <w:tcBorders>
              <w:top w:val="single" w:sz="6" w:space="0" w:color="969696"/>
              <w:left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245,224 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247,101 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Counterparty risk</w:t>
            </w:r>
            <w:r w:rsidRPr="00100BF5">
              <w:rPr>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 Internal model method</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30,165 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33,131 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27,072 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 Non-model method</w:t>
            </w:r>
            <w:r w:rsidRPr="00100BF5">
              <w:rPr>
                <w:sz w:val="16"/>
                <w:vertAlign w:val="superscript"/>
              </w:rPr>
              <w:t xml:space="preserve"> </w:t>
            </w:r>
          </w:p>
        </w:tc>
        <w:tc>
          <w:tcPr>
            <w:tcW w:w="1020" w:type="dxa"/>
            <w:tcBorders>
              <w:top w:val="nil"/>
              <w:left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4,496 </w:t>
            </w:r>
          </w:p>
        </w:tc>
        <w:tc>
          <w:tcPr>
            <w:tcW w:w="1020" w:type="dxa"/>
            <w:tcBorders>
              <w:top w:val="nil"/>
              <w:left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4,953 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14,009 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Market risk</w:t>
            </w:r>
            <w:r w:rsidRPr="00100BF5">
              <w:rPr>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 Modelled – VaR</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23,885 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26,568 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10,692 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 Modelled – Charges add-on and Non-VaR </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21,343 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17,560 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7,784 </w:t>
            </w:r>
          </w:p>
        </w:tc>
      </w:tr>
      <w:tr w:rsidR="00A12DCA" w:rsidRPr="00100BF5" w:rsidTr="00D123CC">
        <w:tblPrEx>
          <w:tblCellMar>
            <w:top w:w="0" w:type="dxa"/>
            <w:bottom w:w="0" w:type="dxa"/>
          </w:tblCellMar>
        </w:tblPrEx>
        <w:trPr>
          <w:trHeight w:val="240"/>
        </w:trPr>
        <w:tc>
          <w:tcPr>
            <w:tcW w:w="658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 Standardised</w:t>
            </w:r>
            <w:r w:rsidRPr="00100BF5">
              <w:rPr>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28,320 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27,823 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52,561 </w:t>
            </w:r>
          </w:p>
        </w:tc>
      </w:tr>
      <w:tr w:rsidR="00A12DCA" w:rsidRPr="00100BF5" w:rsidTr="00D123CC">
        <w:tblPrEx>
          <w:tblCellMar>
            <w:top w:w="0" w:type="dxa"/>
            <w:bottom w:w="0" w:type="dxa"/>
          </w:tblCellMar>
        </w:tblPrEx>
        <w:trPr>
          <w:trHeight w:val="240"/>
        </w:trPr>
        <w:tc>
          <w:tcPr>
            <w:tcW w:w="65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Operational risk</w:t>
            </w:r>
            <w:r w:rsidRPr="00100BF5">
              <w:rPr>
                <w:sz w:val="16"/>
                <w:vertAlign w:val="superscript"/>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42,471 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35,740 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35,931 </w:t>
            </w:r>
          </w:p>
        </w:tc>
      </w:tr>
      <w:tr w:rsidR="00A12DCA" w:rsidRPr="00100BF5" w:rsidTr="00D123CC">
        <w:tblPrEx>
          <w:tblCellMar>
            <w:top w:w="0" w:type="dxa"/>
            <w:bottom w:w="0" w:type="dxa"/>
          </w:tblCellMar>
        </w:tblPrEx>
        <w:trPr>
          <w:trHeight w:val="240"/>
        </w:trPr>
        <w:tc>
          <w:tcPr>
            <w:tcW w:w="65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risk weighted assets</w:t>
            </w:r>
            <w:r w:rsidRPr="00100BF5">
              <w:rPr>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b/>
                <w:sz w:val="16"/>
              </w:rPr>
              <w:t>390,223 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390,999 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395,150 </w:t>
            </w:r>
          </w:p>
        </w:tc>
      </w:tr>
    </w:tbl>
    <w:p w:rsidR="00A12DCA" w:rsidRPr="00100BF5" w:rsidRDefault="00A12DCA"/>
    <w:p w:rsidR="00AF43F2" w:rsidRPr="00100BF5" w:rsidRDefault="00807610" w:rsidP="008247A6">
      <w:pPr>
        <w:pStyle w:val="Level1Bullet-BarcRA03"/>
        <w:rPr>
          <w:lang w:val="en-GB"/>
        </w:rPr>
      </w:pPr>
      <w:r w:rsidRPr="00100BF5">
        <w:rPr>
          <w:lang w:val="en-GB"/>
        </w:rPr>
        <w:t>Total assets increased to £1,631bn (2011: £1,564bn), reflecting increases across a number of asset categories, notably a £19bn increase in cash and balances at central banks, a</w:t>
      </w:r>
      <w:r w:rsidR="0052473E">
        <w:rPr>
          <w:lang w:val="en-GB"/>
        </w:rPr>
        <w:t xml:space="preserve"> </w:t>
      </w:r>
      <w:r w:rsidRPr="00100BF5">
        <w:rPr>
          <w:lang w:val="en-GB"/>
        </w:rPr>
        <w:t>£23bn increase in loans and advances to customers (primarily in relation to settlement balances) and a £21bn increase in reverse repurchase agreements.  These were partially offset by a £21bn reduction in derivative financial instrument assets</w:t>
      </w:r>
      <w:r w:rsidR="00AF43F2" w:rsidRPr="00100BF5">
        <w:rPr>
          <w:lang w:val="en-GB"/>
        </w:rPr>
        <w:t xml:space="preserve"> </w:t>
      </w:r>
    </w:p>
    <w:p w:rsidR="00AF43F2" w:rsidRPr="00100BF5" w:rsidRDefault="00AF43F2" w:rsidP="008247A6">
      <w:pPr>
        <w:pStyle w:val="Level1Bullet-BarcRA03"/>
        <w:rPr>
          <w:lang w:val="en-GB"/>
        </w:rPr>
      </w:pPr>
      <w:r w:rsidRPr="00100BF5">
        <w:rPr>
          <w:lang w:val="en-GB"/>
        </w:rPr>
        <w:t>Group risk weighted assets remained stable at £390bn, reflecting:</w:t>
      </w:r>
    </w:p>
    <w:p w:rsidR="00AF43F2" w:rsidRPr="00100BF5" w:rsidRDefault="00AF43F2" w:rsidP="002D090C">
      <w:pPr>
        <w:pStyle w:val="Level2Bullet-BarcRA100000"/>
        <w:numPr>
          <w:ilvl w:val="0"/>
          <w:numId w:val="62"/>
        </w:numPr>
        <w:spacing w:before="120" w:after="120"/>
        <w:ind w:left="567" w:hanging="283"/>
        <w:rPr>
          <w:lang w:val="en-GB"/>
        </w:rPr>
      </w:pPr>
      <w:r w:rsidRPr="00100BF5">
        <w:rPr>
          <w:lang w:val="en-GB"/>
        </w:rPr>
        <w:t>£5.7bn reduction in credit risk exposures, mainly from Corporate Banking and RBB, owing to change</w:t>
      </w:r>
      <w:r w:rsidR="00733066" w:rsidRPr="00100BF5">
        <w:rPr>
          <w:lang w:val="en-GB"/>
        </w:rPr>
        <w:t>s</w:t>
      </w:r>
      <w:r w:rsidRPr="00100BF5">
        <w:rPr>
          <w:lang w:val="en-GB"/>
        </w:rPr>
        <w:t xml:space="preserve"> in</w:t>
      </w:r>
      <w:r w:rsidR="00733066" w:rsidRPr="00100BF5">
        <w:rPr>
          <w:lang w:val="en-GB"/>
        </w:rPr>
        <w:t xml:space="preserve"> the</w:t>
      </w:r>
      <w:r w:rsidRPr="00100BF5">
        <w:rPr>
          <w:lang w:val="en-GB"/>
        </w:rPr>
        <w:t xml:space="preserve"> risk weighting portfolio mix combined with methodology changes</w:t>
      </w:r>
    </w:p>
    <w:p w:rsidR="00AF43F2" w:rsidRPr="00100BF5" w:rsidRDefault="00AF43F2" w:rsidP="002D090C">
      <w:pPr>
        <w:pStyle w:val="Level2Bullet-BarcRA100000"/>
        <w:numPr>
          <w:ilvl w:val="0"/>
          <w:numId w:val="62"/>
        </w:numPr>
        <w:spacing w:before="120" w:after="120"/>
        <w:ind w:left="567" w:hanging="283"/>
        <w:rPr>
          <w:lang w:val="en-GB"/>
        </w:rPr>
      </w:pPr>
      <w:r w:rsidRPr="00100BF5">
        <w:rPr>
          <w:lang w:val="en-GB"/>
        </w:rPr>
        <w:t xml:space="preserve">£3.4bn decrease in counterparty risk primarily driven by market movements and business reduction in Investment Bank </w:t>
      </w:r>
    </w:p>
    <w:p w:rsidR="00AF43F2" w:rsidRPr="00100BF5" w:rsidRDefault="00AF43F2" w:rsidP="002D090C">
      <w:pPr>
        <w:pStyle w:val="Level2Bullet-BarcRA100000"/>
        <w:numPr>
          <w:ilvl w:val="0"/>
          <w:numId w:val="62"/>
        </w:numPr>
        <w:spacing w:before="120" w:after="120"/>
        <w:ind w:left="567" w:hanging="283"/>
        <w:rPr>
          <w:lang w:val="en-GB"/>
        </w:rPr>
      </w:pPr>
      <w:r w:rsidRPr="00100BF5">
        <w:rPr>
          <w:lang w:val="en-GB"/>
        </w:rPr>
        <w:t>£1.6bn increase in Investment Bank market risk exposures primarily due to methodology changes</w:t>
      </w:r>
    </w:p>
    <w:p w:rsidR="00351861" w:rsidRDefault="00AF43F2" w:rsidP="002D090C">
      <w:pPr>
        <w:pStyle w:val="Level2Bullet-BarcRA100000"/>
        <w:numPr>
          <w:ilvl w:val="0"/>
          <w:numId w:val="62"/>
        </w:numPr>
        <w:spacing w:before="120" w:after="120"/>
        <w:ind w:left="567" w:hanging="283"/>
        <w:rPr>
          <w:lang w:val="en-GB"/>
        </w:rPr>
      </w:pPr>
      <w:r w:rsidRPr="00100BF5">
        <w:rPr>
          <w:lang w:val="en-GB"/>
        </w:rPr>
        <w:t>£6.7bn increase in operational risk exposures following the annual review of key risk scenarios across all business areas</w:t>
      </w:r>
    </w:p>
    <w:p w:rsidR="00351861" w:rsidRPr="005F437E" w:rsidRDefault="00351861" w:rsidP="00351861">
      <w:pPr>
        <w:pStyle w:val="HeadingLevel1-BarcRA"/>
      </w:pPr>
      <w:r>
        <w:rPr>
          <w:lang w:val="en-GB"/>
        </w:rPr>
        <w:br w:type="page"/>
      </w:r>
      <w:r>
        <w:t>Funding Risk</w:t>
      </w:r>
    </w:p>
    <w:tbl>
      <w:tblPr>
        <w:tblW w:w="0" w:type="auto"/>
        <w:tblLayout w:type="fixed"/>
        <w:tblLook w:val="0000" w:firstRow="0" w:lastRow="0" w:firstColumn="0" w:lastColumn="0" w:noHBand="0" w:noVBand="0"/>
      </w:tblPr>
      <w:tblGrid>
        <w:gridCol w:w="6270"/>
        <w:gridCol w:w="1125"/>
        <w:gridCol w:w="1125"/>
        <w:gridCol w:w="1125"/>
      </w:tblGrid>
      <w:tr w:rsidR="00A12DCA" w:rsidRPr="00100BF5">
        <w:tblPrEx>
          <w:tblCellMar>
            <w:top w:w="0" w:type="dxa"/>
            <w:bottom w:w="0" w:type="dxa"/>
          </w:tblCellMar>
        </w:tblPrEx>
        <w:trPr>
          <w:trHeight w:val="48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F43F2" w:rsidP="000C3F6A">
            <w:pPr>
              <w:rPr>
                <w:sz w:val="20"/>
                <w:szCs w:val="20"/>
                <w:lang w:val="en-GB"/>
              </w:rPr>
            </w:pPr>
            <w:r w:rsidRPr="00100BF5">
              <w:rPr>
                <w:b/>
                <w:sz w:val="20"/>
                <w:szCs w:val="20"/>
                <w:lang w:val="en-GB"/>
              </w:rPr>
              <w:t>Balance Sheet Leverage</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30.06.11</w:t>
            </w:r>
          </w:p>
        </w:tc>
      </w:tr>
      <w:tr w:rsidR="00A12DCA" w:rsidRPr="00100BF5" w:rsidTr="00AF43F2">
        <w:tblPrEx>
          <w:tblCellMar>
            <w:top w:w="0" w:type="dxa"/>
            <w:bottom w:w="0" w:type="dxa"/>
          </w:tblCellMar>
        </w:tblPrEx>
        <w:trPr>
          <w:trHeight w:val="103"/>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r w:rsidRPr="00100BF5">
              <w:rPr>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£m </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Total assets</w:t>
            </w:r>
            <w:r w:rsidRPr="00100BF5">
              <w:rPr>
                <w:sz w:val="16"/>
                <w:vertAlign w:val="superscript"/>
                <w:lang w:val="en-GB"/>
              </w:rPr>
              <w:t>1 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1,631,265 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1,563,527 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1,492,922 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Counterparty netting</w:t>
            </w:r>
            <w:r w:rsidRPr="00100BF5">
              <w:rPr>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(425,616)</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(440,592)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(304,097)</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Collateral on derivatives</w:t>
            </w:r>
            <w:r w:rsidRPr="00100BF5">
              <w:rPr>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(51,421)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(51,124)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(33,394)</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Net settlement balances and cash collateral</w:t>
            </w:r>
            <w:r w:rsidRPr="00100BF5">
              <w:rPr>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(97,181)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(61,913)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(84,158)</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Goodwill and intangible assets</w:t>
            </w:r>
            <w:r w:rsidRPr="00100BF5">
              <w:rPr>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(7,861)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(7,846)</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(8,541)</w:t>
            </w:r>
          </w:p>
        </w:tc>
      </w:tr>
      <w:tr w:rsidR="00A12DCA" w:rsidRPr="00100BF5">
        <w:tblPrEx>
          <w:tblCellMar>
            <w:top w:w="0" w:type="dxa"/>
            <w:bottom w:w="0" w:type="dxa"/>
          </w:tblCellMar>
        </w:tblPrEx>
        <w:trPr>
          <w:trHeight w:val="255"/>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Customer assets held under investment contracts</w:t>
            </w:r>
            <w:r w:rsidRPr="00100BF5">
              <w:rPr>
                <w:sz w:val="16"/>
                <w:vertAlign w:val="superscript"/>
                <w:lang w:val="en-GB"/>
              </w:rPr>
              <w:t>2 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(1,661)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(1,681)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(1,524)</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Adjusted total tangible assets</w:t>
            </w:r>
            <w:r w:rsidRPr="00100BF5">
              <w:rPr>
                <w:b/>
                <w:sz w:val="16"/>
                <w:vertAlign w:val="superscript"/>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1,047,525 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1,000,371 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1,061,208 </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Total qualifying Tier 1 capital</w:t>
            </w:r>
            <w:r w:rsidRPr="00100BF5">
              <w:rPr>
                <w:sz w:val="16"/>
                <w:vertAlign w:val="superscript"/>
                <w:lang w:val="en-GB"/>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52,011 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50,473 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53,533 </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Adjusted gross leverage</w:t>
            </w:r>
            <w:r w:rsidRPr="00100BF5">
              <w:rPr>
                <w:b/>
                <w:sz w:val="16"/>
                <w:vertAlign w:val="superscript"/>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20 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20 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Adjusted gross leverage (excluding liquidity pool)</w:t>
            </w:r>
            <w:r w:rsidRPr="00100BF5">
              <w:rPr>
                <w:b/>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17 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17 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Ratio of total assets to shareholders' equity</w:t>
            </w:r>
            <w:r w:rsidRPr="00100BF5">
              <w:rPr>
                <w:b/>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26 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24 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24 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Ratio of total assets to shareholders' equity (excluding liquidity pool)</w:t>
            </w:r>
            <w:r w:rsidRPr="00100BF5">
              <w:rPr>
                <w:b/>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23 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22 </w:t>
            </w:r>
          </w:p>
        </w:tc>
      </w:tr>
    </w:tbl>
    <w:p w:rsidR="00A12DCA" w:rsidRPr="00100BF5" w:rsidRDefault="00A12DCA">
      <w:pPr>
        <w:rPr>
          <w:lang w:val="en-GB"/>
        </w:rPr>
      </w:pPr>
    </w:p>
    <w:p w:rsidR="00AF43F2" w:rsidRPr="00100BF5" w:rsidRDefault="00AF43F2" w:rsidP="008247A6">
      <w:pPr>
        <w:pStyle w:val="Level1Bullet-BarcRA03"/>
        <w:rPr>
          <w:lang w:val="en-GB"/>
        </w:rPr>
      </w:pPr>
      <w:r w:rsidRPr="00100BF5">
        <w:rPr>
          <w:lang w:val="en-GB"/>
        </w:rPr>
        <w:t xml:space="preserve">Barclays continues to manage its balance sheet within limits and targets for balance sheet usage </w:t>
      </w:r>
    </w:p>
    <w:p w:rsidR="00AF43F2" w:rsidRPr="00100BF5" w:rsidRDefault="00AF43F2" w:rsidP="008247A6">
      <w:pPr>
        <w:pStyle w:val="Level1Bullet-BarcRA03"/>
        <w:rPr>
          <w:lang w:val="en-GB"/>
        </w:rPr>
      </w:pPr>
      <w:r w:rsidRPr="00100BF5">
        <w:rPr>
          <w:lang w:val="en-GB"/>
        </w:rPr>
        <w:t xml:space="preserve">Adjusted gross leverage was 20x (31 December 2011: 20x) as the 3% increase in qualifying Tier 1 capital to £52bn was offset by the 5% increase in adjusted total tangible assets to £1,048bn </w:t>
      </w:r>
    </w:p>
    <w:p w:rsidR="00AF43F2" w:rsidRPr="00100BF5" w:rsidRDefault="00AF43F2" w:rsidP="008247A6">
      <w:pPr>
        <w:pStyle w:val="Level1Bullet-BarcRA03"/>
        <w:rPr>
          <w:lang w:val="en-GB"/>
        </w:rPr>
      </w:pPr>
      <w:r w:rsidRPr="00100BF5">
        <w:rPr>
          <w:lang w:val="en-GB"/>
        </w:rPr>
        <w:t>At month ends during 2012, the ratio moved in a range from 20x to 23x (</w:t>
      </w:r>
      <w:r w:rsidR="008C1856">
        <w:rPr>
          <w:lang w:val="en-GB"/>
        </w:rPr>
        <w:t>F</w:t>
      </w:r>
      <w:r w:rsidR="00DD6AC8">
        <w:rPr>
          <w:lang w:val="en-GB"/>
        </w:rPr>
        <w:t>ull Year</w:t>
      </w:r>
      <w:r w:rsidR="008C1856">
        <w:rPr>
          <w:lang w:val="en-GB"/>
        </w:rPr>
        <w:t xml:space="preserve"> 2011: 20x to 23</w:t>
      </w:r>
      <w:r w:rsidRPr="00100BF5">
        <w:rPr>
          <w:lang w:val="en-GB"/>
        </w:rPr>
        <w:t xml:space="preserve">x) primarily due to fluctuations in collateralised reverse repurchase lending and high quality trading portfolio assets </w:t>
      </w:r>
    </w:p>
    <w:p w:rsidR="00AF43F2" w:rsidRPr="00100BF5" w:rsidRDefault="00AF43F2" w:rsidP="008247A6">
      <w:pPr>
        <w:pStyle w:val="Level1Bullet-BarcRA03"/>
        <w:rPr>
          <w:lang w:val="en-GB"/>
        </w:rPr>
      </w:pPr>
      <w:r w:rsidRPr="00100BF5">
        <w:rPr>
          <w:lang w:val="en-GB"/>
        </w:rPr>
        <w:t xml:space="preserve">Adjusted total tangible assets include cash and balances at central banks of £126.1bn (31 December 2011: £106.9bn). Excluding these balances, the balance sheet leverage would be 18x (31 December 2011: 18x). Excluding the </w:t>
      </w:r>
      <w:r w:rsidR="00733066" w:rsidRPr="00100BF5">
        <w:rPr>
          <w:lang w:val="en-GB"/>
        </w:rPr>
        <w:t>whole l</w:t>
      </w:r>
      <w:r w:rsidRPr="00100BF5">
        <w:rPr>
          <w:lang w:val="en-GB"/>
        </w:rPr>
        <w:t>iquidity pool, leverage would be 17x (31 December 2011: 17x)</w:t>
      </w:r>
    </w:p>
    <w:p w:rsidR="00AF43F2" w:rsidRPr="00100BF5" w:rsidRDefault="00AF43F2" w:rsidP="008247A6">
      <w:pPr>
        <w:pStyle w:val="Level1Bullet-BarcRA03"/>
        <w:rPr>
          <w:lang w:val="en-GB"/>
        </w:rPr>
      </w:pPr>
      <w:r w:rsidRPr="00100BF5">
        <w:rPr>
          <w:lang w:val="en-GB"/>
        </w:rPr>
        <w:t>The ratio of total assets to total shareholders’ equity was 26x (31 December 2011: 24x) and moved within a month end rang</w:t>
      </w:r>
      <w:r w:rsidR="008C1856">
        <w:rPr>
          <w:lang w:val="en-GB"/>
        </w:rPr>
        <w:t>e of 25x to 28x (F</w:t>
      </w:r>
      <w:r w:rsidR="00DD6AC8">
        <w:rPr>
          <w:lang w:val="en-GB"/>
        </w:rPr>
        <w:t>ull Year</w:t>
      </w:r>
      <w:r w:rsidR="008C1856">
        <w:rPr>
          <w:lang w:val="en-GB"/>
        </w:rPr>
        <w:t xml:space="preserve"> 2011: 24x to 28</w:t>
      </w:r>
      <w:r w:rsidRPr="00100BF5">
        <w:rPr>
          <w:lang w:val="en-GB"/>
        </w:rPr>
        <w:t>x), driven by fluctuations noted above and changes in gross interest rate derivatives and settlement balances</w:t>
      </w:r>
    </w:p>
    <w:p w:rsidR="004962C8" w:rsidRPr="0052473E" w:rsidRDefault="004962C8" w:rsidP="004962C8">
      <w:pPr>
        <w:pStyle w:val="HeadingLevel1-BarcRA25"/>
        <w:rPr>
          <w:color w:val="auto"/>
          <w:sz w:val="20"/>
          <w:lang w:val="en-GB"/>
        </w:rPr>
      </w:pPr>
      <w:r w:rsidRPr="00100BF5">
        <w:rPr>
          <w:color w:val="auto"/>
          <w:sz w:val="20"/>
        </w:rPr>
        <w:t xml:space="preserve">Implementation of Basel 3 – Impact on </w:t>
      </w:r>
      <w:r w:rsidR="0052473E">
        <w:rPr>
          <w:color w:val="auto"/>
          <w:sz w:val="20"/>
          <w:lang w:val="en-GB"/>
        </w:rPr>
        <w:t>Regulatory Capital</w:t>
      </w:r>
    </w:p>
    <w:p w:rsidR="004962C8" w:rsidRPr="00100BF5" w:rsidRDefault="004962C8" w:rsidP="008247A6">
      <w:pPr>
        <w:pStyle w:val="Level1Bullet-BarcRA03"/>
      </w:pPr>
      <w:r w:rsidRPr="00100BF5">
        <w:t>Member States, the European Commission and the European Parliament are in the process of finalising the new capital requirements regulation, capital requirements directive and associated binding technical standards (collectively known as CRD</w:t>
      </w:r>
      <w:r w:rsidR="002461E7" w:rsidRPr="00100BF5">
        <w:t>IV</w:t>
      </w:r>
      <w:r w:rsidRPr="00100BF5">
        <w:t>) that implement the Basel 3 proposals within the EU.  In summary Basel 3 and CRD</w:t>
      </w:r>
      <w:r w:rsidR="002461E7" w:rsidRPr="00100BF5">
        <w:t>IV</w:t>
      </w:r>
      <w:r w:rsidRPr="00100BF5">
        <w:t xml:space="preserve"> aims to:</w:t>
      </w:r>
    </w:p>
    <w:p w:rsidR="004962C8" w:rsidRPr="00100BF5" w:rsidRDefault="004962C8" w:rsidP="00A12F15">
      <w:pPr>
        <w:pStyle w:val="Level2Bullet-BarcRA2"/>
        <w:numPr>
          <w:ilvl w:val="2"/>
          <w:numId w:val="9"/>
        </w:numPr>
        <w:tabs>
          <w:tab w:val="num" w:pos="567"/>
        </w:tabs>
        <w:ind w:left="567" w:hanging="283"/>
        <w:rPr>
          <w:lang w:val="en-GB"/>
        </w:rPr>
      </w:pPr>
      <w:r w:rsidRPr="00100BF5">
        <w:rPr>
          <w:lang w:val="en-GB"/>
        </w:rPr>
        <w:t>Increase the quantity and quality of capital, by implementing more stringent requirements for the eligibility of capital instruments, higher minimum capital ratios and changes to the regulatory deductions from shareholders’ equity</w:t>
      </w:r>
    </w:p>
    <w:p w:rsidR="004962C8" w:rsidRPr="00100BF5" w:rsidRDefault="004962C8" w:rsidP="00A12F15">
      <w:pPr>
        <w:pStyle w:val="Level2Bullet-BarcRA2"/>
        <w:numPr>
          <w:ilvl w:val="2"/>
          <w:numId w:val="9"/>
        </w:numPr>
        <w:tabs>
          <w:tab w:val="num" w:pos="567"/>
        </w:tabs>
        <w:ind w:left="567" w:hanging="283"/>
        <w:rPr>
          <w:lang w:val="en-GB"/>
        </w:rPr>
      </w:pPr>
      <w:r w:rsidRPr="00100BF5">
        <w:rPr>
          <w:lang w:val="en-GB"/>
        </w:rPr>
        <w:t>Improve measures to address procyclicality and excessive credit growth as well as promote conservation of capital, by building up capital buffers that can be drawn down in periods of stress</w:t>
      </w:r>
    </w:p>
    <w:p w:rsidR="004962C8" w:rsidRPr="00100BF5" w:rsidRDefault="004962C8" w:rsidP="00A12F15">
      <w:pPr>
        <w:pStyle w:val="Level2Bullet-BarcRA2"/>
        <w:numPr>
          <w:ilvl w:val="2"/>
          <w:numId w:val="9"/>
        </w:numPr>
        <w:tabs>
          <w:tab w:val="num" w:pos="567"/>
        </w:tabs>
        <w:ind w:left="567" w:hanging="283"/>
        <w:rPr>
          <w:lang w:val="en-GB"/>
        </w:rPr>
      </w:pPr>
      <w:r w:rsidRPr="00100BF5">
        <w:rPr>
          <w:lang w:val="en-GB"/>
        </w:rPr>
        <w:t xml:space="preserve">Strengthen counterparty credit risk measures by introducing higher capital requirements for OTC derivative transactions and trades cleared via central counterparties </w:t>
      </w:r>
    </w:p>
    <w:p w:rsidR="004962C8" w:rsidRPr="00100BF5" w:rsidRDefault="004962C8" w:rsidP="00A12F15">
      <w:pPr>
        <w:pStyle w:val="Level2Bullet-BarcRA2"/>
        <w:numPr>
          <w:ilvl w:val="2"/>
          <w:numId w:val="9"/>
        </w:numPr>
        <w:tabs>
          <w:tab w:val="num" w:pos="567"/>
        </w:tabs>
        <w:ind w:left="567" w:hanging="283"/>
        <w:rPr>
          <w:lang w:val="en-GB"/>
        </w:rPr>
      </w:pPr>
      <w:r w:rsidRPr="00100BF5">
        <w:rPr>
          <w:lang w:val="en-GB"/>
        </w:rPr>
        <w:t>Constrain excess leverage, by introducing a non-risk based leverage ratio that acts as a supplementary measure to the risk based capital requirements</w:t>
      </w:r>
    </w:p>
    <w:p w:rsidR="004962C8" w:rsidRPr="00100BF5" w:rsidRDefault="004962C8" w:rsidP="00A12F15">
      <w:pPr>
        <w:pStyle w:val="Level2Bullet-BarcRA2"/>
        <w:numPr>
          <w:ilvl w:val="2"/>
          <w:numId w:val="9"/>
        </w:numPr>
        <w:tabs>
          <w:tab w:val="num" w:pos="567"/>
        </w:tabs>
        <w:ind w:left="567" w:hanging="283"/>
        <w:rPr>
          <w:lang w:val="en-GB"/>
        </w:rPr>
      </w:pPr>
      <w:r w:rsidRPr="00100BF5">
        <w:rPr>
          <w:lang w:val="en-GB"/>
        </w:rPr>
        <w:t>Introduce a new liquidity framework, which includes two minimum liquidity metrics: a 30-day liquidity coverage ratio which measures resilience to short-term liquidity stress, and a 1-year net stable funding ratio which measures the stability of long term structural funding</w:t>
      </w:r>
    </w:p>
    <w:p w:rsidR="00A12DCA" w:rsidRPr="00100BF5" w:rsidRDefault="004962C8" w:rsidP="004962C8">
      <w:pPr>
        <w:pStyle w:val="Level1Bullet-BarcRA15"/>
        <w:numPr>
          <w:ilvl w:val="0"/>
          <w:numId w:val="0"/>
        </w:numPr>
        <w:ind w:left="284"/>
        <w:rPr>
          <w:i/>
          <w:iCs/>
          <w:lang w:val="en-GB"/>
        </w:rPr>
      </w:pPr>
      <w:r w:rsidRPr="00100BF5">
        <w:t>The European Commission and European Parl</w:t>
      </w:r>
      <w:r w:rsidR="002461E7" w:rsidRPr="00100BF5">
        <w:t>iament were due to finalise CRD</w:t>
      </w:r>
      <w:r w:rsidR="002461E7" w:rsidRPr="00100BF5">
        <w:rPr>
          <w:lang w:val="en-GB"/>
        </w:rPr>
        <w:t>IV</w:t>
      </w:r>
      <w:r w:rsidRPr="00100BF5">
        <w:t xml:space="preserve"> by the end of July, for implementation by 1 January 2013. However, there are a number of areas still under consideration and </w:t>
      </w:r>
      <w:r w:rsidR="00733066" w:rsidRPr="00100BF5">
        <w:rPr>
          <w:lang w:val="en-GB"/>
        </w:rPr>
        <w:t>the EU requirements are not expected to be finalised until October 2012.</w:t>
      </w:r>
    </w:p>
    <w:p w:rsidR="00733066" w:rsidRPr="00100BF5" w:rsidRDefault="00733066" w:rsidP="00733066">
      <w:pPr>
        <w:pStyle w:val="NoteandSourceText-BarcRA1"/>
        <w:numPr>
          <w:ilvl w:val="0"/>
          <w:numId w:val="0"/>
        </w:numPr>
        <w:ind w:left="284"/>
      </w:pPr>
    </w:p>
    <w:p w:rsidR="00A12F15" w:rsidRPr="00100BF5" w:rsidRDefault="00A12F15" w:rsidP="00733066">
      <w:pPr>
        <w:pStyle w:val="NoteandSourceText-BarcRA1"/>
        <w:numPr>
          <w:ilvl w:val="0"/>
          <w:numId w:val="0"/>
        </w:numPr>
        <w:ind w:left="284"/>
      </w:pPr>
    </w:p>
    <w:p w:rsidR="00733066" w:rsidRPr="00100BF5" w:rsidRDefault="00733066" w:rsidP="00733066">
      <w:pPr>
        <w:pStyle w:val="NoteandSourceText-BarcRA1"/>
        <w:numPr>
          <w:ilvl w:val="0"/>
          <w:numId w:val="0"/>
        </w:numPr>
        <w:ind w:left="284"/>
        <w:rPr>
          <w:sz w:val="2"/>
          <w:szCs w:val="2"/>
        </w:rPr>
      </w:pPr>
    </w:p>
    <w:p w:rsidR="00AF72CF" w:rsidRPr="00100BF5" w:rsidRDefault="00AF72CF" w:rsidP="00733066">
      <w:pPr>
        <w:pStyle w:val="NoteandSourceText-BarcRA1"/>
        <w:numPr>
          <w:ilvl w:val="0"/>
          <w:numId w:val="0"/>
        </w:numPr>
        <w:ind w:left="284"/>
        <w:rPr>
          <w:sz w:val="2"/>
          <w:szCs w:val="2"/>
        </w:rPr>
      </w:pPr>
    </w:p>
    <w:p w:rsidR="00AF72CF" w:rsidRPr="00100BF5" w:rsidRDefault="00AF72CF" w:rsidP="00733066">
      <w:pPr>
        <w:pStyle w:val="NoteandSourceText-BarcRA1"/>
        <w:numPr>
          <w:ilvl w:val="0"/>
          <w:numId w:val="0"/>
        </w:numPr>
        <w:ind w:left="284"/>
        <w:rPr>
          <w:sz w:val="2"/>
          <w:szCs w:val="2"/>
        </w:rPr>
      </w:pPr>
    </w:p>
    <w:p w:rsidR="00AF72CF" w:rsidRPr="00100BF5" w:rsidRDefault="00AF72CF" w:rsidP="00733066">
      <w:pPr>
        <w:pStyle w:val="NoteandSourceText-BarcRA1"/>
        <w:numPr>
          <w:ilvl w:val="0"/>
          <w:numId w:val="0"/>
        </w:numPr>
        <w:ind w:left="284"/>
        <w:rPr>
          <w:sz w:val="2"/>
          <w:szCs w:val="2"/>
        </w:rPr>
      </w:pPr>
    </w:p>
    <w:p w:rsidR="00AF72CF" w:rsidRPr="00100BF5" w:rsidRDefault="00AF72CF" w:rsidP="00733066">
      <w:pPr>
        <w:pStyle w:val="NoteandSourceText-BarcRA1"/>
        <w:numPr>
          <w:ilvl w:val="0"/>
          <w:numId w:val="0"/>
        </w:numPr>
        <w:ind w:left="284"/>
        <w:rPr>
          <w:sz w:val="2"/>
          <w:szCs w:val="2"/>
        </w:rPr>
      </w:pPr>
    </w:p>
    <w:p w:rsidR="00AF72CF" w:rsidRPr="00100BF5" w:rsidRDefault="00AF72CF" w:rsidP="00733066">
      <w:pPr>
        <w:pStyle w:val="NoteandSourceText-BarcRA1"/>
        <w:numPr>
          <w:ilvl w:val="0"/>
          <w:numId w:val="0"/>
        </w:numPr>
        <w:ind w:left="284"/>
        <w:rPr>
          <w:sz w:val="2"/>
          <w:szCs w:val="2"/>
        </w:rPr>
      </w:pPr>
    </w:p>
    <w:p w:rsidR="00AF72CF" w:rsidRPr="00100BF5" w:rsidRDefault="00AF72CF" w:rsidP="00733066">
      <w:pPr>
        <w:pStyle w:val="NoteandSourceText-BarcRA1"/>
        <w:numPr>
          <w:ilvl w:val="0"/>
          <w:numId w:val="0"/>
        </w:numPr>
        <w:ind w:left="284"/>
        <w:rPr>
          <w:sz w:val="2"/>
          <w:szCs w:val="2"/>
        </w:rPr>
      </w:pPr>
    </w:p>
    <w:p w:rsidR="00A12DCA" w:rsidRPr="00100BF5" w:rsidRDefault="00A12DCA" w:rsidP="00733066">
      <w:pPr>
        <w:pStyle w:val="NoteandSourceText-BarcRA1"/>
        <w:ind w:left="284" w:hanging="284"/>
      </w:pPr>
      <w:r w:rsidRPr="00100BF5">
        <w:t>Includes Liquidity Pool £170bn (31 December 2011: £152bn).</w:t>
      </w:r>
    </w:p>
    <w:p w:rsidR="00A12DCA" w:rsidRPr="00100BF5" w:rsidRDefault="00A12DCA" w:rsidP="00A12DCA">
      <w:pPr>
        <w:pStyle w:val="NoteandSourceText-BarcRA1"/>
        <w:ind w:left="284" w:hanging="284"/>
      </w:pPr>
      <w:r w:rsidRPr="00100BF5">
        <w:t>Comprising financial assets designated at fair value and associated cash balances.</w:t>
      </w:r>
    </w:p>
    <w:p w:rsidR="00A12DCA" w:rsidRPr="00100BF5" w:rsidRDefault="00A12DCA"/>
    <w:p w:rsidR="00A12DCA" w:rsidRPr="00100BF5" w:rsidRDefault="00A12DCA">
      <w:pPr>
        <w:sectPr w:rsidR="00A12DCA" w:rsidRPr="00100BF5" w:rsidSect="00E100EB">
          <w:headerReference w:type="default" r:id="rId26"/>
          <w:pgSz w:w="11905" w:h="16837"/>
          <w:pgMar w:top="851" w:right="1134" w:bottom="567" w:left="1134" w:header="851" w:footer="567" w:gutter="0"/>
          <w:cols w:space="708"/>
        </w:sectPr>
      </w:pPr>
    </w:p>
    <w:p w:rsidR="005F437E" w:rsidRDefault="005F437E" w:rsidP="005F437E">
      <w:pPr>
        <w:pStyle w:val="HeadingLevel1-BarcRA"/>
      </w:pPr>
      <w:r>
        <w:t>Funding Risk</w:t>
      </w:r>
    </w:p>
    <w:p w:rsidR="00A12DCA" w:rsidRPr="00100BF5" w:rsidRDefault="000C3F6A" w:rsidP="000C3F6A">
      <w:pPr>
        <w:pStyle w:val="HeadingLevel2-BarcRA2"/>
        <w:spacing w:before="0"/>
        <w:rPr>
          <w:color w:val="auto"/>
        </w:rPr>
      </w:pPr>
      <w:r>
        <w:rPr>
          <w:color w:val="auto"/>
        </w:rPr>
        <w:t xml:space="preserve">Funding </w:t>
      </w:r>
      <w:r>
        <w:rPr>
          <w:color w:val="auto"/>
          <w:lang w:val="en-GB"/>
        </w:rPr>
        <w:t>and</w:t>
      </w:r>
      <w:r w:rsidR="00A12DCA" w:rsidRPr="00100BF5">
        <w:rPr>
          <w:color w:val="auto"/>
        </w:rPr>
        <w:t xml:space="preserve"> Liquidity</w:t>
      </w:r>
    </w:p>
    <w:p w:rsidR="00A12DCA" w:rsidRPr="00100BF5" w:rsidRDefault="00A12DCA" w:rsidP="00A12DCA">
      <w:pPr>
        <w:pStyle w:val="BodyText-BarcRA35"/>
      </w:pPr>
      <w:r w:rsidRPr="00100BF5">
        <w:t xml:space="preserve">Barclays has a comprehensive Liquidity Risk Management Framework (the Liquidity Framework) for managing the Group’s liquidity risk. The Liquidity Framework meets the FSA’s standards and is designed to ensure that the Group maintains sufficient financial resources of appropriate quality for the Group’s funding profile. This is achieved via a combination of policy formation, review and governance, analysis, stress testing, limit setting and monitoring. Together, these meet internal and regulatory requirements.  </w:t>
      </w:r>
    </w:p>
    <w:p w:rsidR="00A12DCA" w:rsidRPr="00100BF5" w:rsidRDefault="00A12DCA" w:rsidP="00A12DCA">
      <w:pPr>
        <w:pStyle w:val="BodyText-BarcRA35"/>
      </w:pPr>
      <w:r w:rsidRPr="00100BF5">
        <w:t xml:space="preserve">Regulatory requirements are complied with at the Group and entity level, with the Liquidity Risk Appetite (LRA) providing a consistent Group wide perspective that supplements these requirements.  Under the Liquidity Framework, the Group has established the LRA, which is the level of liquidity risk the Group chooses to take in pursuit of its business objectives and in meeting its regulatory obligations. The LRA </w:t>
      </w:r>
      <w:r w:rsidR="00733066" w:rsidRPr="00100BF5">
        <w:t xml:space="preserve">is </w:t>
      </w:r>
      <w:r w:rsidRPr="00100BF5">
        <w:t>measured with reference to the liquidity pool as a percentage of anticipated stressed net contractual and contingent outflows for each of three stress scenarios.</w:t>
      </w:r>
    </w:p>
    <w:p w:rsidR="00A12DCA" w:rsidRPr="00100BF5" w:rsidRDefault="00A12DCA" w:rsidP="00A12DCA">
      <w:pPr>
        <w:pStyle w:val="BodyText-BarcRA35"/>
      </w:pPr>
      <w:r w:rsidRPr="00100BF5">
        <w:t>The stress outflows are used to determine the size of the Group liquidity pool, which represents those resources immediately available to meet outflows in a stress.  In addition to the liquidity pool, the Liquidity Framework provides for other management actions, including generating liquidity from other liquid assets on the Group’s balance sheet in order to meet additional stress outflows, or to preserve or restore the liquidity pool in the event of a liquidity stress.</w:t>
      </w:r>
    </w:p>
    <w:p w:rsidR="00A12DCA" w:rsidRPr="00100BF5" w:rsidRDefault="00A12DCA" w:rsidP="00A12DCA">
      <w:pPr>
        <w:pStyle w:val="HeadingLevel2-BarcRA3"/>
        <w:rPr>
          <w:color w:val="auto"/>
        </w:rPr>
      </w:pPr>
      <w:r w:rsidRPr="00100BF5">
        <w:rPr>
          <w:color w:val="auto"/>
        </w:rPr>
        <w:t>Liquidity Pool</w:t>
      </w:r>
    </w:p>
    <w:p w:rsidR="00A12DCA" w:rsidRPr="00100BF5" w:rsidRDefault="00A12DCA" w:rsidP="00A12DCA">
      <w:pPr>
        <w:pStyle w:val="BodyText-BarcRA36"/>
      </w:pPr>
      <w:r w:rsidRPr="00100BF5">
        <w:t>The Group liquidity pool as at 30 June 2012 was £170bn (31 December 31 2011: £152bn) which is towards the top of the month-end range for the period of £152bn to £173bn (</w:t>
      </w:r>
      <w:r w:rsidR="00E75094">
        <w:t xml:space="preserve">Full Year </w:t>
      </w:r>
      <w:r w:rsidRPr="00100BF5">
        <w:t>2011: £140bn to £167bn). The liquidity pool is held unencumbered and is not used to support payment or clearing requirements.  Such requirements are treated as part of our regular business funding. The liquidity pool is intended to offset stress outflows and comprises the following cash and unencumbered assets.</w:t>
      </w:r>
    </w:p>
    <w:p w:rsidR="00A12DCA" w:rsidRPr="00100BF5" w:rsidRDefault="00A12DCA"/>
    <w:tbl>
      <w:tblPr>
        <w:tblW w:w="0" w:type="auto"/>
        <w:tblLayout w:type="fixed"/>
        <w:tblLook w:val="0000" w:firstRow="0" w:lastRow="0" w:firstColumn="0" w:lastColumn="0" w:noHBand="0" w:noVBand="0"/>
      </w:tblPr>
      <w:tblGrid>
        <w:gridCol w:w="4500"/>
        <w:gridCol w:w="1290"/>
        <w:gridCol w:w="1290"/>
        <w:gridCol w:w="1290"/>
        <w:gridCol w:w="1290"/>
      </w:tblGrid>
      <w:tr w:rsidR="00A12DCA" w:rsidRPr="00100BF5" w:rsidTr="00D123CC">
        <w:tblPrEx>
          <w:tblCellMar>
            <w:top w:w="0" w:type="dxa"/>
            <w:bottom w:w="0" w:type="dxa"/>
          </w:tblCellMar>
        </w:tblPrEx>
        <w:trPr>
          <w:trHeight w:val="441"/>
        </w:trPr>
        <w:tc>
          <w:tcPr>
            <w:tcW w:w="4500"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sz w:val="16"/>
              </w:rPr>
              <w:t xml:space="preserve"> </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Cash and Deposits with Central Banks</w:t>
            </w:r>
            <w:r w:rsidRPr="00100BF5">
              <w:rPr>
                <w:b/>
                <w:sz w:val="16"/>
                <w:vertAlign w:val="superscript"/>
              </w:rPr>
              <w:t>1 </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Government Bonds</w:t>
            </w:r>
            <w:r w:rsidRPr="00100BF5">
              <w:rPr>
                <w:b/>
                <w:sz w:val="16"/>
                <w:vertAlign w:val="superscript"/>
              </w:rPr>
              <w:t>2 </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Other Available Liquidity</w:t>
            </w:r>
          </w:p>
        </w:tc>
        <w:tc>
          <w:tcPr>
            <w:tcW w:w="12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r w:rsidRPr="00100BF5">
              <w:rPr>
                <w:b/>
                <w:sz w:val="16"/>
                <w:vertAlign w:val="superscript"/>
              </w:rPr>
              <w:t>3 </w:t>
            </w:r>
          </w:p>
        </w:tc>
      </w:tr>
      <w:tr w:rsidR="00A12DCA" w:rsidRPr="00100BF5" w:rsidTr="006A554C">
        <w:tblPrEx>
          <w:tblCellMar>
            <w:top w:w="0" w:type="dxa"/>
            <w:bottom w:w="0" w:type="dxa"/>
          </w:tblCellMar>
        </w:tblPrEx>
        <w:trPr>
          <w:trHeight w:val="240"/>
        </w:trPr>
        <w:tc>
          <w:tcPr>
            <w:tcW w:w="45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sz w:val="16"/>
              </w:rPr>
              <w:t>£bn</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£bn</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£bn</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45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rPr>
                <w:sz w:val="16"/>
                <w:vertAlign w:val="superscript"/>
              </w:rPr>
            </w:pPr>
            <w:r w:rsidRPr="00100BF5">
              <w:rPr>
                <w:b/>
                <w:sz w:val="16"/>
              </w:rPr>
              <w:t>As at 30.06.12</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12</w:t>
            </w:r>
            <w:r w:rsidR="003B1B94" w:rsidRPr="00100BF5">
              <w:rPr>
                <w:b/>
                <w:sz w:val="16"/>
              </w:rPr>
              <w:t>4</w:t>
            </w:r>
            <w:r w:rsidRPr="00100BF5">
              <w:rPr>
                <w:b/>
                <w:sz w:val="16"/>
              </w:rPr>
              <w:t> </w:t>
            </w:r>
            <w:r w:rsidRPr="00100BF5">
              <w:rPr>
                <w:b/>
                <w:sz w:val="16"/>
                <w:vertAlign w:val="superscript"/>
              </w:rPr>
              <w:t xml:space="preserve"> </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6A554C">
            <w:pPr>
              <w:jc w:val="right"/>
              <w:rPr>
                <w:b/>
                <w:sz w:val="16"/>
                <w:vertAlign w:val="superscript"/>
              </w:rPr>
            </w:pPr>
            <w:r w:rsidRPr="00100BF5">
              <w:rPr>
                <w:b/>
                <w:sz w:val="16"/>
              </w:rPr>
              <w:t>32 </w:t>
            </w:r>
            <w:r w:rsidRPr="00100BF5">
              <w:rPr>
                <w:b/>
                <w:sz w:val="16"/>
                <w:vertAlign w:val="superscript"/>
              </w:rPr>
              <w:t xml:space="preserve"> </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6A554C">
            <w:pPr>
              <w:jc w:val="right"/>
              <w:rPr>
                <w:b/>
                <w:sz w:val="16"/>
                <w:vertAlign w:val="superscript"/>
              </w:rPr>
            </w:pPr>
            <w:r w:rsidRPr="00100BF5">
              <w:rPr>
                <w:b/>
                <w:sz w:val="16"/>
              </w:rPr>
              <w:t>1</w:t>
            </w:r>
            <w:r w:rsidR="003B1B94" w:rsidRPr="00100BF5">
              <w:rPr>
                <w:b/>
                <w:sz w:val="16"/>
              </w:rPr>
              <w:t>4</w:t>
            </w:r>
            <w:r w:rsidRPr="00100BF5">
              <w:rPr>
                <w:b/>
                <w:sz w:val="16"/>
              </w:rPr>
              <w:t> </w:t>
            </w:r>
          </w:p>
        </w:tc>
        <w:tc>
          <w:tcPr>
            <w:tcW w:w="1290" w:type="dxa"/>
            <w:tcBorders>
              <w:top w:val="single" w:sz="6" w:space="0" w:color="969696"/>
              <w:left w:val="nil"/>
              <w:bottom w:val="single" w:sz="6" w:space="0" w:color="FFFFFF"/>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170 </w:t>
            </w:r>
            <w:r w:rsidRPr="00100BF5">
              <w:rPr>
                <w:b/>
                <w:sz w:val="16"/>
                <w:vertAlign w:val="superscript"/>
              </w:rPr>
              <w:t xml:space="preserve"> </w:t>
            </w:r>
          </w:p>
        </w:tc>
      </w:tr>
      <w:tr w:rsidR="00A12DCA" w:rsidRPr="00100BF5" w:rsidTr="006A554C">
        <w:tblPrEx>
          <w:tblCellMar>
            <w:top w:w="0" w:type="dxa"/>
            <w:bottom w:w="0" w:type="dxa"/>
          </w:tblCellMar>
        </w:tblPrEx>
        <w:trPr>
          <w:trHeight w:val="240"/>
        </w:trPr>
        <w:tc>
          <w:tcPr>
            <w:tcW w:w="450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b/>
                <w:sz w:val="16"/>
                <w:vertAlign w:val="superscript"/>
              </w:rPr>
            </w:pPr>
            <w:r w:rsidRPr="00100BF5">
              <w:rPr>
                <w:sz w:val="16"/>
              </w:rPr>
              <w:t>As at 31.12.11</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105 </w:t>
            </w:r>
            <w:r w:rsidRPr="00100BF5">
              <w:rPr>
                <w:sz w:val="16"/>
                <w:vertAlign w:val="superscript"/>
              </w:rPr>
              <w:t xml:space="preserve"> </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36 </w:t>
            </w:r>
            <w:r w:rsidRPr="00100BF5">
              <w:rPr>
                <w:sz w:val="16"/>
                <w:vertAlign w:val="superscript"/>
              </w:rPr>
              <w:t xml:space="preserve"> </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11 </w:t>
            </w:r>
          </w:p>
        </w:tc>
        <w:tc>
          <w:tcPr>
            <w:tcW w:w="1290" w:type="dxa"/>
            <w:tcBorders>
              <w:top w:val="single" w:sz="6" w:space="0" w:color="FFFFFF"/>
              <w:left w:val="nil"/>
              <w:bottom w:val="single" w:sz="6" w:space="0" w:color="FFFFFF"/>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152 </w:t>
            </w:r>
            <w:r w:rsidRPr="00100BF5">
              <w:rPr>
                <w:sz w:val="16"/>
                <w:vertAlign w:val="superscript"/>
              </w:rPr>
              <w:t xml:space="preserve"> </w:t>
            </w:r>
          </w:p>
        </w:tc>
      </w:tr>
    </w:tbl>
    <w:p w:rsidR="00A12DCA" w:rsidRPr="00100BF5" w:rsidRDefault="00A12DCA"/>
    <w:p w:rsidR="00A12DCA" w:rsidRPr="00100BF5" w:rsidRDefault="00A12DCA" w:rsidP="00A12DCA">
      <w:pPr>
        <w:pStyle w:val="HeadingLevel2-BarcRA4"/>
        <w:rPr>
          <w:color w:val="auto"/>
        </w:rPr>
      </w:pPr>
      <w:r w:rsidRPr="00100BF5">
        <w:rPr>
          <w:color w:val="auto"/>
        </w:rPr>
        <w:t>Liquidity Stress Testing</w:t>
      </w:r>
    </w:p>
    <w:p w:rsidR="00A12DCA" w:rsidRPr="00100BF5" w:rsidRDefault="00A12DCA" w:rsidP="00A12DCA">
      <w:pPr>
        <w:pStyle w:val="BodyText-BarcRA37"/>
      </w:pPr>
      <w:r w:rsidRPr="00100BF5">
        <w:t>Under the Liquidity Framework, the Group has established a Liquidity Risk Appetite (LRA), which is measured with reference to the liquidity pool as a percentage of anticipated stressed net contractual and contingent outflows for each of three stress scenarios. These scenarios are aligned to the FSA’s prescribed stresses and cover a market-wide stress event, a Barclays-specific stress event and a combination of the two. Under normal market conditions, the liquidity pool must be in excess of 100% of three months’ anticipated outflows for a market-wide stress and one month’s anticipated outflows for each of the Barclays-specific and combined stresses. As at 30 June 2012, the liquidity pool as a percentage of the anticipated net outflows under each of the stress scenarios was:</w:t>
      </w:r>
    </w:p>
    <w:p w:rsidR="00A12DCA" w:rsidRPr="00100BF5" w:rsidRDefault="00A12DCA"/>
    <w:tbl>
      <w:tblPr>
        <w:tblW w:w="0" w:type="auto"/>
        <w:tblLayout w:type="fixed"/>
        <w:tblLook w:val="0000" w:firstRow="0" w:lastRow="0" w:firstColumn="0" w:lastColumn="0" w:noHBand="0" w:noVBand="0"/>
      </w:tblPr>
      <w:tblGrid>
        <w:gridCol w:w="5025"/>
        <w:gridCol w:w="1440"/>
        <w:gridCol w:w="150"/>
        <w:gridCol w:w="1440"/>
        <w:gridCol w:w="150"/>
        <w:gridCol w:w="1440"/>
      </w:tblGrid>
      <w:tr w:rsidR="00A12DCA" w:rsidRPr="00100BF5">
        <w:tblPrEx>
          <w:tblCellMar>
            <w:top w:w="0" w:type="dxa"/>
            <w:bottom w:w="0" w:type="dxa"/>
          </w:tblCellMar>
        </w:tblPrEx>
        <w:trPr>
          <w:trHeight w:val="240"/>
        </w:trPr>
        <w:tc>
          <w:tcPr>
            <w:tcW w:w="502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sz w:val="16"/>
              </w:rPr>
              <w:t xml:space="preserve"> </w:t>
            </w:r>
          </w:p>
        </w:tc>
        <w:tc>
          <w:tcPr>
            <w:tcW w:w="144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Market wide</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44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Barclays-specific</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44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Combined</w:t>
            </w:r>
          </w:p>
        </w:tc>
      </w:tr>
      <w:tr w:rsidR="00A12DCA" w:rsidRPr="00100BF5">
        <w:tblPrEx>
          <w:tblCellMar>
            <w:top w:w="0" w:type="dxa"/>
            <w:bottom w:w="0" w:type="dxa"/>
          </w:tblCellMar>
        </w:tblPrEx>
        <w:trPr>
          <w:trHeight w:val="240"/>
        </w:trPr>
        <w:tc>
          <w:tcPr>
            <w:tcW w:w="50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Liquidity pool as a percentage of anticipated net outflows</w:t>
            </w:r>
          </w:p>
        </w:tc>
        <w:tc>
          <w:tcPr>
            <w:tcW w:w="14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 month</w:t>
            </w:r>
          </w:p>
        </w:tc>
        <w:tc>
          <w:tcPr>
            <w:tcW w:w="1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4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 month</w:t>
            </w:r>
          </w:p>
        </w:tc>
        <w:tc>
          <w:tcPr>
            <w:tcW w:w="1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4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 month</w:t>
            </w:r>
          </w:p>
        </w:tc>
      </w:tr>
      <w:tr w:rsidR="00A12DCA" w:rsidRPr="00100BF5">
        <w:tblPrEx>
          <w:tblCellMar>
            <w:top w:w="0" w:type="dxa"/>
            <w:bottom w:w="0" w:type="dxa"/>
          </w:tblCellMar>
        </w:tblPrEx>
        <w:trPr>
          <w:trHeight w:val="240"/>
        </w:trPr>
        <w:tc>
          <w:tcPr>
            <w:tcW w:w="50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rPr>
                <w:b/>
                <w:sz w:val="16"/>
              </w:rPr>
            </w:pPr>
            <w:r w:rsidRPr="00100BF5">
              <w:rPr>
                <w:b/>
                <w:sz w:val="16"/>
              </w:rPr>
              <w:t>As at 30.06.12</w:t>
            </w:r>
          </w:p>
        </w:tc>
        <w:tc>
          <w:tcPr>
            <w:tcW w:w="14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141%</w:t>
            </w:r>
          </w:p>
        </w:tc>
        <w:tc>
          <w:tcPr>
            <w:tcW w:w="1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w:t>
            </w:r>
          </w:p>
        </w:tc>
        <w:tc>
          <w:tcPr>
            <w:tcW w:w="14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115%</w:t>
            </w:r>
          </w:p>
        </w:tc>
        <w:tc>
          <w:tcPr>
            <w:tcW w:w="1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w:t>
            </w:r>
          </w:p>
        </w:tc>
        <w:tc>
          <w:tcPr>
            <w:tcW w:w="144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124%</w:t>
            </w:r>
          </w:p>
        </w:tc>
      </w:tr>
      <w:tr w:rsidR="00A12DCA" w:rsidRPr="00100BF5">
        <w:tblPrEx>
          <w:tblCellMar>
            <w:top w:w="0" w:type="dxa"/>
            <w:bottom w:w="0" w:type="dxa"/>
          </w:tblCellMar>
        </w:tblPrEx>
        <w:trPr>
          <w:trHeight w:val="240"/>
        </w:trPr>
        <w:tc>
          <w:tcPr>
            <w:tcW w:w="50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As at 31.12.11</w:t>
            </w:r>
          </w:p>
        </w:tc>
        <w:tc>
          <w:tcPr>
            <w:tcW w:w="144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127%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44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107%</w:t>
            </w:r>
          </w:p>
        </w:tc>
        <w:tc>
          <w:tcPr>
            <w:tcW w:w="1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44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118%</w:t>
            </w:r>
          </w:p>
        </w:tc>
      </w:tr>
    </w:tbl>
    <w:p w:rsidR="00A12DCA" w:rsidRPr="00100BF5" w:rsidRDefault="00A12DCA"/>
    <w:p w:rsidR="00A12DCA" w:rsidRPr="00100BF5" w:rsidRDefault="00A12DCA" w:rsidP="00A12DCA">
      <w:pPr>
        <w:pStyle w:val="BodyText-BarcRA310"/>
      </w:pPr>
      <w:r w:rsidRPr="00100BF5">
        <w:t>The Group also monitors compliance against anticipated Basel 3 metrics, including the Liquidity Coverage Ratio (LCR) and the Net Stable Funding Ratio (NSFR). As at 30 June 2012, the Group met 97% of the expected LCR requirement (31 December 2011: 82%) and was compliant with the expected NSFR requirement at 101% (31 December 2011: 97%).  The Group is on track to exceed 100% of the requirements under Basel 3 for both ratios required by 2015 and 2018 respectively.</w:t>
      </w:r>
    </w:p>
    <w:p w:rsidR="00A12DCA" w:rsidRPr="00100BF5" w:rsidRDefault="00A12DCA"/>
    <w:p w:rsidR="004962C8" w:rsidRPr="00100BF5" w:rsidRDefault="004962C8" w:rsidP="00A12DCA">
      <w:pPr>
        <w:pStyle w:val="NoteSourceText-BarcRA2"/>
      </w:pPr>
    </w:p>
    <w:p w:rsidR="004962C8" w:rsidRPr="00100BF5" w:rsidRDefault="004962C8" w:rsidP="00A12DCA">
      <w:pPr>
        <w:pStyle w:val="NoteSourceText-BarcRA2"/>
      </w:pPr>
    </w:p>
    <w:p w:rsidR="004962C8" w:rsidRPr="00100BF5" w:rsidRDefault="004962C8" w:rsidP="00A12DCA">
      <w:pPr>
        <w:pStyle w:val="NoteSourceText-BarcRA2"/>
        <w:rPr>
          <w:sz w:val="2"/>
          <w:szCs w:val="2"/>
        </w:rPr>
      </w:pPr>
    </w:p>
    <w:p w:rsidR="00AF72CF" w:rsidRPr="00100BF5" w:rsidRDefault="00AF72CF" w:rsidP="00A12DCA">
      <w:pPr>
        <w:pStyle w:val="NoteSourceText-BarcRA2"/>
        <w:rPr>
          <w:sz w:val="2"/>
          <w:szCs w:val="2"/>
        </w:rPr>
      </w:pPr>
    </w:p>
    <w:p w:rsidR="00AF72CF" w:rsidRPr="00100BF5" w:rsidRDefault="00AF72CF" w:rsidP="00A12DCA">
      <w:pPr>
        <w:pStyle w:val="NoteSourceText-BarcRA2"/>
        <w:rPr>
          <w:sz w:val="2"/>
          <w:szCs w:val="2"/>
        </w:rPr>
      </w:pPr>
    </w:p>
    <w:p w:rsidR="00AF72CF" w:rsidRPr="00100BF5" w:rsidRDefault="00AF72CF" w:rsidP="00A12DCA">
      <w:pPr>
        <w:pStyle w:val="NoteSourceText-BarcRA2"/>
        <w:rPr>
          <w:sz w:val="2"/>
          <w:szCs w:val="2"/>
        </w:rPr>
      </w:pPr>
    </w:p>
    <w:p w:rsidR="00AF72CF" w:rsidRPr="00100BF5" w:rsidRDefault="00AF72CF" w:rsidP="00A12DCA">
      <w:pPr>
        <w:pStyle w:val="NoteSourceText-BarcRA2"/>
        <w:rPr>
          <w:sz w:val="2"/>
          <w:szCs w:val="2"/>
        </w:rPr>
      </w:pPr>
    </w:p>
    <w:p w:rsidR="00AF72CF" w:rsidRPr="00100BF5" w:rsidRDefault="00AF72CF" w:rsidP="00A12DCA">
      <w:pPr>
        <w:pStyle w:val="NoteSourceText-BarcRA2"/>
        <w:rPr>
          <w:sz w:val="2"/>
          <w:szCs w:val="2"/>
        </w:rPr>
      </w:pPr>
    </w:p>
    <w:p w:rsidR="00AF72CF" w:rsidRPr="00100BF5" w:rsidRDefault="00AF72CF" w:rsidP="00A12DCA">
      <w:pPr>
        <w:pStyle w:val="NoteSourceText-BarcRA2"/>
        <w:rPr>
          <w:sz w:val="2"/>
          <w:szCs w:val="2"/>
        </w:rPr>
      </w:pPr>
    </w:p>
    <w:p w:rsidR="00AF72CF" w:rsidRDefault="00AF72CF" w:rsidP="00A12DCA">
      <w:pPr>
        <w:pStyle w:val="NoteSourceText-BarcRA2"/>
        <w:rPr>
          <w:sz w:val="2"/>
          <w:szCs w:val="2"/>
        </w:rPr>
      </w:pPr>
    </w:p>
    <w:p w:rsidR="000C3F6A" w:rsidRDefault="000C3F6A" w:rsidP="00A12DCA">
      <w:pPr>
        <w:pStyle w:val="NoteSourceText-BarcRA2"/>
        <w:rPr>
          <w:sz w:val="2"/>
          <w:szCs w:val="2"/>
        </w:rPr>
      </w:pPr>
    </w:p>
    <w:p w:rsidR="000C3F6A" w:rsidRDefault="000C3F6A" w:rsidP="00A12DCA">
      <w:pPr>
        <w:pStyle w:val="NoteSourceText-BarcRA2"/>
        <w:rPr>
          <w:sz w:val="2"/>
          <w:szCs w:val="2"/>
        </w:rPr>
      </w:pPr>
    </w:p>
    <w:p w:rsidR="000C3F6A" w:rsidRDefault="000C3F6A" w:rsidP="00A12DCA">
      <w:pPr>
        <w:pStyle w:val="NoteSourceText-BarcRA2"/>
        <w:rPr>
          <w:sz w:val="2"/>
          <w:szCs w:val="2"/>
        </w:rPr>
      </w:pPr>
    </w:p>
    <w:p w:rsidR="000C3F6A" w:rsidRDefault="000C3F6A" w:rsidP="00A12DCA">
      <w:pPr>
        <w:pStyle w:val="NoteSourceText-BarcRA2"/>
        <w:rPr>
          <w:sz w:val="2"/>
          <w:szCs w:val="2"/>
        </w:rPr>
      </w:pPr>
    </w:p>
    <w:p w:rsidR="000C3F6A" w:rsidRPr="00100BF5" w:rsidRDefault="000C3F6A" w:rsidP="00A12DCA">
      <w:pPr>
        <w:pStyle w:val="NoteSourceText-BarcRA2"/>
        <w:rPr>
          <w:sz w:val="2"/>
          <w:szCs w:val="2"/>
        </w:rPr>
      </w:pPr>
    </w:p>
    <w:p w:rsidR="00A12DCA" w:rsidRPr="00100BF5" w:rsidRDefault="00A12DCA" w:rsidP="00A12DCA">
      <w:pPr>
        <w:pStyle w:val="NoteSourceText-BarcRA2"/>
      </w:pPr>
      <w:r w:rsidRPr="00100BF5">
        <w:t>1</w:t>
      </w:r>
      <w:r w:rsidRPr="00100BF5">
        <w:tab/>
        <w:t xml:space="preserve">Of which over 95% (31 December 2011: </w:t>
      </w:r>
      <w:r w:rsidR="003B1B94" w:rsidRPr="00100BF5">
        <w:t xml:space="preserve">over </w:t>
      </w:r>
      <w:r w:rsidRPr="00100BF5">
        <w:t>95%) is placed with the Bank of England, US Federal Reserve, European Central Bank, Bank of Japan and Swiss National Bank.</w:t>
      </w:r>
      <w:r w:rsidRPr="00100BF5">
        <w:tab/>
      </w:r>
    </w:p>
    <w:p w:rsidR="00A12DCA" w:rsidRPr="00100BF5" w:rsidRDefault="00A12DCA" w:rsidP="00A12DCA">
      <w:pPr>
        <w:pStyle w:val="NoteSourceText-BarcRA2"/>
      </w:pPr>
      <w:r w:rsidRPr="00100BF5">
        <w:t>2</w:t>
      </w:r>
      <w:r w:rsidRPr="00100BF5">
        <w:tab/>
        <w:t xml:space="preserve">Of which </w:t>
      </w:r>
      <w:r w:rsidR="000F3AC9" w:rsidRPr="00100BF5">
        <w:t xml:space="preserve">over </w:t>
      </w:r>
      <w:r w:rsidRPr="00100BF5">
        <w:t>70% (31 December 2011:</w:t>
      </w:r>
      <w:r w:rsidR="00733066" w:rsidRPr="00100BF5">
        <w:t xml:space="preserve"> over</w:t>
      </w:r>
      <w:r w:rsidRPr="00100BF5">
        <w:t xml:space="preserve"> 80%) are comprised of UK, US, Japanese, French, German</w:t>
      </w:r>
      <w:r w:rsidR="001A77E4" w:rsidRPr="00100BF5">
        <w:t>, Danish</w:t>
      </w:r>
      <w:r w:rsidRPr="00100BF5">
        <w:t xml:space="preserve"> and Dutch securities.</w:t>
      </w:r>
    </w:p>
    <w:p w:rsidR="00A12DCA" w:rsidRPr="00100BF5" w:rsidRDefault="00A12DCA" w:rsidP="00A12DCA">
      <w:pPr>
        <w:pStyle w:val="NoteSourceText-BarcRA2"/>
        <w:ind w:left="0" w:firstLine="0"/>
      </w:pPr>
      <w:r w:rsidRPr="00100BF5">
        <w:t>3</w:t>
      </w:r>
      <w:r w:rsidRPr="00100BF5">
        <w:tab/>
        <w:t>£149bn (31 December 2011:</w:t>
      </w:r>
      <w:r w:rsidR="003B1B94" w:rsidRPr="00100BF5">
        <w:t xml:space="preserve"> </w:t>
      </w:r>
      <w:r w:rsidRPr="00100BF5">
        <w:t>£140bn) of which is FSA eligible.</w:t>
      </w:r>
    </w:p>
    <w:p w:rsidR="00A12DCA" w:rsidRPr="00100BF5" w:rsidRDefault="00A12DCA" w:rsidP="005F437E">
      <w:pPr>
        <w:pStyle w:val="HeadingLevel1-BarcRA"/>
      </w:pPr>
      <w:r w:rsidRPr="00100BF5">
        <w:br w:type="page"/>
      </w:r>
      <w:r w:rsidR="005F437E">
        <w:t>Funding Risk</w:t>
      </w:r>
    </w:p>
    <w:tbl>
      <w:tblPr>
        <w:tblW w:w="0" w:type="auto"/>
        <w:tblLayout w:type="fixed"/>
        <w:tblLook w:val="0000" w:firstRow="0" w:lastRow="0" w:firstColumn="0" w:lastColumn="0" w:noHBand="0" w:noVBand="0"/>
      </w:tblPr>
      <w:tblGrid>
        <w:gridCol w:w="3705"/>
        <w:gridCol w:w="1293"/>
        <w:gridCol w:w="567"/>
        <w:gridCol w:w="425"/>
        <w:gridCol w:w="595"/>
        <w:gridCol w:w="1020"/>
        <w:gridCol w:w="1020"/>
        <w:gridCol w:w="1020"/>
      </w:tblGrid>
      <w:tr w:rsidR="00A12DCA" w:rsidRPr="00100BF5" w:rsidTr="000F3AC9">
        <w:tblPrEx>
          <w:tblCellMar>
            <w:top w:w="0" w:type="dxa"/>
            <w:bottom w:w="0" w:type="dxa"/>
          </w:tblCellMar>
        </w:tblPrEx>
        <w:trPr>
          <w:trHeight w:val="285"/>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0C3F6A">
            <w:r w:rsidRPr="00100BF5">
              <w:rPr>
                <w:b/>
                <w:sz w:val="20"/>
              </w:rPr>
              <w:t>Deposit Funding</w:t>
            </w:r>
            <w:r w:rsidRPr="00100BF5">
              <w:rPr>
                <w:b/>
                <w:sz w:val="20"/>
                <w:vertAlign w:val="superscript"/>
              </w:rPr>
              <w:t xml:space="preserve"> </w:t>
            </w:r>
          </w:p>
        </w:tc>
        <w:tc>
          <w:tcPr>
            <w:tcW w:w="1860" w:type="dxa"/>
            <w:gridSpan w:val="2"/>
            <w:tcBorders>
              <w:top w:val="nil"/>
              <w:left w:val="nil"/>
              <w:bottom w:val="nil"/>
              <w:right w:val="nil"/>
            </w:tcBorders>
            <w:shd w:val="clear" w:color="auto" w:fill="FFFFFF"/>
            <w:tcMar>
              <w:left w:w="36" w:type="dxa"/>
              <w:right w:w="36" w:type="dxa"/>
            </w:tcMar>
            <w:vAlign w:val="bottom"/>
          </w:tcPr>
          <w:p w:rsidR="00A12DCA" w:rsidRPr="00100BF5" w:rsidRDefault="00A12DCA">
            <w:pPr>
              <w:jc w:val="both"/>
              <w:rPr>
                <w:b/>
                <w:sz w:val="20"/>
                <w:vertAlign w:val="superscript"/>
              </w:rPr>
            </w:pPr>
            <w:r w:rsidRPr="00100BF5">
              <w:rPr>
                <w:b/>
                <w:sz w:val="20"/>
              </w:rPr>
              <w:t xml:space="preserve"> </w:t>
            </w:r>
          </w:p>
        </w:tc>
        <w:tc>
          <w:tcPr>
            <w:tcW w:w="1020" w:type="dxa"/>
            <w:gridSpan w:val="2"/>
            <w:tcBorders>
              <w:top w:val="nil"/>
              <w:left w:val="nil"/>
              <w:right w:val="nil"/>
            </w:tcBorders>
            <w:shd w:val="clear" w:color="auto" w:fill="FFFFFF"/>
            <w:tcMar>
              <w:left w:w="36" w:type="dxa"/>
              <w:right w:w="36" w:type="dxa"/>
            </w:tcMar>
            <w:vAlign w:val="bottom"/>
          </w:tcPr>
          <w:p w:rsidR="00A12DCA" w:rsidRPr="00100BF5" w:rsidRDefault="00A12DCA">
            <w:pPr>
              <w:rPr>
                <w:b/>
                <w:sz w:val="20"/>
              </w:rPr>
            </w:pPr>
            <w:r w:rsidRPr="00100BF5">
              <w:rPr>
                <w:rFonts w:ascii="Barclays Sans" w:eastAsia="Barclays Sans" w:hAnsi="Barclays Sans" w:cs="Barclays Sans"/>
                <w:sz w:val="16"/>
              </w:rPr>
              <w:t xml:space="preserve"> </w:t>
            </w:r>
          </w:p>
        </w:tc>
        <w:tc>
          <w:tcPr>
            <w:tcW w:w="1020" w:type="dxa"/>
            <w:tcBorders>
              <w:top w:val="nil"/>
              <w:left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020" w:type="dxa"/>
            <w:tcBorders>
              <w:top w:val="nil"/>
              <w:left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020" w:type="dxa"/>
            <w:tcBorders>
              <w:top w:val="nil"/>
              <w:left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D123CC" w:rsidRPr="00100BF5" w:rsidTr="00D123CC">
        <w:tblPrEx>
          <w:tblCellMar>
            <w:top w:w="0" w:type="dxa"/>
            <w:bottom w:w="0" w:type="dxa"/>
          </w:tblCellMar>
        </w:tblPrEx>
        <w:trPr>
          <w:trHeight w:val="495"/>
        </w:trPr>
        <w:tc>
          <w:tcPr>
            <w:tcW w:w="3705" w:type="dxa"/>
            <w:tcBorders>
              <w:top w:val="nil"/>
              <w:left w:val="nil"/>
              <w:bottom w:val="nil"/>
              <w:right w:val="nil"/>
            </w:tcBorders>
            <w:shd w:val="clear" w:color="auto" w:fill="FFFFFF"/>
            <w:tcMar>
              <w:left w:w="36" w:type="dxa"/>
              <w:right w:w="36" w:type="dxa"/>
            </w:tcMar>
            <w:vAlign w:val="bottom"/>
          </w:tcPr>
          <w:p w:rsidR="00D123CC" w:rsidRPr="00100BF5" w:rsidRDefault="00D123CC">
            <w:pPr>
              <w:jc w:val="both"/>
              <w:rPr>
                <w:rFonts w:ascii="Barclays Sans" w:eastAsia="Barclays Sans" w:hAnsi="Barclays Sans" w:cs="Barclays Sans"/>
                <w:sz w:val="16"/>
              </w:rPr>
            </w:pPr>
            <w:r w:rsidRPr="00100BF5">
              <w:rPr>
                <w:b/>
                <w:sz w:val="20"/>
              </w:rPr>
              <w:t xml:space="preserve"> </w:t>
            </w:r>
            <w:r w:rsidRPr="00100BF5">
              <w:rPr>
                <w:b/>
                <w:sz w:val="20"/>
                <w:vertAlign w:val="superscript"/>
              </w:rPr>
              <w:t xml:space="preserve"> </w:t>
            </w:r>
          </w:p>
        </w:tc>
        <w:tc>
          <w:tcPr>
            <w:tcW w:w="1860" w:type="dxa"/>
            <w:gridSpan w:val="2"/>
            <w:tcBorders>
              <w:top w:val="nil"/>
              <w:left w:val="nil"/>
              <w:bottom w:val="nil"/>
              <w:right w:val="nil"/>
            </w:tcBorders>
            <w:shd w:val="clear" w:color="auto" w:fill="FFFFFF"/>
            <w:tcMar>
              <w:left w:w="36" w:type="dxa"/>
              <w:right w:w="36" w:type="dxa"/>
            </w:tcMar>
            <w:vAlign w:val="bottom"/>
          </w:tcPr>
          <w:p w:rsidR="00D123CC" w:rsidRPr="00100BF5" w:rsidRDefault="00D123CC">
            <w:pPr>
              <w:jc w:val="both"/>
              <w:rPr>
                <w:b/>
                <w:sz w:val="20"/>
                <w:vertAlign w:val="superscript"/>
              </w:rPr>
            </w:pPr>
            <w:r w:rsidRPr="00100BF5">
              <w:rPr>
                <w:b/>
                <w:sz w:val="20"/>
              </w:rPr>
              <w:t xml:space="preserve"> </w:t>
            </w:r>
          </w:p>
        </w:tc>
        <w:tc>
          <w:tcPr>
            <w:tcW w:w="1020" w:type="dxa"/>
            <w:gridSpan w:val="2"/>
            <w:tcBorders>
              <w:top w:val="nil"/>
              <w:left w:val="nil"/>
              <w:bottom w:val="single" w:sz="4" w:space="0" w:color="969696"/>
              <w:right w:val="nil"/>
            </w:tcBorders>
            <w:shd w:val="clear" w:color="auto" w:fill="FFFFFF"/>
            <w:tcMar>
              <w:left w:w="36" w:type="dxa"/>
              <w:right w:w="36" w:type="dxa"/>
            </w:tcMar>
            <w:vAlign w:val="bottom"/>
          </w:tcPr>
          <w:p w:rsidR="00D123CC" w:rsidRPr="00100BF5" w:rsidRDefault="00D123CC" w:rsidP="00D123CC">
            <w:pPr>
              <w:jc w:val="right"/>
              <w:rPr>
                <w:b/>
                <w:sz w:val="20"/>
              </w:rPr>
            </w:pPr>
          </w:p>
        </w:tc>
        <w:tc>
          <w:tcPr>
            <w:tcW w:w="1020" w:type="dxa"/>
            <w:tcBorders>
              <w:top w:val="nil"/>
              <w:left w:val="nil"/>
              <w:bottom w:val="single" w:sz="4" w:space="0" w:color="969696"/>
              <w:right w:val="nil"/>
            </w:tcBorders>
            <w:shd w:val="clear" w:color="auto" w:fill="FFFFFF"/>
            <w:vAlign w:val="bottom"/>
          </w:tcPr>
          <w:p w:rsidR="00D123CC" w:rsidRPr="00100BF5" w:rsidRDefault="00D123CC" w:rsidP="00D123CC">
            <w:pPr>
              <w:jc w:val="right"/>
              <w:rPr>
                <w:b/>
                <w:sz w:val="20"/>
              </w:rPr>
            </w:pPr>
            <w:r w:rsidRPr="00100BF5">
              <w:rPr>
                <w:b/>
                <w:sz w:val="16"/>
              </w:rPr>
              <w:t>As at</w:t>
            </w:r>
            <w:r w:rsidRPr="00100BF5">
              <w:rPr>
                <w:b/>
                <w:sz w:val="16"/>
              </w:rPr>
              <w:br/>
              <w:t>30.06.12</w:t>
            </w:r>
          </w:p>
        </w:tc>
        <w:tc>
          <w:tcPr>
            <w:tcW w:w="1020" w:type="dxa"/>
            <w:tcBorders>
              <w:top w:val="nil"/>
              <w:left w:val="nil"/>
              <w:bottom w:val="single" w:sz="4" w:space="0" w:color="969696"/>
              <w:right w:val="nil"/>
            </w:tcBorders>
            <w:shd w:val="clear" w:color="auto" w:fill="FFFFFF"/>
            <w:vAlign w:val="bottom"/>
          </w:tcPr>
          <w:p w:rsidR="00D123CC" w:rsidRPr="00100BF5" w:rsidRDefault="00D123CC" w:rsidP="00D123CC">
            <w:pPr>
              <w:jc w:val="right"/>
              <w:rPr>
                <w:b/>
                <w:sz w:val="20"/>
              </w:rPr>
            </w:pPr>
          </w:p>
        </w:tc>
        <w:tc>
          <w:tcPr>
            <w:tcW w:w="1020" w:type="dxa"/>
            <w:tcBorders>
              <w:top w:val="nil"/>
              <w:left w:val="nil"/>
              <w:bottom w:val="single" w:sz="4" w:space="0" w:color="969696"/>
              <w:right w:val="nil"/>
            </w:tcBorders>
            <w:shd w:val="clear" w:color="auto" w:fill="FFFFFF"/>
            <w:tcMar>
              <w:left w:w="36" w:type="dxa"/>
              <w:right w:w="36" w:type="dxa"/>
            </w:tcMar>
            <w:vAlign w:val="bottom"/>
          </w:tcPr>
          <w:p w:rsidR="00D123CC" w:rsidRPr="00100BF5" w:rsidRDefault="00D123CC" w:rsidP="000F3AC9">
            <w:pPr>
              <w:jc w:val="right"/>
              <w:rPr>
                <w:b/>
                <w:sz w:val="16"/>
              </w:rPr>
            </w:pPr>
            <w:r w:rsidRPr="00100BF5">
              <w:rPr>
                <w:b/>
                <w:sz w:val="16"/>
              </w:rPr>
              <w:t xml:space="preserve">As at 31.12.11 </w:t>
            </w:r>
          </w:p>
        </w:tc>
      </w:tr>
      <w:tr w:rsidR="00A12DCA" w:rsidRPr="00100BF5" w:rsidTr="00E75094">
        <w:tblPrEx>
          <w:tblCellMar>
            <w:top w:w="0" w:type="dxa"/>
            <w:bottom w:w="0" w:type="dxa"/>
          </w:tblCellMar>
        </w:tblPrEx>
        <w:trPr>
          <w:trHeight w:val="665"/>
        </w:trPr>
        <w:tc>
          <w:tcPr>
            <w:tcW w:w="3705" w:type="dxa"/>
            <w:tcBorders>
              <w:top w:val="nil"/>
              <w:left w:val="nil"/>
              <w:bottom w:val="nil"/>
              <w:right w:val="nil"/>
            </w:tcBorders>
            <w:shd w:val="clear" w:color="auto" w:fill="FFFFFF"/>
            <w:tcMar>
              <w:left w:w="36" w:type="dxa"/>
              <w:right w:w="36" w:type="dxa"/>
            </w:tcMar>
            <w:vAlign w:val="bottom"/>
          </w:tcPr>
          <w:p w:rsidR="00A12DCA" w:rsidRPr="00100BF5" w:rsidRDefault="00A12DCA" w:rsidP="006A554C">
            <w:pPr>
              <w:rPr>
                <w:b/>
                <w:sz w:val="16"/>
              </w:rPr>
            </w:pPr>
            <w:r w:rsidRPr="00100BF5">
              <w:rPr>
                <w:b/>
                <w:sz w:val="16"/>
              </w:rPr>
              <w:t>Funding of Loans and Advances to Customers</w:t>
            </w:r>
            <w:r w:rsidRPr="00100BF5">
              <w:rPr>
                <w:b/>
                <w:sz w:val="16"/>
                <w:vertAlign w:val="superscript"/>
              </w:rPr>
              <w:t>1 </w:t>
            </w:r>
          </w:p>
        </w:tc>
        <w:tc>
          <w:tcPr>
            <w:tcW w:w="1860" w:type="dxa"/>
            <w:gridSpan w:val="2"/>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 xml:space="preserve"> </w:t>
            </w:r>
          </w:p>
        </w:tc>
        <w:tc>
          <w:tcPr>
            <w:tcW w:w="1020" w:type="dxa"/>
            <w:gridSpan w:val="2"/>
            <w:tcBorders>
              <w:top w:val="single" w:sz="4"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Loans and Advances to Customers</w:t>
            </w:r>
          </w:p>
        </w:tc>
        <w:tc>
          <w:tcPr>
            <w:tcW w:w="1020" w:type="dxa"/>
            <w:tcBorders>
              <w:top w:val="single" w:sz="4"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Customer Deposits</w:t>
            </w:r>
          </w:p>
        </w:tc>
        <w:tc>
          <w:tcPr>
            <w:tcW w:w="1020" w:type="dxa"/>
            <w:tcBorders>
              <w:top w:val="single" w:sz="4"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 to Deposit Ratio</w:t>
            </w:r>
          </w:p>
        </w:tc>
        <w:tc>
          <w:tcPr>
            <w:tcW w:w="1020" w:type="dxa"/>
            <w:tcBorders>
              <w:top w:val="single" w:sz="4"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 to Deposit Ratio</w:t>
            </w:r>
          </w:p>
        </w:tc>
      </w:tr>
      <w:tr w:rsidR="00A12DCA" w:rsidRPr="00100BF5" w:rsidTr="006A554C">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b/>
                <w:sz w:val="16"/>
              </w:rPr>
            </w:pPr>
            <w:r w:rsidRPr="00100BF5">
              <w:rPr>
                <w:b/>
                <w:sz w:val="16"/>
              </w:rPr>
              <w:t xml:space="preserve"> </w:t>
            </w:r>
            <w:r w:rsidRPr="00100BF5">
              <w:rPr>
                <w:b/>
                <w:sz w:val="16"/>
                <w:vertAlign w:val="superscript"/>
              </w:rPr>
              <w:t xml:space="preserve"> </w:t>
            </w:r>
          </w:p>
        </w:tc>
        <w:tc>
          <w:tcPr>
            <w:tcW w:w="186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102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£bn</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£bn</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r>
      <w:tr w:rsidR="00A12DCA" w:rsidRPr="00100BF5" w:rsidTr="006A554C">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RBB</w:t>
            </w:r>
          </w:p>
        </w:tc>
        <w:tc>
          <w:tcPr>
            <w:tcW w:w="186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2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229.3 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156.6 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146 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146 </w:t>
            </w:r>
          </w:p>
        </w:tc>
      </w:tr>
      <w:tr w:rsidR="00A12DCA" w:rsidRPr="00100BF5" w:rsidTr="006A554C">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Corporate Banking</w:t>
            </w:r>
            <w:r w:rsidRPr="00100BF5">
              <w:rPr>
                <w:sz w:val="16"/>
                <w:vertAlign w:val="superscript"/>
              </w:rPr>
              <w:t>1 </w:t>
            </w:r>
          </w:p>
        </w:tc>
        <w:tc>
          <w:tcPr>
            <w:tcW w:w="186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64.0 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88.5 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72 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83 </w:t>
            </w:r>
          </w:p>
        </w:tc>
      </w:tr>
      <w:tr w:rsidR="00A12DCA" w:rsidRPr="00100BF5" w:rsidTr="006A554C">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Wealth and Investment Management</w:t>
            </w:r>
            <w:r w:rsidRPr="00100BF5">
              <w:rPr>
                <w:sz w:val="16"/>
                <w:vertAlign w:val="superscript"/>
              </w:rPr>
              <w:t xml:space="preserve"> </w:t>
            </w:r>
          </w:p>
        </w:tc>
        <w:tc>
          <w:tcPr>
            <w:tcW w:w="186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19.8 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50.0 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40 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40 </w:t>
            </w:r>
          </w:p>
        </w:tc>
      </w:tr>
      <w:tr w:rsidR="00A12DCA" w:rsidRPr="00100BF5" w:rsidTr="006A554C">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b/>
                <w:sz w:val="16"/>
              </w:rPr>
              <w:t>Total funding excluding secured</w:t>
            </w:r>
            <w:r w:rsidRPr="00100BF5">
              <w:rPr>
                <w:sz w:val="16"/>
                <w:vertAlign w:val="superscript"/>
              </w:rPr>
              <w:t xml:space="preserve"> </w:t>
            </w:r>
          </w:p>
        </w:tc>
        <w:tc>
          <w:tcPr>
            <w:tcW w:w="186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313.1 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295.1 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106 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111 </w:t>
            </w:r>
          </w:p>
        </w:tc>
      </w:tr>
      <w:tr w:rsidR="00A12DCA" w:rsidRPr="00100BF5" w:rsidTr="006A554C">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b/>
                <w:sz w:val="16"/>
              </w:rPr>
            </w:pPr>
            <w:r w:rsidRPr="00100BF5">
              <w:rPr>
                <w:sz w:val="16"/>
              </w:rPr>
              <w:t>Secured funding</w:t>
            </w:r>
            <w:r w:rsidRPr="00100BF5">
              <w:rPr>
                <w:sz w:val="16"/>
                <w:vertAlign w:val="superscript"/>
              </w:rPr>
              <w:t xml:space="preserve"> </w:t>
            </w:r>
          </w:p>
        </w:tc>
        <w:tc>
          <w:tcPr>
            <w:tcW w:w="186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1573DF">
            <w:pPr>
              <w:jc w:val="right"/>
              <w:rPr>
                <w:sz w:val="16"/>
              </w:rPr>
            </w:pPr>
            <w:r w:rsidRPr="00100BF5">
              <w:rPr>
                <w:sz w:val="16"/>
                <w:szCs w:val="16"/>
              </w:rPr>
              <w:t>n/a </w:t>
            </w:r>
            <w:r w:rsidR="00A12DCA" w:rsidRPr="00100BF5">
              <w:rPr>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37.2 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1573DF">
            <w:pPr>
              <w:jc w:val="right"/>
              <w:rPr>
                <w:sz w:val="16"/>
              </w:rPr>
            </w:pPr>
            <w:r w:rsidRPr="00100BF5">
              <w:rPr>
                <w:sz w:val="16"/>
                <w:szCs w:val="16"/>
              </w:rPr>
              <w:t>n/a </w:t>
            </w:r>
            <w:r w:rsidR="00A12DCA" w:rsidRPr="00100BF5">
              <w:rPr>
                <w:sz w:val="16"/>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1573DF">
            <w:pPr>
              <w:jc w:val="right"/>
              <w:rPr>
                <w:sz w:val="16"/>
              </w:rPr>
            </w:pPr>
            <w:r w:rsidRPr="00100BF5">
              <w:rPr>
                <w:sz w:val="16"/>
                <w:szCs w:val="16"/>
              </w:rPr>
              <w:t>n/a </w:t>
            </w:r>
            <w:r w:rsidR="00A12DCA" w:rsidRPr="00100BF5">
              <w:rPr>
                <w:sz w:val="16"/>
              </w:rPr>
              <w:t xml:space="preserve"> </w:t>
            </w:r>
          </w:p>
        </w:tc>
      </w:tr>
      <w:tr w:rsidR="00A12DCA" w:rsidRPr="00100BF5" w:rsidTr="006A554C">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b/>
                <w:sz w:val="16"/>
              </w:rPr>
              <w:t>Sub-total including secured funding</w:t>
            </w:r>
            <w:r w:rsidRPr="00100BF5">
              <w:rPr>
                <w:sz w:val="16"/>
                <w:vertAlign w:val="superscript"/>
              </w:rPr>
              <w:t xml:space="preserve"> </w:t>
            </w:r>
          </w:p>
        </w:tc>
        <w:tc>
          <w:tcPr>
            <w:tcW w:w="186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313.1 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332.3 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94 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101 </w:t>
            </w:r>
          </w:p>
        </w:tc>
      </w:tr>
      <w:tr w:rsidR="00A12DCA" w:rsidRPr="00100BF5" w:rsidTr="006A554C">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b/>
                <w:sz w:val="16"/>
              </w:rPr>
            </w:pPr>
            <w:r w:rsidRPr="00100BF5">
              <w:rPr>
                <w:sz w:val="16"/>
              </w:rPr>
              <w:t xml:space="preserve"> </w:t>
            </w:r>
            <w:r w:rsidRPr="00100BF5">
              <w:rPr>
                <w:sz w:val="16"/>
                <w:vertAlign w:val="superscript"/>
              </w:rPr>
              <w:t xml:space="preserve"> </w:t>
            </w:r>
          </w:p>
        </w:tc>
        <w:tc>
          <w:tcPr>
            <w:tcW w:w="186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6A554C">
        <w:tblPrEx>
          <w:tblCellMar>
            <w:top w:w="0" w:type="dxa"/>
            <w:bottom w:w="0" w:type="dxa"/>
          </w:tblCellMar>
        </w:tblPrEx>
        <w:trPr>
          <w:trHeight w:val="255"/>
        </w:trPr>
        <w:tc>
          <w:tcPr>
            <w:tcW w:w="4998"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 xml:space="preserve">RBB, Corporate Banking &amp; Wealth and Investment </w:t>
            </w:r>
            <w:r w:rsidR="00733066" w:rsidRPr="00100BF5">
              <w:rPr>
                <w:sz w:val="16"/>
              </w:rPr>
              <w:t>M</w:t>
            </w:r>
            <w:r w:rsidRPr="00100BF5">
              <w:rPr>
                <w:sz w:val="16"/>
              </w:rPr>
              <w:t>anagement</w:t>
            </w:r>
          </w:p>
        </w:tc>
        <w:tc>
          <w:tcPr>
            <w:tcW w:w="992"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5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313.1 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295.1 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106 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111 </w:t>
            </w:r>
          </w:p>
        </w:tc>
      </w:tr>
      <w:tr w:rsidR="00A12DCA" w:rsidRPr="00100BF5" w:rsidTr="006A554C">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Investment Bank</w:t>
            </w:r>
            <w:r w:rsidRPr="00100BF5">
              <w:rPr>
                <w:sz w:val="16"/>
                <w:vertAlign w:val="superscript"/>
              </w:rPr>
              <w:t xml:space="preserve"> </w:t>
            </w:r>
          </w:p>
        </w:tc>
        <w:tc>
          <w:tcPr>
            <w:tcW w:w="186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58.7 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46.7 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126 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138 </w:t>
            </w:r>
          </w:p>
        </w:tc>
      </w:tr>
      <w:tr w:rsidR="00A12DCA" w:rsidRPr="00100BF5" w:rsidTr="006A554C">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Head Office and Other Operations</w:t>
            </w:r>
          </w:p>
        </w:tc>
        <w:tc>
          <w:tcPr>
            <w:tcW w:w="186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2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0.9 </w:t>
            </w:r>
          </w:p>
        </w:tc>
        <w:tc>
          <w:tcPr>
            <w:tcW w:w="1020" w:type="dxa"/>
            <w:tcBorders>
              <w:top w:val="nil"/>
              <w:left w:val="nil"/>
              <w:bottom w:val="nil"/>
              <w:right w:val="nil"/>
            </w:tcBorders>
            <w:shd w:val="clear" w:color="auto" w:fill="FFFFFF"/>
            <w:tcMar>
              <w:left w:w="36" w:type="dxa"/>
              <w:right w:w="36" w:type="dxa"/>
            </w:tcMar>
            <w:vAlign w:val="center"/>
          </w:tcPr>
          <w:p w:rsidR="00A12DCA" w:rsidRPr="00100BF5" w:rsidRDefault="001573DF">
            <w:pPr>
              <w:jc w:val="right"/>
              <w:rPr>
                <w:sz w:val="16"/>
              </w:rPr>
            </w:pPr>
            <w:r w:rsidRPr="00100BF5">
              <w:rPr>
                <w:sz w:val="16"/>
                <w:szCs w:val="16"/>
              </w:rPr>
              <w:t>-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1573DF">
            <w:pPr>
              <w:jc w:val="right"/>
              <w:rPr>
                <w:sz w:val="16"/>
              </w:rPr>
            </w:pPr>
            <w:r w:rsidRPr="00100BF5">
              <w:rPr>
                <w:sz w:val="16"/>
                <w:szCs w:val="16"/>
              </w:rPr>
              <w:t>- </w:t>
            </w:r>
          </w:p>
        </w:tc>
        <w:tc>
          <w:tcPr>
            <w:tcW w:w="1020" w:type="dxa"/>
            <w:tcBorders>
              <w:top w:val="nil"/>
              <w:left w:val="nil"/>
              <w:bottom w:val="nil"/>
              <w:right w:val="nil"/>
            </w:tcBorders>
            <w:shd w:val="clear" w:color="auto" w:fill="EAEAEA"/>
            <w:tcMar>
              <w:left w:w="36" w:type="dxa"/>
              <w:right w:w="36" w:type="dxa"/>
            </w:tcMar>
            <w:vAlign w:val="center"/>
          </w:tcPr>
          <w:p w:rsidR="00A12DCA" w:rsidRPr="00100BF5" w:rsidRDefault="001573DF">
            <w:pPr>
              <w:jc w:val="right"/>
              <w:rPr>
                <w:sz w:val="16"/>
              </w:rPr>
            </w:pPr>
            <w:r w:rsidRPr="00100BF5">
              <w:rPr>
                <w:sz w:val="16"/>
                <w:szCs w:val="16"/>
              </w:rPr>
              <w:t>- </w:t>
            </w:r>
          </w:p>
        </w:tc>
      </w:tr>
      <w:tr w:rsidR="00A12DCA" w:rsidRPr="00100BF5" w:rsidTr="006A554C">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sz w:val="16"/>
              </w:rPr>
            </w:pPr>
            <w:r w:rsidRPr="00100BF5">
              <w:rPr>
                <w:sz w:val="16"/>
              </w:rPr>
              <w:t>Trading settlement balances and cash collateral</w:t>
            </w:r>
            <w:r w:rsidRPr="00100BF5">
              <w:rPr>
                <w:sz w:val="16"/>
                <w:vertAlign w:val="superscript"/>
              </w:rPr>
              <w:t xml:space="preserve"> </w:t>
            </w:r>
          </w:p>
        </w:tc>
        <w:tc>
          <w:tcPr>
            <w:tcW w:w="186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02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82.0 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66.8 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123 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142 </w:t>
            </w:r>
          </w:p>
        </w:tc>
      </w:tr>
      <w:tr w:rsidR="00A12DCA" w:rsidRPr="00100BF5" w:rsidTr="006A554C">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rPr>
            </w:pPr>
            <w:r w:rsidRPr="00100BF5">
              <w:rPr>
                <w:b/>
                <w:sz w:val="16"/>
              </w:rPr>
              <w:t>Total</w:t>
            </w:r>
            <w:r w:rsidRPr="00100BF5">
              <w:rPr>
                <w:b/>
                <w:sz w:val="16"/>
                <w:vertAlign w:val="superscript"/>
              </w:rPr>
              <w:t xml:space="preserve"> </w:t>
            </w:r>
          </w:p>
        </w:tc>
        <w:tc>
          <w:tcPr>
            <w:tcW w:w="186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102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454.7 </w:t>
            </w:r>
          </w:p>
        </w:tc>
        <w:tc>
          <w:tcPr>
            <w:tcW w:w="1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408.6 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111 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118 </w:t>
            </w:r>
          </w:p>
        </w:tc>
      </w:tr>
    </w:tbl>
    <w:p w:rsidR="00A12DCA" w:rsidRPr="00100BF5" w:rsidRDefault="00A12DCA" w:rsidP="00A12DCA">
      <w:pPr>
        <w:pStyle w:val="BodyText-BarcRA38"/>
      </w:pPr>
      <w:r w:rsidRPr="00100BF5">
        <w:t>RBB, Corporate Banking and Wealth and Investment Management activities are largely funded by customer deposits with the remainder covered by funding secured against customer loans and advances.  As at 30 June 2012, the loan to deposit ratio for these businesses was 106% (31 December 2011: 111%) and the loan to deposit and secured funding ratio was 94% (31 December 2011: 101%).</w:t>
      </w:r>
    </w:p>
    <w:p w:rsidR="00A12DCA" w:rsidRPr="00100BF5" w:rsidRDefault="00A12DCA" w:rsidP="00A12DCA">
      <w:pPr>
        <w:pStyle w:val="BodyText-BarcRA38"/>
      </w:pPr>
      <w:r w:rsidRPr="00100BF5">
        <w:t>The total loan to deposit ratio as at 30 June 2012 was 111% (31 December 2011: 118%) and the loan to deposit and long-term funding ratio was 73% (31 December 2011: 75%).</w:t>
      </w:r>
    </w:p>
    <w:p w:rsidR="00A12DCA" w:rsidRPr="00100BF5" w:rsidRDefault="00A12DCA" w:rsidP="00A12DCA">
      <w:pPr>
        <w:pStyle w:val="BodyText-BarcRA38"/>
      </w:pPr>
      <w:r w:rsidRPr="00100BF5">
        <w:t>The excess of Investment Bank loans and advances over customer deposits of £12</w:t>
      </w:r>
      <w:r w:rsidR="001A77E4" w:rsidRPr="00100BF5">
        <w:t>.0</w:t>
      </w:r>
      <w:r w:rsidRPr="00100BF5">
        <w:t>bn (31 December 2011: £17.4bn) is funded with long-term debt and equity.</w:t>
      </w:r>
    </w:p>
    <w:p w:rsidR="00A12DCA" w:rsidRPr="00100BF5" w:rsidRDefault="00A12DCA" w:rsidP="00A12DCA">
      <w:pPr>
        <w:pStyle w:val="BodyText-BarcRA38"/>
      </w:pPr>
      <w:r w:rsidRPr="00100BF5">
        <w:t>Included within RBB, Corporate Banking and the Investment Bank are Absa Group related balances totalling £38.0bn of loans and advances to customers funded by £33.4bn of customer deposits and the balance of £4.6bn (31 December 2011: £5.0bn) is funded with wholesale borrowing. This is managed separately by the Absa Group due to local currency and funding requirements.  Absa manages its funding position conservatively, relative to local practices, which has a high structural dependence on wholesale funding sources.  This dependence is a function of customer behaviour in relation to savings in South Africa as a whole, where there is a higher concentration of cash in investment funds than in bank savings.</w:t>
      </w:r>
    </w:p>
    <w:p w:rsidR="00A12DCA" w:rsidRPr="00100BF5" w:rsidRDefault="00A12DCA" w:rsidP="00A12DCA">
      <w:pPr>
        <w:pStyle w:val="HeadingLevel1-BarcRA30"/>
        <w:rPr>
          <w:color w:val="auto"/>
          <w:sz w:val="20"/>
        </w:rPr>
      </w:pPr>
      <w:r w:rsidRPr="00100BF5">
        <w:rPr>
          <w:color w:val="auto"/>
          <w:sz w:val="20"/>
        </w:rPr>
        <w:t>Wholesale Funding</w:t>
      </w:r>
    </w:p>
    <w:p w:rsidR="00A12DCA" w:rsidRPr="00100BF5" w:rsidRDefault="00A12DCA" w:rsidP="00A12DCA">
      <w:pPr>
        <w:pStyle w:val="HeadingLevel2-BarcRA6"/>
        <w:rPr>
          <w:color w:val="auto"/>
          <w:sz w:val="18"/>
          <w:szCs w:val="18"/>
          <w:lang w:val="en-GB"/>
        </w:rPr>
      </w:pPr>
      <w:r w:rsidRPr="00100BF5">
        <w:rPr>
          <w:color w:val="auto"/>
          <w:sz w:val="18"/>
          <w:szCs w:val="18"/>
        </w:rPr>
        <w:t>Funding of Other Assets</w:t>
      </w:r>
      <w:r w:rsidRPr="00100BF5">
        <w:rPr>
          <w:color w:val="auto"/>
          <w:sz w:val="18"/>
          <w:szCs w:val="18"/>
          <w:vertAlign w:val="superscript"/>
          <w:lang w:val="en-GB"/>
        </w:rPr>
        <w:t>2</w:t>
      </w:r>
      <w:r w:rsidRPr="00100BF5">
        <w:rPr>
          <w:color w:val="auto"/>
          <w:sz w:val="18"/>
          <w:szCs w:val="18"/>
        </w:rPr>
        <w:t xml:space="preserve"> as at 30 June 201</w:t>
      </w:r>
      <w:r w:rsidRPr="00100BF5">
        <w:rPr>
          <w:color w:val="auto"/>
          <w:sz w:val="18"/>
          <w:szCs w:val="18"/>
          <w:lang w:val="en-GB"/>
        </w:rPr>
        <w:t>2</w:t>
      </w:r>
    </w:p>
    <w:tbl>
      <w:tblPr>
        <w:tblW w:w="0" w:type="auto"/>
        <w:tblLayout w:type="fixed"/>
        <w:tblLook w:val="0000" w:firstRow="0" w:lastRow="0" w:firstColumn="0" w:lastColumn="0" w:noHBand="0" w:noVBand="0"/>
      </w:tblPr>
      <w:tblGrid>
        <w:gridCol w:w="3750"/>
        <w:gridCol w:w="945"/>
        <w:gridCol w:w="285"/>
        <w:gridCol w:w="3750"/>
        <w:gridCol w:w="945"/>
      </w:tblGrid>
      <w:tr w:rsidR="00A12DCA" w:rsidRPr="00100BF5" w:rsidTr="006A554C">
        <w:tblPrEx>
          <w:tblCellMar>
            <w:top w:w="0" w:type="dxa"/>
            <w:bottom w:w="0" w:type="dxa"/>
          </w:tblCellMar>
        </w:tblPrEx>
        <w:trPr>
          <w:trHeight w:val="255"/>
        </w:trPr>
        <w:tc>
          <w:tcPr>
            <w:tcW w:w="3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sz w:val="18"/>
                <w:szCs w:val="18"/>
                <w:lang w:val="en-GB"/>
              </w:rPr>
            </w:pPr>
            <w:r w:rsidRPr="00100BF5">
              <w:rPr>
                <w:b/>
                <w:sz w:val="16"/>
                <w:szCs w:val="18"/>
                <w:lang w:val="en-GB"/>
              </w:rPr>
              <w:t>Assets</w:t>
            </w:r>
            <w:r w:rsidRPr="00100BF5">
              <w:rPr>
                <w:b/>
                <w:sz w:val="16"/>
                <w:szCs w:val="18"/>
                <w:vertAlign w:val="superscript"/>
                <w:lang w:val="en-GB"/>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b/>
                <w:sz w:val="16"/>
                <w:szCs w:val="18"/>
                <w:vertAlign w:val="superscript"/>
                <w:lang w:val="en-GB"/>
              </w:rPr>
            </w:pPr>
            <w:r w:rsidRPr="00100BF5">
              <w:rPr>
                <w:sz w:val="16"/>
                <w:szCs w:val="18"/>
                <w:lang w:val="en-GB"/>
              </w:rPr>
              <w:t>£bn</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b/>
                <w:sz w:val="16"/>
                <w:szCs w:val="18"/>
                <w:lang w:val="en-GB"/>
              </w:rPr>
              <w:t xml:space="preserve"> </w:t>
            </w:r>
          </w:p>
        </w:tc>
        <w:tc>
          <w:tcPr>
            <w:tcW w:w="3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b/>
                <w:sz w:val="16"/>
                <w:szCs w:val="18"/>
                <w:lang w:val="en-GB"/>
              </w:rPr>
            </w:pPr>
            <w:r w:rsidRPr="00100BF5">
              <w:rPr>
                <w:b/>
                <w:sz w:val="16"/>
                <w:szCs w:val="18"/>
                <w:lang w:val="en-GB"/>
              </w:rPr>
              <w:t>Liabilities</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b/>
                <w:sz w:val="16"/>
                <w:szCs w:val="18"/>
                <w:lang w:val="en-GB"/>
              </w:rPr>
            </w:pPr>
            <w:r w:rsidRPr="00100BF5">
              <w:rPr>
                <w:sz w:val="16"/>
                <w:szCs w:val="18"/>
                <w:lang w:val="en-GB"/>
              </w:rPr>
              <w:t>£bn</w:t>
            </w:r>
          </w:p>
        </w:tc>
      </w:tr>
      <w:tr w:rsidR="00A12DCA" w:rsidRPr="00100BF5" w:rsidTr="006A554C">
        <w:tblPrEx>
          <w:tblCellMar>
            <w:top w:w="0" w:type="dxa"/>
            <w:bottom w:w="0" w:type="dxa"/>
          </w:tblCellMar>
        </w:tblPrEx>
        <w:trPr>
          <w:trHeight w:hRule="exact" w:val="165"/>
        </w:trPr>
        <w:tc>
          <w:tcPr>
            <w:tcW w:w="3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b/>
                <w:sz w:val="16"/>
                <w:szCs w:val="18"/>
                <w:lang w:val="en-GB"/>
              </w:rPr>
              <w:t xml:space="preserve"> </w:t>
            </w:r>
            <w:r w:rsidRPr="00100BF5">
              <w:rPr>
                <w:b/>
                <w:sz w:val="16"/>
                <w:szCs w:val="18"/>
                <w:vertAlign w:val="superscript"/>
                <w:lang w:val="en-GB"/>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szCs w:val="18"/>
                <w:vertAlign w:val="superscript"/>
                <w:lang w:val="en-GB"/>
              </w:rPr>
            </w:pPr>
            <w:r w:rsidRPr="00100BF5">
              <w:rPr>
                <w:b/>
                <w:sz w:val="16"/>
                <w:szCs w:val="18"/>
                <w:lang w:val="en-GB"/>
              </w:rPr>
              <w:t xml:space="preserve">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8"/>
                <w:lang w:val="en-GB"/>
              </w:rPr>
            </w:pPr>
            <w:r w:rsidRPr="00100BF5">
              <w:rPr>
                <w:b/>
                <w:sz w:val="16"/>
                <w:szCs w:val="18"/>
                <w:lang w:val="en-GB"/>
              </w:rPr>
              <w:t xml:space="preserve"> </w:t>
            </w:r>
          </w:p>
        </w:tc>
        <w:tc>
          <w:tcPr>
            <w:tcW w:w="3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b/>
                <w:sz w:val="16"/>
                <w:szCs w:val="18"/>
                <w:lang w:val="en-GB"/>
              </w:rPr>
            </w:pPr>
            <w:r w:rsidRPr="00100BF5">
              <w:rPr>
                <w:b/>
                <w:sz w:val="16"/>
                <w:szCs w:val="18"/>
                <w:lang w:val="en-GB"/>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szCs w:val="18"/>
                <w:lang w:val="en-GB"/>
              </w:rPr>
            </w:pPr>
            <w:r w:rsidRPr="00100BF5">
              <w:rPr>
                <w:b/>
                <w:sz w:val="16"/>
                <w:szCs w:val="18"/>
                <w:lang w:val="en-GB"/>
              </w:rPr>
              <w:t xml:space="preserve"> </w:t>
            </w:r>
          </w:p>
        </w:tc>
      </w:tr>
      <w:tr w:rsidR="00A12DCA" w:rsidRPr="00100BF5" w:rsidTr="006A554C">
        <w:tblPrEx>
          <w:tblCellMar>
            <w:top w:w="0" w:type="dxa"/>
            <w:bottom w:w="0" w:type="dxa"/>
          </w:tblCellMar>
        </w:tblPrEx>
        <w:trPr>
          <w:trHeight w:val="255"/>
        </w:trPr>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b/>
                <w:sz w:val="16"/>
                <w:szCs w:val="18"/>
                <w:lang w:val="en-GB"/>
              </w:rPr>
            </w:pPr>
            <w:r w:rsidRPr="00100BF5">
              <w:rPr>
                <w:sz w:val="16"/>
                <w:szCs w:val="18"/>
                <w:lang w:val="en-GB"/>
              </w:rPr>
              <w:t>Trading Portfolio Assets</w:t>
            </w:r>
            <w:r w:rsidRPr="00100BF5">
              <w:rPr>
                <w:sz w:val="16"/>
                <w:szCs w:val="18"/>
                <w:vertAlign w:val="superscript"/>
                <w:lang w:val="en-GB"/>
              </w:rPr>
              <w:t xml:space="preserve"> </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126 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Repurchase agreements</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246 </w:t>
            </w:r>
          </w:p>
        </w:tc>
      </w:tr>
      <w:tr w:rsidR="00A12DCA" w:rsidRPr="00100BF5" w:rsidTr="006A554C">
        <w:tblPrEx>
          <w:tblCellMar>
            <w:top w:w="0" w:type="dxa"/>
            <w:bottom w:w="0" w:type="dxa"/>
          </w:tblCellMar>
        </w:tblPrEx>
        <w:trPr>
          <w:trHeight w:val="255"/>
        </w:trPr>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Reverse repurchase agreements</w:t>
            </w:r>
            <w:r w:rsidRPr="00100BF5">
              <w:rPr>
                <w:sz w:val="16"/>
                <w:szCs w:val="18"/>
                <w:vertAlign w:val="superscript"/>
                <w:lang w:val="en-GB"/>
              </w:rPr>
              <w:t xml:space="preserve"> </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120 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w:t>
            </w:r>
          </w:p>
        </w:tc>
      </w:tr>
      <w:tr w:rsidR="00A12DCA" w:rsidRPr="00100BF5" w:rsidTr="006A554C">
        <w:tblPrEx>
          <w:tblCellMar>
            <w:top w:w="0" w:type="dxa"/>
            <w:bottom w:w="0" w:type="dxa"/>
          </w:tblCellMar>
        </w:tblPrEx>
        <w:trPr>
          <w:trHeight w:hRule="exact" w:val="255"/>
        </w:trPr>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r w:rsidRPr="00100BF5">
              <w:rPr>
                <w:sz w:val="16"/>
                <w:szCs w:val="18"/>
                <w:vertAlign w:val="superscript"/>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w:t>
            </w:r>
          </w:p>
        </w:tc>
      </w:tr>
      <w:tr w:rsidR="00A12DCA" w:rsidRPr="00100BF5" w:rsidTr="006A554C">
        <w:tblPrEx>
          <w:tblCellMar>
            <w:top w:w="0" w:type="dxa"/>
            <w:bottom w:w="0" w:type="dxa"/>
          </w:tblCellMar>
        </w:tblPrEx>
        <w:trPr>
          <w:trHeight w:val="255"/>
        </w:trPr>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Reverse repurchase agreements</w:t>
            </w:r>
            <w:r w:rsidRPr="00100BF5">
              <w:rPr>
                <w:sz w:val="16"/>
                <w:szCs w:val="18"/>
                <w:vertAlign w:val="superscript"/>
                <w:lang w:val="en-GB"/>
              </w:rPr>
              <w:t xml:space="preserve"> </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50 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Trading Portfolio Liabilities</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50 </w:t>
            </w:r>
          </w:p>
        </w:tc>
      </w:tr>
      <w:tr w:rsidR="00A12DCA" w:rsidRPr="00100BF5" w:rsidTr="006A554C">
        <w:tblPrEx>
          <w:tblCellMar>
            <w:top w:w="0" w:type="dxa"/>
            <w:bottom w:w="0" w:type="dxa"/>
          </w:tblCellMar>
        </w:tblPrEx>
        <w:trPr>
          <w:trHeight w:hRule="exact" w:val="255"/>
        </w:trPr>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r w:rsidRPr="00100BF5">
              <w:rPr>
                <w:sz w:val="16"/>
                <w:szCs w:val="18"/>
                <w:vertAlign w:val="superscript"/>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w:t>
            </w:r>
          </w:p>
        </w:tc>
      </w:tr>
      <w:tr w:rsidR="00A12DCA" w:rsidRPr="00100BF5" w:rsidTr="006A554C">
        <w:tblPrEx>
          <w:tblCellMar>
            <w:top w:w="0" w:type="dxa"/>
            <w:bottom w:w="0" w:type="dxa"/>
          </w:tblCellMar>
        </w:tblPrEx>
        <w:trPr>
          <w:trHeight w:val="255"/>
        </w:trPr>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Derivative Financial Instruments</w:t>
            </w:r>
            <w:r w:rsidRPr="00100BF5">
              <w:rPr>
                <w:sz w:val="16"/>
                <w:szCs w:val="18"/>
                <w:vertAlign w:val="superscript"/>
                <w:lang w:val="en-GB"/>
              </w:rPr>
              <w:t xml:space="preserve"> </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515 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Derivative Financial Instruments</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505 </w:t>
            </w:r>
          </w:p>
        </w:tc>
      </w:tr>
      <w:tr w:rsidR="00A12DCA" w:rsidRPr="00100BF5" w:rsidTr="006A554C">
        <w:tblPrEx>
          <w:tblCellMar>
            <w:top w:w="0" w:type="dxa"/>
            <w:bottom w:w="0" w:type="dxa"/>
          </w:tblCellMar>
        </w:tblPrEx>
        <w:trPr>
          <w:trHeight w:hRule="exact" w:val="255"/>
        </w:trPr>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r w:rsidRPr="00100BF5">
              <w:rPr>
                <w:sz w:val="16"/>
                <w:szCs w:val="18"/>
                <w:vertAlign w:val="superscript"/>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w:t>
            </w:r>
          </w:p>
        </w:tc>
      </w:tr>
      <w:tr w:rsidR="00A12DCA" w:rsidRPr="00100BF5" w:rsidTr="006A554C">
        <w:tblPrEx>
          <w:tblCellMar>
            <w:top w:w="0" w:type="dxa"/>
            <w:bottom w:w="0" w:type="dxa"/>
          </w:tblCellMar>
        </w:tblPrEx>
        <w:trPr>
          <w:trHeight w:val="255"/>
        </w:trPr>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Liquidity pool</w:t>
            </w:r>
            <w:r w:rsidRPr="00100BF5">
              <w:rPr>
                <w:sz w:val="16"/>
                <w:szCs w:val="18"/>
                <w:vertAlign w:val="superscript"/>
                <w:lang w:val="en-GB"/>
              </w:rPr>
              <w:t xml:space="preserve"> </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170 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Less than 1 year wholesale debt</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118 </w:t>
            </w:r>
          </w:p>
        </w:tc>
      </w:tr>
      <w:tr w:rsidR="00A12DCA" w:rsidRPr="00100BF5" w:rsidTr="006A554C">
        <w:tblPrEx>
          <w:tblCellMar>
            <w:top w:w="0" w:type="dxa"/>
            <w:bottom w:w="0" w:type="dxa"/>
          </w:tblCellMar>
        </w:tblPrEx>
        <w:trPr>
          <w:trHeight w:val="255"/>
        </w:trPr>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902EC8" w:rsidP="006A554C">
            <w:pPr>
              <w:rPr>
                <w:sz w:val="16"/>
                <w:szCs w:val="18"/>
                <w:lang w:val="en-GB"/>
              </w:rPr>
            </w:pPr>
            <w:r>
              <w:rPr>
                <w:sz w:val="16"/>
                <w:szCs w:val="18"/>
                <w:lang w:val="en-GB"/>
              </w:rPr>
              <w:t xml:space="preserve">Other </w:t>
            </w:r>
            <w:r w:rsidR="00A12DCA" w:rsidRPr="00100BF5">
              <w:rPr>
                <w:sz w:val="16"/>
                <w:szCs w:val="18"/>
                <w:lang w:val="en-GB"/>
              </w:rPr>
              <w:t>assets</w:t>
            </w:r>
            <w:r w:rsidR="00A12DCA" w:rsidRPr="00100BF5">
              <w:rPr>
                <w:sz w:val="16"/>
                <w:szCs w:val="18"/>
                <w:vertAlign w:val="superscript"/>
                <w:lang w:val="en-GB"/>
              </w:rPr>
              <w:t xml:space="preserve"> 3 </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vertAlign w:val="superscript"/>
                <w:lang w:val="en-GB"/>
              </w:rPr>
            </w:pPr>
            <w:r w:rsidRPr="00100BF5">
              <w:rPr>
                <w:sz w:val="16"/>
                <w:szCs w:val="18"/>
                <w:lang w:val="en-GB"/>
              </w:rPr>
              <w:t xml:space="preserve"> 152 </w:t>
            </w:r>
          </w:p>
        </w:tc>
        <w:tc>
          <w:tcPr>
            <w:tcW w:w="2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szCs w:val="18"/>
                <w:lang w:val="en-GB"/>
              </w:rPr>
            </w:pPr>
            <w:r w:rsidRPr="00100BF5">
              <w:rPr>
                <w:sz w:val="16"/>
                <w:szCs w:val="18"/>
                <w:lang w:val="en-GB"/>
              </w:rPr>
              <w:t xml:space="preserve"> </w:t>
            </w:r>
          </w:p>
        </w:tc>
        <w:tc>
          <w:tcPr>
            <w:tcW w:w="3750"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rPr>
                <w:sz w:val="16"/>
                <w:szCs w:val="18"/>
                <w:lang w:val="en-GB"/>
              </w:rPr>
            </w:pPr>
            <w:r w:rsidRPr="00100BF5">
              <w:rPr>
                <w:sz w:val="16"/>
                <w:szCs w:val="18"/>
                <w:lang w:val="en-GB"/>
              </w:rPr>
              <w:t>Greater than 1 year wholesale debt and equity</w:t>
            </w:r>
          </w:p>
        </w:tc>
        <w:tc>
          <w:tcPr>
            <w:tcW w:w="94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szCs w:val="18"/>
                <w:lang w:val="en-GB"/>
              </w:rPr>
            </w:pPr>
            <w:r w:rsidRPr="00100BF5">
              <w:rPr>
                <w:sz w:val="16"/>
                <w:szCs w:val="18"/>
                <w:lang w:val="en-GB"/>
              </w:rPr>
              <w:t xml:space="preserve"> 204 </w:t>
            </w:r>
          </w:p>
        </w:tc>
      </w:tr>
    </w:tbl>
    <w:p w:rsidR="00A12DCA" w:rsidRPr="00100BF5" w:rsidRDefault="00A12DCA">
      <w:pPr>
        <w:rPr>
          <w:sz w:val="18"/>
          <w:szCs w:val="18"/>
          <w:lang w:val="en-GB"/>
        </w:rPr>
      </w:pPr>
    </w:p>
    <w:p w:rsidR="006A49F3" w:rsidRPr="00100BF5" w:rsidRDefault="006A49F3" w:rsidP="006A49F3">
      <w:pPr>
        <w:pStyle w:val="NoteandSourceText-BarcRA2"/>
        <w:numPr>
          <w:ilvl w:val="0"/>
          <w:numId w:val="0"/>
        </w:numPr>
        <w:ind w:left="284"/>
      </w:pPr>
    </w:p>
    <w:p w:rsidR="006A49F3" w:rsidRPr="00100BF5" w:rsidRDefault="006A49F3" w:rsidP="006A49F3">
      <w:pPr>
        <w:pStyle w:val="NoteandSourceText-BarcRA2"/>
        <w:numPr>
          <w:ilvl w:val="0"/>
          <w:numId w:val="0"/>
        </w:numPr>
        <w:ind w:left="284"/>
      </w:pPr>
    </w:p>
    <w:p w:rsidR="005040A2" w:rsidRPr="00100BF5" w:rsidRDefault="005040A2" w:rsidP="005040A2">
      <w:pPr>
        <w:pStyle w:val="NoteandSourceText-BarcRA2"/>
        <w:numPr>
          <w:ilvl w:val="0"/>
          <w:numId w:val="0"/>
        </w:numPr>
        <w:ind w:left="284"/>
        <w:rPr>
          <w:sz w:val="2"/>
          <w:szCs w:val="2"/>
        </w:rPr>
      </w:pPr>
    </w:p>
    <w:p w:rsidR="00AF72CF" w:rsidRPr="00100BF5" w:rsidRDefault="00AF72CF" w:rsidP="005040A2">
      <w:pPr>
        <w:pStyle w:val="NoteandSourceText-BarcRA2"/>
        <w:numPr>
          <w:ilvl w:val="0"/>
          <w:numId w:val="0"/>
        </w:numPr>
        <w:ind w:left="284"/>
        <w:rPr>
          <w:sz w:val="2"/>
          <w:szCs w:val="2"/>
        </w:rPr>
      </w:pPr>
    </w:p>
    <w:p w:rsidR="00AF72CF" w:rsidRPr="00100BF5" w:rsidRDefault="00AF72CF" w:rsidP="005040A2">
      <w:pPr>
        <w:pStyle w:val="NoteandSourceText-BarcRA2"/>
        <w:numPr>
          <w:ilvl w:val="0"/>
          <w:numId w:val="0"/>
        </w:numPr>
        <w:ind w:left="284"/>
        <w:rPr>
          <w:sz w:val="2"/>
          <w:szCs w:val="2"/>
        </w:rPr>
      </w:pPr>
    </w:p>
    <w:p w:rsidR="00AF72CF" w:rsidRDefault="00AF72CF" w:rsidP="005040A2">
      <w:pPr>
        <w:pStyle w:val="NoteandSourceText-BarcRA2"/>
        <w:numPr>
          <w:ilvl w:val="0"/>
          <w:numId w:val="0"/>
        </w:numPr>
        <w:ind w:left="284"/>
        <w:rPr>
          <w:sz w:val="2"/>
          <w:szCs w:val="2"/>
        </w:rPr>
      </w:pPr>
    </w:p>
    <w:p w:rsidR="00902EC8" w:rsidRDefault="00902EC8" w:rsidP="005040A2">
      <w:pPr>
        <w:pStyle w:val="NoteandSourceText-BarcRA2"/>
        <w:numPr>
          <w:ilvl w:val="0"/>
          <w:numId w:val="0"/>
        </w:numPr>
        <w:ind w:left="284"/>
        <w:rPr>
          <w:sz w:val="2"/>
          <w:szCs w:val="2"/>
        </w:rPr>
      </w:pPr>
    </w:p>
    <w:p w:rsidR="00902EC8" w:rsidRDefault="00902EC8" w:rsidP="005040A2">
      <w:pPr>
        <w:pStyle w:val="NoteandSourceText-BarcRA2"/>
        <w:numPr>
          <w:ilvl w:val="0"/>
          <w:numId w:val="0"/>
        </w:numPr>
        <w:ind w:left="284"/>
        <w:rPr>
          <w:sz w:val="2"/>
          <w:szCs w:val="2"/>
        </w:rPr>
      </w:pPr>
    </w:p>
    <w:p w:rsidR="00902EC8" w:rsidRDefault="00902EC8" w:rsidP="005040A2">
      <w:pPr>
        <w:pStyle w:val="NoteandSourceText-BarcRA2"/>
        <w:numPr>
          <w:ilvl w:val="0"/>
          <w:numId w:val="0"/>
        </w:numPr>
        <w:ind w:left="284"/>
        <w:rPr>
          <w:sz w:val="2"/>
          <w:szCs w:val="2"/>
        </w:rPr>
      </w:pPr>
    </w:p>
    <w:p w:rsidR="00902EC8" w:rsidRPr="00100BF5" w:rsidRDefault="00902EC8" w:rsidP="005040A2">
      <w:pPr>
        <w:pStyle w:val="NoteandSourceText-BarcRA2"/>
        <w:numPr>
          <w:ilvl w:val="0"/>
          <w:numId w:val="0"/>
        </w:numPr>
        <w:ind w:left="284"/>
        <w:rPr>
          <w:sz w:val="2"/>
          <w:szCs w:val="2"/>
        </w:rPr>
      </w:pPr>
    </w:p>
    <w:p w:rsidR="00AF72CF" w:rsidRDefault="00AF72CF" w:rsidP="005040A2">
      <w:pPr>
        <w:pStyle w:val="NoteandSourceText-BarcRA2"/>
        <w:numPr>
          <w:ilvl w:val="0"/>
          <w:numId w:val="0"/>
        </w:numPr>
        <w:ind w:left="284"/>
        <w:rPr>
          <w:sz w:val="2"/>
          <w:szCs w:val="2"/>
        </w:rPr>
      </w:pPr>
    </w:p>
    <w:p w:rsidR="00E75094" w:rsidRPr="00100BF5" w:rsidRDefault="00E75094" w:rsidP="005040A2">
      <w:pPr>
        <w:pStyle w:val="NoteandSourceText-BarcRA2"/>
        <w:numPr>
          <w:ilvl w:val="0"/>
          <w:numId w:val="0"/>
        </w:numPr>
        <w:ind w:left="284"/>
        <w:rPr>
          <w:sz w:val="2"/>
          <w:szCs w:val="2"/>
        </w:rPr>
      </w:pPr>
    </w:p>
    <w:p w:rsidR="00AF72CF" w:rsidRPr="00100BF5" w:rsidRDefault="00AF72CF" w:rsidP="005040A2">
      <w:pPr>
        <w:pStyle w:val="NoteandSourceText-BarcRA2"/>
        <w:numPr>
          <w:ilvl w:val="0"/>
          <w:numId w:val="0"/>
        </w:numPr>
        <w:ind w:left="284"/>
        <w:rPr>
          <w:sz w:val="2"/>
          <w:szCs w:val="2"/>
        </w:rPr>
      </w:pPr>
    </w:p>
    <w:p w:rsidR="00AF72CF" w:rsidRPr="00100BF5" w:rsidRDefault="00AF72CF" w:rsidP="005040A2">
      <w:pPr>
        <w:pStyle w:val="NoteandSourceText-BarcRA2"/>
        <w:numPr>
          <w:ilvl w:val="0"/>
          <w:numId w:val="0"/>
        </w:numPr>
        <w:ind w:left="284"/>
        <w:rPr>
          <w:sz w:val="2"/>
          <w:szCs w:val="2"/>
        </w:rPr>
      </w:pPr>
    </w:p>
    <w:p w:rsidR="00A12DCA" w:rsidRPr="00100BF5" w:rsidRDefault="00733066" w:rsidP="00A12DCA">
      <w:pPr>
        <w:pStyle w:val="NoteandSourceText-BarcRA2"/>
        <w:ind w:left="284" w:hanging="295"/>
      </w:pPr>
      <w:r w:rsidRPr="00100BF5">
        <w:t xml:space="preserve">In addition </w:t>
      </w:r>
      <w:r w:rsidR="00A12DCA" w:rsidRPr="00100BF5">
        <w:t>Corporate Banking also holds £17.3bn (31 December 2011: £17.2bn) loans and advances as financial assets held at fair value.</w:t>
      </w:r>
    </w:p>
    <w:p w:rsidR="00A12DCA" w:rsidRPr="00100BF5" w:rsidRDefault="00A12DCA" w:rsidP="00733066">
      <w:pPr>
        <w:pStyle w:val="NoteandSourceText-BarcRA2"/>
        <w:ind w:left="284" w:hanging="295"/>
      </w:pPr>
      <w:r w:rsidRPr="00100BF5">
        <w:t xml:space="preserve">Excludes balances relating to the Absa Group, which are managed separately due to local currency and funding requirements. </w:t>
      </w:r>
    </w:p>
    <w:p w:rsidR="00A12DCA" w:rsidRPr="00100BF5" w:rsidRDefault="00902EC8" w:rsidP="00A12DCA">
      <w:pPr>
        <w:pStyle w:val="NoteandSourceText-BarcRA2"/>
        <w:ind w:left="284" w:hanging="295"/>
      </w:pPr>
      <w:r>
        <w:t>Predominantly</w:t>
      </w:r>
      <w:r w:rsidR="00A12DCA" w:rsidRPr="00100BF5">
        <w:t xml:space="preserve"> available for sale investments, trading portfolio assets, financial assets designated at fair value and loans and advances to banks.</w:t>
      </w:r>
    </w:p>
    <w:p w:rsidR="00A12DCA" w:rsidRPr="00100BF5" w:rsidRDefault="00A12DCA" w:rsidP="005F437E">
      <w:pPr>
        <w:pStyle w:val="HeadingLevel1-BarcRA"/>
      </w:pPr>
      <w:r w:rsidRPr="00100BF5">
        <w:br w:type="page"/>
      </w:r>
      <w:r w:rsidR="005F437E">
        <w:t>Funding Risk</w:t>
      </w:r>
    </w:p>
    <w:p w:rsidR="00A12DCA" w:rsidRPr="00100BF5" w:rsidRDefault="00A12DCA" w:rsidP="000C3F6A">
      <w:pPr>
        <w:pStyle w:val="Level1Bullet-BarcRA03"/>
        <w:spacing w:before="0"/>
        <w:rPr>
          <w:lang w:val="en-GB"/>
        </w:rPr>
      </w:pPr>
      <w:r w:rsidRPr="00100BF5">
        <w:rPr>
          <w:lang w:val="en-GB"/>
        </w:rPr>
        <w:t>Trading portfolio assets are largely funded by repurchase agreements. The majority of reverse repurchase agreements (i.e. secured lending) are matched by repurchase agreements. The remainder of reverse repurchase agreements are used to settle trading portfolio liabilities</w:t>
      </w:r>
    </w:p>
    <w:p w:rsidR="00A12DCA" w:rsidRPr="00100BF5" w:rsidRDefault="00A12DCA" w:rsidP="00870ABB">
      <w:pPr>
        <w:pStyle w:val="Level1Bullet-BarcRA03"/>
        <w:rPr>
          <w:lang w:val="en-GB"/>
        </w:rPr>
      </w:pPr>
      <w:r w:rsidRPr="00100BF5">
        <w:rPr>
          <w:lang w:val="en-GB"/>
        </w:rPr>
        <w:t>Derivative assets and liabilities are largely matched. A substantial proportion of balance sheet derivative positions qualify for counterparty netting and the remaining portions largely offset once netted against cash collateral received and paid</w:t>
      </w:r>
    </w:p>
    <w:p w:rsidR="00A12DCA" w:rsidRPr="00100BF5" w:rsidRDefault="00A12DCA" w:rsidP="00870ABB">
      <w:pPr>
        <w:pStyle w:val="Level1Bullet-BarcRA03"/>
        <w:rPr>
          <w:lang w:val="en-GB"/>
        </w:rPr>
      </w:pPr>
      <w:r w:rsidRPr="00100BF5">
        <w:rPr>
          <w:lang w:val="en-GB"/>
        </w:rPr>
        <w:t>The majority of the liquidity pool is funded by wholesale debt maturing i</w:t>
      </w:r>
      <w:r w:rsidR="000F3AC9" w:rsidRPr="00100BF5">
        <w:rPr>
          <w:lang w:val="en-GB"/>
        </w:rPr>
        <w:t>n less than one year</w:t>
      </w:r>
    </w:p>
    <w:p w:rsidR="00A12DCA" w:rsidRPr="00100BF5" w:rsidRDefault="00902EC8" w:rsidP="00870ABB">
      <w:pPr>
        <w:pStyle w:val="Level1Bullet-BarcRA03"/>
        <w:rPr>
          <w:lang w:val="en-GB"/>
        </w:rPr>
      </w:pPr>
      <w:r>
        <w:rPr>
          <w:lang w:val="en-GB"/>
        </w:rPr>
        <w:t>Other</w:t>
      </w:r>
      <w:r w:rsidR="00A12DCA" w:rsidRPr="00100BF5">
        <w:rPr>
          <w:lang w:val="en-GB"/>
        </w:rPr>
        <w:t xml:space="preserve"> assets (mainly being available for sale investments, trading portfolio assets and loans and advances to banks) are largely matched by wholesale debt maturing over an average of 5 years and equity</w:t>
      </w:r>
    </w:p>
    <w:p w:rsidR="00A12DCA" w:rsidRPr="00100BF5" w:rsidRDefault="00A12DCA" w:rsidP="00870ABB">
      <w:pPr>
        <w:pStyle w:val="Level1Bullet-BarcRA03"/>
        <w:rPr>
          <w:lang w:val="en-GB"/>
        </w:rPr>
      </w:pPr>
      <w:r w:rsidRPr="00100BF5">
        <w:rPr>
          <w:lang w:val="en-GB"/>
        </w:rPr>
        <w:t>Repurchase agreements and other secured funding are largely collateralised by government issued bonds and other highly liquid securities. The percentage of secured funding using each asset class as collateral is set out below</w:t>
      </w:r>
    </w:p>
    <w:p w:rsidR="00A12DCA" w:rsidRPr="00100BF5" w:rsidRDefault="00A12DCA"/>
    <w:tbl>
      <w:tblPr>
        <w:tblW w:w="0" w:type="auto"/>
        <w:tblLayout w:type="fixed"/>
        <w:tblLook w:val="0000" w:firstRow="0" w:lastRow="0" w:firstColumn="0" w:lastColumn="0" w:noHBand="0" w:noVBand="0"/>
      </w:tblPr>
      <w:tblGrid>
        <w:gridCol w:w="2820"/>
        <w:gridCol w:w="975"/>
        <w:gridCol w:w="975"/>
        <w:gridCol w:w="975"/>
        <w:gridCol w:w="975"/>
        <w:gridCol w:w="975"/>
        <w:gridCol w:w="975"/>
        <w:gridCol w:w="975"/>
      </w:tblGrid>
      <w:tr w:rsidR="00A12DCA" w:rsidRPr="00100BF5">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16"/>
              </w:rPr>
              <w:t>Secured Funding by Asset Class</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Govt</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Agency</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MBS</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ABS</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Corporate</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Equity</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Other</w:t>
            </w:r>
          </w:p>
        </w:tc>
      </w:tr>
      <w:tr w:rsidR="00A12DCA" w:rsidRPr="00100BF5">
        <w:tblPrEx>
          <w:tblCellMar>
            <w:top w:w="0" w:type="dxa"/>
            <w:bottom w:w="0" w:type="dxa"/>
          </w:tblCellMar>
        </w:tblPrEx>
        <w:trPr>
          <w:trHeight w:val="240"/>
        </w:trPr>
        <w:tc>
          <w:tcPr>
            <w:tcW w:w="28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r>
      <w:tr w:rsidR="00A12DCA" w:rsidRPr="00100BF5">
        <w:tblPrEx>
          <w:tblCellMar>
            <w:top w:w="0" w:type="dxa"/>
            <w:bottom w:w="0" w:type="dxa"/>
          </w:tblCellMar>
        </w:tblPrEx>
        <w:trPr>
          <w:trHeight w:val="240"/>
        </w:trPr>
        <w:tc>
          <w:tcPr>
            <w:tcW w:w="282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rPr>
                <w:sz w:val="16"/>
              </w:rPr>
            </w:pPr>
            <w:r w:rsidRPr="00100BF5">
              <w:rPr>
                <w:b/>
                <w:sz w:val="16"/>
              </w:rPr>
              <w:t>As at 30.06.12</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63 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7 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11 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7 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7 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3 </w:t>
            </w:r>
          </w:p>
        </w:tc>
      </w:tr>
      <w:tr w:rsidR="00A12DCA" w:rsidRPr="00100BF5">
        <w:tblPrEx>
          <w:tblCellMar>
            <w:top w:w="0" w:type="dxa"/>
            <w:bottom w:w="0" w:type="dxa"/>
          </w:tblCellMar>
        </w:tblPrEx>
        <w:trPr>
          <w:trHeight w:val="240"/>
        </w:trPr>
        <w:tc>
          <w:tcPr>
            <w:tcW w:w="282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As at 31.12.11</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66 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2 </w:t>
            </w:r>
          </w:p>
        </w:tc>
      </w:tr>
    </w:tbl>
    <w:p w:rsidR="00A12DCA" w:rsidRPr="00100BF5" w:rsidRDefault="00A12DCA"/>
    <w:p w:rsidR="00A12DCA" w:rsidRPr="00100BF5" w:rsidRDefault="00A12DCA" w:rsidP="00A12DCA">
      <w:pPr>
        <w:pStyle w:val="HeadingLevel2-BarcRA7"/>
        <w:rPr>
          <w:color w:val="auto"/>
        </w:rPr>
      </w:pPr>
      <w:r w:rsidRPr="00100BF5">
        <w:rPr>
          <w:color w:val="auto"/>
        </w:rPr>
        <w:t>Composition of Wholesale Funding</w:t>
      </w:r>
      <w:r w:rsidRPr="00100BF5">
        <w:rPr>
          <w:color w:val="auto"/>
          <w:vertAlign w:val="superscript"/>
        </w:rPr>
        <w:t>1</w:t>
      </w:r>
    </w:p>
    <w:p w:rsidR="00A12DCA" w:rsidRPr="00100BF5" w:rsidRDefault="00A12DCA" w:rsidP="00A12DCA">
      <w:pPr>
        <w:pStyle w:val="BodyText-BarcRA41"/>
        <w:rPr>
          <w:szCs w:val="18"/>
        </w:rPr>
      </w:pPr>
      <w:r w:rsidRPr="00100BF5">
        <w:rPr>
          <w:szCs w:val="18"/>
        </w:rPr>
        <w:t>As at 30 June 2012 total wholesale funding outstanding (excluding repurchase agreements) was £263bn (31 December 2011: £265bn). £118bn of wholesale funding matures in less than one year (31 December 2011: £130bn) of which £2</w:t>
      </w:r>
      <w:r w:rsidR="0052473E">
        <w:rPr>
          <w:szCs w:val="18"/>
        </w:rPr>
        <w:t>3</w:t>
      </w:r>
      <w:r w:rsidRPr="00100BF5">
        <w:rPr>
          <w:szCs w:val="18"/>
        </w:rPr>
        <w:t>bn relates to term funding</w:t>
      </w:r>
      <w:r w:rsidRPr="00100BF5">
        <w:rPr>
          <w:szCs w:val="18"/>
          <w:vertAlign w:val="superscript"/>
        </w:rPr>
        <w:t>2</w:t>
      </w:r>
      <w:r w:rsidRPr="00100BF5">
        <w:rPr>
          <w:szCs w:val="18"/>
        </w:rPr>
        <w:t>.</w:t>
      </w:r>
      <w:r w:rsidR="008B6FF6" w:rsidRPr="00100BF5">
        <w:rPr>
          <w:szCs w:val="18"/>
        </w:rPr>
        <w:t xml:space="preserve"> £145bn of wholesale funding has a residual maturity of over one year.  </w:t>
      </w:r>
    </w:p>
    <w:p w:rsidR="00A12DCA" w:rsidRPr="00100BF5" w:rsidRDefault="00A12DCA" w:rsidP="00A12DCA">
      <w:pPr>
        <w:pStyle w:val="BodyText-BarcRA41"/>
      </w:pPr>
      <w:r w:rsidRPr="00100BF5">
        <w:rPr>
          <w:szCs w:val="18"/>
        </w:rPr>
        <w:t>The Group has £75bn of privately placed senior unsecured notes in issue. The Group issues these notes through a variety of distribution channels including intermediaries and private banks and a large proportion of end users of these products are individual retail investors</w:t>
      </w:r>
      <w:r w:rsidR="000F3AC9" w:rsidRPr="00100BF5">
        <w:rPr>
          <w:szCs w:val="18"/>
        </w:rPr>
        <w:t>.</w:t>
      </w:r>
    </w:p>
    <w:p w:rsidR="00A12DCA" w:rsidRPr="00100BF5" w:rsidRDefault="00A12DCA"/>
    <w:tbl>
      <w:tblPr>
        <w:tblW w:w="0" w:type="auto"/>
        <w:tblLayout w:type="fixed"/>
        <w:tblLook w:val="0000" w:firstRow="0" w:lastRow="0" w:firstColumn="0" w:lastColumn="0" w:noHBand="0" w:noVBand="0"/>
      </w:tblPr>
      <w:tblGrid>
        <w:gridCol w:w="3060"/>
        <w:gridCol w:w="825"/>
        <w:gridCol w:w="825"/>
        <w:gridCol w:w="870"/>
        <w:gridCol w:w="825"/>
        <w:gridCol w:w="825"/>
        <w:gridCol w:w="825"/>
        <w:gridCol w:w="795"/>
        <w:gridCol w:w="795"/>
      </w:tblGrid>
      <w:tr w:rsidR="00A12DCA" w:rsidRPr="00100BF5" w:rsidTr="001F0BC8">
        <w:tblPrEx>
          <w:tblCellMar>
            <w:top w:w="0" w:type="dxa"/>
            <w:bottom w:w="0" w:type="dxa"/>
          </w:tblCellMar>
        </w:tblPrEx>
        <w:trPr>
          <w:trHeight w:val="846"/>
        </w:trPr>
        <w:tc>
          <w:tcPr>
            <w:tcW w:w="3060"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sz w:val="16"/>
              </w:rPr>
              <w:t xml:space="preserve">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vertAlign w:val="superscript"/>
              </w:rPr>
            </w:pPr>
            <w:r w:rsidRPr="00100BF5">
              <w:rPr>
                <w:b/>
                <w:sz w:val="16"/>
              </w:rPr>
              <w:t>Not more than one months</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Over one month but not more than three months</w:t>
            </w:r>
          </w:p>
        </w:tc>
        <w:tc>
          <w:tcPr>
            <w:tcW w:w="87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Over three months but not more than six months</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Over six months but not more than one year</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Sub-total less than one year</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Over one year but not more than three years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Over three years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r w:rsidRPr="00100BF5">
              <w:rPr>
                <w:b/>
                <w:sz w:val="16"/>
                <w:vertAlign w:val="superscript"/>
              </w:rPr>
              <w:t>1 </w:t>
            </w:r>
          </w:p>
        </w:tc>
      </w:tr>
      <w:tr w:rsidR="00A12DCA" w:rsidRPr="00100BF5" w:rsidTr="006A554C">
        <w:tblPrEx>
          <w:tblCellMar>
            <w:top w:w="0" w:type="dxa"/>
            <w:bottom w:w="0" w:type="dxa"/>
          </w:tblCellMar>
        </w:tblPrEx>
        <w:trPr>
          <w:trHeight w:val="240"/>
        </w:trPr>
        <w:tc>
          <w:tcPr>
            <w:tcW w:w="306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b/>
                <w:sz w:val="16"/>
                <w:vertAlign w:val="superscript"/>
              </w:rPr>
            </w:pPr>
            <w:r w:rsidRPr="00100BF5">
              <w:rPr>
                <w:sz w:val="16"/>
              </w:rPr>
              <w:t>£bn</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£bn</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Deposits from Banks</w:t>
            </w:r>
            <w:r w:rsidRPr="00100BF5">
              <w:rPr>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16.7 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7.2 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3.0 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0.5 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27.4 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6.7 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1.5 </w:t>
            </w:r>
          </w:p>
        </w:tc>
        <w:tc>
          <w:tcPr>
            <w:tcW w:w="79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35.6 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CDs and CP</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12.2 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15.4 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13.5 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3.7 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44.8 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2.4 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0.8 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48.0 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Asset Backed Commer</w:t>
            </w:r>
            <w:r w:rsidR="00733066" w:rsidRPr="00100BF5">
              <w:rPr>
                <w:sz w:val="16"/>
              </w:rPr>
              <w:t>ci</w:t>
            </w:r>
            <w:r w:rsidRPr="00100BF5">
              <w:rPr>
                <w:sz w:val="16"/>
              </w:rPr>
              <w:t>al Paper</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4.7 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3.3 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0.1 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8.1 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8.1 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Senior unsecured (Public benchmark)</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2.4 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3.4 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5.8 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11.3 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13.9 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31.0 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Senior unsecured (Privately placed)</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1.4 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2.7 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3.9 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9.5 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17.5 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20.3 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37.5 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75.3 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Covered bonds/ABS</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0.3 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0.7 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1.9 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2.9 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10.4 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14.4 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27.7 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Subordinated liabilities</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0.6 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0.6 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20.1 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21.0 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sz w:val="16"/>
              </w:rPr>
              <w:t>Other</w:t>
            </w:r>
            <w:r w:rsidRPr="00100BF5">
              <w:rPr>
                <w:sz w:val="16"/>
                <w:vertAlign w:val="superscript"/>
              </w:rPr>
              <w:t>3 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vertAlign w:val="superscript"/>
              </w:rPr>
            </w:pPr>
            <w:r w:rsidRPr="00100BF5">
              <w:rPr>
                <w:sz w:val="16"/>
              </w:rPr>
              <w:t>6.8 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1.7 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1.4 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0.9 </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10.8 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1.4 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jc w:val="right"/>
              <w:rPr>
                <w:sz w:val="16"/>
              </w:rPr>
            </w:pPr>
            <w:r w:rsidRPr="00100BF5">
              <w:rPr>
                <w:sz w:val="16"/>
              </w:rPr>
              <w:t>3.6 </w:t>
            </w:r>
          </w:p>
        </w:tc>
        <w:tc>
          <w:tcPr>
            <w:tcW w:w="79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6A554C">
            <w:pPr>
              <w:jc w:val="right"/>
              <w:rPr>
                <w:sz w:val="16"/>
              </w:rPr>
            </w:pPr>
            <w:r w:rsidRPr="00100BF5">
              <w:rPr>
                <w:sz w:val="16"/>
              </w:rPr>
              <w:t>15.8 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b/>
                <w:sz w:val="16"/>
              </w:rPr>
              <w:t>Total</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vertAlign w:val="superscript"/>
              </w:rPr>
            </w:pPr>
            <w:r w:rsidRPr="00100BF5">
              <w:rPr>
                <w:b/>
                <w:sz w:val="16"/>
              </w:rPr>
              <w:t>41.8 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33.0 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22.6 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20.5 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117.9 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52.8 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91.8 </w:t>
            </w:r>
          </w:p>
        </w:tc>
        <w:tc>
          <w:tcPr>
            <w:tcW w:w="79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262.5 </w:t>
            </w:r>
            <w:r w:rsidRPr="00100BF5">
              <w:rPr>
                <w:b/>
                <w:sz w:val="16"/>
                <w:vertAlign w:val="superscript"/>
              </w:rPr>
              <w:t xml:space="preserve"> </w:t>
            </w:r>
          </w:p>
        </w:tc>
      </w:tr>
      <w:tr w:rsidR="00A12DCA" w:rsidRPr="00100BF5" w:rsidTr="006A554C">
        <w:tblPrEx>
          <w:tblCellMar>
            <w:top w:w="0" w:type="dxa"/>
            <w:bottom w:w="0" w:type="dxa"/>
          </w:tblCellMar>
        </w:tblPrEx>
        <w:trPr>
          <w:trHeight w:hRule="exact" w:val="240"/>
        </w:trPr>
        <w:tc>
          <w:tcPr>
            <w:tcW w:w="30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A554C">
            <w:pPr>
              <w:rPr>
                <w:b/>
                <w:sz w:val="16"/>
                <w:vertAlign w:val="superscript"/>
              </w:rPr>
            </w:pPr>
            <w:r w:rsidRPr="00100BF5">
              <w:rPr>
                <w:sz w:val="16"/>
              </w:rPr>
              <w:t xml:space="preserve"> </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vertAlign w:val="superscript"/>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rPr>
                <w:sz w:val="16"/>
                <w:vertAlign w:val="superscript"/>
              </w:rPr>
            </w:pPr>
            <w:r w:rsidRPr="00100BF5">
              <w:rPr>
                <w:b/>
                <w:sz w:val="16"/>
              </w:rPr>
              <w:t>Of which secured</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vertAlign w:val="superscript"/>
              </w:rPr>
            </w:pPr>
            <w:r w:rsidRPr="00100BF5">
              <w:rPr>
                <w:b/>
                <w:sz w:val="16"/>
              </w:rPr>
              <w:t>6.9 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5.2 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2.0 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2.6 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16.7 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11.5 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14.6 </w:t>
            </w:r>
          </w:p>
        </w:tc>
        <w:tc>
          <w:tcPr>
            <w:tcW w:w="79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42.8 </w:t>
            </w:r>
            <w:r w:rsidRPr="00100BF5">
              <w:rPr>
                <w:b/>
                <w:sz w:val="16"/>
                <w:vertAlign w:val="superscript"/>
              </w:rPr>
              <w:t xml:space="preserve"> </w:t>
            </w:r>
          </w:p>
        </w:tc>
      </w:tr>
      <w:tr w:rsidR="00A12DCA" w:rsidRPr="00100BF5" w:rsidTr="006A554C">
        <w:tblPrEx>
          <w:tblCellMar>
            <w:top w:w="0" w:type="dxa"/>
            <w:bottom w:w="0" w:type="dxa"/>
          </w:tblCellMar>
        </w:tblPrEx>
        <w:trPr>
          <w:trHeight w:val="240"/>
        </w:trPr>
        <w:tc>
          <w:tcPr>
            <w:tcW w:w="306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rPr>
                <w:b/>
                <w:sz w:val="16"/>
                <w:vertAlign w:val="superscript"/>
              </w:rPr>
            </w:pPr>
            <w:r w:rsidRPr="00100BF5">
              <w:rPr>
                <w:b/>
                <w:sz w:val="16"/>
              </w:rPr>
              <w:t>Of which unsecured</w:t>
            </w:r>
            <w:r w:rsidRPr="00100BF5">
              <w:rPr>
                <w:b/>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vertAlign w:val="superscript"/>
              </w:rPr>
            </w:pPr>
            <w:r w:rsidRPr="00100BF5">
              <w:rPr>
                <w:b/>
                <w:sz w:val="16"/>
              </w:rPr>
              <w:t>34.9 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27.8 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20.6 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17.9 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101.2 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41.3 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A554C">
            <w:pPr>
              <w:jc w:val="right"/>
              <w:rPr>
                <w:b/>
                <w:sz w:val="16"/>
              </w:rPr>
            </w:pPr>
            <w:r w:rsidRPr="00100BF5">
              <w:rPr>
                <w:b/>
                <w:sz w:val="16"/>
              </w:rPr>
              <w:t>77.2 </w:t>
            </w:r>
          </w:p>
        </w:tc>
        <w:tc>
          <w:tcPr>
            <w:tcW w:w="795" w:type="dxa"/>
            <w:tcBorders>
              <w:top w:val="nil"/>
              <w:left w:val="nil"/>
              <w:bottom w:val="nil"/>
              <w:right w:val="nil"/>
            </w:tcBorders>
            <w:shd w:val="clear" w:color="auto" w:fill="EAEAEA"/>
            <w:tcMar>
              <w:left w:w="36" w:type="dxa"/>
              <w:right w:w="36" w:type="dxa"/>
            </w:tcMar>
            <w:vAlign w:val="center"/>
          </w:tcPr>
          <w:p w:rsidR="00A12DCA" w:rsidRPr="00100BF5" w:rsidRDefault="00A12DCA" w:rsidP="006A554C">
            <w:pPr>
              <w:jc w:val="right"/>
              <w:rPr>
                <w:b/>
                <w:sz w:val="16"/>
              </w:rPr>
            </w:pPr>
            <w:r w:rsidRPr="00100BF5">
              <w:rPr>
                <w:b/>
                <w:sz w:val="16"/>
              </w:rPr>
              <w:t>219.7 </w:t>
            </w:r>
            <w:r w:rsidRPr="00100BF5">
              <w:rPr>
                <w:b/>
                <w:sz w:val="16"/>
                <w:vertAlign w:val="superscript"/>
              </w:rPr>
              <w:t xml:space="preserve"> </w:t>
            </w:r>
          </w:p>
        </w:tc>
      </w:tr>
    </w:tbl>
    <w:p w:rsidR="00A12DCA" w:rsidRPr="00100BF5" w:rsidRDefault="00A12DCA"/>
    <w:p w:rsidR="006A49F3" w:rsidRPr="00100BF5" w:rsidRDefault="006A49F3" w:rsidP="006A49F3">
      <w:pPr>
        <w:pStyle w:val="NoteandSourceText-BarcRA20"/>
        <w:numPr>
          <w:ilvl w:val="0"/>
          <w:numId w:val="0"/>
        </w:numPr>
        <w:ind w:left="284"/>
      </w:pPr>
    </w:p>
    <w:p w:rsidR="006A49F3" w:rsidRPr="00100BF5" w:rsidRDefault="006A49F3" w:rsidP="006A49F3">
      <w:pPr>
        <w:pStyle w:val="NoteandSourceText-BarcRA20"/>
        <w:numPr>
          <w:ilvl w:val="0"/>
          <w:numId w:val="0"/>
        </w:numPr>
        <w:ind w:left="284"/>
      </w:pPr>
    </w:p>
    <w:p w:rsidR="006A49F3" w:rsidRPr="00100BF5" w:rsidRDefault="006A49F3" w:rsidP="006A49F3">
      <w:pPr>
        <w:pStyle w:val="NoteandSourceText-BarcRA20"/>
        <w:numPr>
          <w:ilvl w:val="0"/>
          <w:numId w:val="0"/>
        </w:numPr>
        <w:ind w:left="284"/>
      </w:pPr>
    </w:p>
    <w:p w:rsidR="006A49F3" w:rsidRPr="00100BF5" w:rsidRDefault="006A49F3" w:rsidP="006A49F3">
      <w:pPr>
        <w:pStyle w:val="NoteandSourceText-BarcRA20"/>
        <w:numPr>
          <w:ilvl w:val="0"/>
          <w:numId w:val="0"/>
        </w:numPr>
        <w:ind w:left="284"/>
      </w:pPr>
    </w:p>
    <w:p w:rsidR="006A49F3" w:rsidRPr="00100BF5" w:rsidRDefault="006A49F3" w:rsidP="006A49F3">
      <w:pPr>
        <w:pStyle w:val="NoteandSourceText-BarcRA20"/>
        <w:numPr>
          <w:ilvl w:val="0"/>
          <w:numId w:val="0"/>
        </w:numPr>
        <w:ind w:left="284"/>
      </w:pPr>
    </w:p>
    <w:p w:rsidR="006A49F3" w:rsidRPr="00100BF5" w:rsidRDefault="006A49F3" w:rsidP="006A49F3">
      <w:pPr>
        <w:pStyle w:val="NoteandSourceText-BarcRA20"/>
        <w:numPr>
          <w:ilvl w:val="0"/>
          <w:numId w:val="0"/>
        </w:numPr>
        <w:ind w:left="284"/>
        <w:rPr>
          <w:sz w:val="2"/>
          <w:szCs w:val="2"/>
        </w:rPr>
      </w:pPr>
    </w:p>
    <w:p w:rsidR="00AF72CF" w:rsidRPr="00100BF5" w:rsidRDefault="00AF72CF" w:rsidP="006A49F3">
      <w:pPr>
        <w:pStyle w:val="NoteandSourceText-BarcRA20"/>
        <w:numPr>
          <w:ilvl w:val="0"/>
          <w:numId w:val="0"/>
        </w:numPr>
        <w:ind w:left="284"/>
        <w:rPr>
          <w:sz w:val="2"/>
          <w:szCs w:val="2"/>
        </w:rPr>
      </w:pPr>
    </w:p>
    <w:p w:rsidR="00AF72CF" w:rsidRPr="00100BF5" w:rsidRDefault="00AF72CF" w:rsidP="006A49F3">
      <w:pPr>
        <w:pStyle w:val="NoteandSourceText-BarcRA20"/>
        <w:numPr>
          <w:ilvl w:val="0"/>
          <w:numId w:val="0"/>
        </w:numPr>
        <w:ind w:left="284"/>
        <w:rPr>
          <w:sz w:val="2"/>
          <w:szCs w:val="2"/>
        </w:rPr>
      </w:pPr>
    </w:p>
    <w:p w:rsidR="00AF72CF" w:rsidRPr="00100BF5" w:rsidRDefault="00AF72CF" w:rsidP="006A49F3">
      <w:pPr>
        <w:pStyle w:val="NoteandSourceText-BarcRA20"/>
        <w:numPr>
          <w:ilvl w:val="0"/>
          <w:numId w:val="0"/>
        </w:numPr>
        <w:ind w:left="284"/>
        <w:rPr>
          <w:sz w:val="2"/>
          <w:szCs w:val="2"/>
        </w:rPr>
      </w:pPr>
    </w:p>
    <w:p w:rsidR="00AF72CF" w:rsidRPr="00100BF5" w:rsidRDefault="00AF72CF" w:rsidP="006A49F3">
      <w:pPr>
        <w:pStyle w:val="NoteandSourceText-BarcRA20"/>
        <w:numPr>
          <w:ilvl w:val="0"/>
          <w:numId w:val="0"/>
        </w:numPr>
        <w:ind w:left="284"/>
        <w:rPr>
          <w:sz w:val="2"/>
          <w:szCs w:val="2"/>
        </w:rPr>
      </w:pPr>
    </w:p>
    <w:p w:rsidR="00AF72CF" w:rsidRPr="00100BF5" w:rsidRDefault="00AF72CF" w:rsidP="006A49F3">
      <w:pPr>
        <w:pStyle w:val="NoteandSourceText-BarcRA20"/>
        <w:numPr>
          <w:ilvl w:val="0"/>
          <w:numId w:val="0"/>
        </w:numPr>
        <w:ind w:left="284"/>
        <w:rPr>
          <w:sz w:val="2"/>
          <w:szCs w:val="2"/>
        </w:rPr>
      </w:pPr>
    </w:p>
    <w:p w:rsidR="001F0BC8" w:rsidRPr="00100BF5" w:rsidRDefault="001F0BC8" w:rsidP="006A49F3">
      <w:pPr>
        <w:pStyle w:val="NoteandSourceText-BarcRA20"/>
        <w:numPr>
          <w:ilvl w:val="0"/>
          <w:numId w:val="0"/>
        </w:numPr>
        <w:ind w:left="284"/>
        <w:rPr>
          <w:sz w:val="2"/>
          <w:szCs w:val="2"/>
        </w:rPr>
      </w:pPr>
    </w:p>
    <w:p w:rsidR="001F0BC8" w:rsidRPr="00100BF5" w:rsidRDefault="001F0BC8" w:rsidP="006A49F3">
      <w:pPr>
        <w:pStyle w:val="NoteandSourceText-BarcRA20"/>
        <w:numPr>
          <w:ilvl w:val="0"/>
          <w:numId w:val="0"/>
        </w:numPr>
        <w:ind w:left="284"/>
        <w:rPr>
          <w:sz w:val="2"/>
          <w:szCs w:val="2"/>
        </w:rPr>
      </w:pPr>
    </w:p>
    <w:p w:rsidR="001F0BC8" w:rsidRPr="00100BF5" w:rsidRDefault="001F0BC8" w:rsidP="006A49F3">
      <w:pPr>
        <w:pStyle w:val="NoteandSourceText-BarcRA20"/>
        <w:numPr>
          <w:ilvl w:val="0"/>
          <w:numId w:val="0"/>
        </w:numPr>
        <w:ind w:left="284"/>
        <w:rPr>
          <w:sz w:val="2"/>
          <w:szCs w:val="2"/>
        </w:rPr>
      </w:pPr>
    </w:p>
    <w:p w:rsidR="001F0BC8" w:rsidRDefault="001F0BC8" w:rsidP="006A49F3">
      <w:pPr>
        <w:pStyle w:val="NoteandSourceText-BarcRA20"/>
        <w:numPr>
          <w:ilvl w:val="0"/>
          <w:numId w:val="0"/>
        </w:numPr>
        <w:ind w:left="284"/>
        <w:rPr>
          <w:sz w:val="2"/>
          <w:szCs w:val="2"/>
        </w:rPr>
      </w:pPr>
    </w:p>
    <w:p w:rsidR="000C3F6A" w:rsidRDefault="000C3F6A" w:rsidP="006A49F3">
      <w:pPr>
        <w:pStyle w:val="NoteandSourceText-BarcRA20"/>
        <w:numPr>
          <w:ilvl w:val="0"/>
          <w:numId w:val="0"/>
        </w:numPr>
        <w:ind w:left="284"/>
        <w:rPr>
          <w:sz w:val="2"/>
          <w:szCs w:val="2"/>
        </w:rPr>
      </w:pPr>
    </w:p>
    <w:p w:rsidR="000C3F6A" w:rsidRDefault="000C3F6A" w:rsidP="006A49F3">
      <w:pPr>
        <w:pStyle w:val="NoteandSourceText-BarcRA20"/>
        <w:numPr>
          <w:ilvl w:val="0"/>
          <w:numId w:val="0"/>
        </w:numPr>
        <w:ind w:left="284"/>
        <w:rPr>
          <w:sz w:val="2"/>
          <w:szCs w:val="2"/>
        </w:rPr>
      </w:pPr>
    </w:p>
    <w:p w:rsidR="000C3F6A" w:rsidRDefault="000C3F6A" w:rsidP="006A49F3">
      <w:pPr>
        <w:pStyle w:val="NoteandSourceText-BarcRA20"/>
        <w:numPr>
          <w:ilvl w:val="0"/>
          <w:numId w:val="0"/>
        </w:numPr>
        <w:ind w:left="284"/>
        <w:rPr>
          <w:sz w:val="2"/>
          <w:szCs w:val="2"/>
        </w:rPr>
      </w:pPr>
    </w:p>
    <w:p w:rsidR="000C3F6A" w:rsidRPr="00100BF5" w:rsidRDefault="000C3F6A" w:rsidP="006A49F3">
      <w:pPr>
        <w:pStyle w:val="NoteandSourceText-BarcRA20"/>
        <w:numPr>
          <w:ilvl w:val="0"/>
          <w:numId w:val="0"/>
        </w:numPr>
        <w:ind w:left="284"/>
        <w:rPr>
          <w:sz w:val="2"/>
          <w:szCs w:val="2"/>
        </w:rPr>
      </w:pPr>
    </w:p>
    <w:p w:rsidR="00A12DCA" w:rsidRPr="00100BF5" w:rsidRDefault="00A12DCA" w:rsidP="00A12DCA">
      <w:pPr>
        <w:pStyle w:val="NoteandSourceText-BarcRA20"/>
        <w:ind w:left="284" w:hanging="284"/>
      </w:pPr>
      <w:r w:rsidRPr="00100BF5">
        <w:t>The composition of wholesale funds comprises the balance sheet reported Deposits from Banks, Financial liabilities at Fair Value and Debt Securities in Issue split by product and Subordinated Liabilities, excluding cash collateral and settlement balances</w:t>
      </w:r>
      <w:r w:rsidR="000F3AC9" w:rsidRPr="00100BF5">
        <w:t>, liabilities to customers under investment contracts</w:t>
      </w:r>
      <w:r w:rsidRPr="00100BF5">
        <w:t xml:space="preserve"> and Absa Group balances of £7</w:t>
      </w:r>
      <w:r w:rsidR="000F3AC9" w:rsidRPr="00100BF5">
        <w:t>4</w:t>
      </w:r>
      <w:r w:rsidRPr="00100BF5">
        <w:t>bn in total. Included within deposits from banks are £6.6bn of liabilities drawn down in the European Central Bank's 3 year long-term refinancing operation (LTRO).</w:t>
      </w:r>
    </w:p>
    <w:p w:rsidR="00A12DCA" w:rsidRPr="00100BF5" w:rsidRDefault="00A12DCA" w:rsidP="006A49F3">
      <w:pPr>
        <w:pStyle w:val="NoteandSourceText-BarcRA20"/>
        <w:ind w:left="284" w:hanging="284"/>
      </w:pPr>
      <w:r w:rsidRPr="00100BF5">
        <w:t>Term funding maturities comprise public benchmark and privately placed senior unsecured notes, covered bonds/ABS and subordinated debt where the original maturity of the instrument was more than 1 year. In addition, at 30 June 2012, £</w:t>
      </w:r>
      <w:r w:rsidR="0052473E">
        <w:t>4</w:t>
      </w:r>
      <w:r w:rsidRPr="00100BF5">
        <w:t>bn of these instruments were not counted towards term financing as they had an original maturity of less than 1 year.</w:t>
      </w:r>
    </w:p>
    <w:p w:rsidR="00A12DCA" w:rsidRPr="00100BF5" w:rsidRDefault="00A12DCA" w:rsidP="00A12DCA">
      <w:pPr>
        <w:pStyle w:val="NoteandSourceText-BarcRA20"/>
        <w:ind w:left="284" w:hanging="284"/>
      </w:pPr>
      <w:r w:rsidRPr="00100BF5">
        <w:t>Primarily comprised of fair value deposits and secured financing of physical gold.</w:t>
      </w:r>
    </w:p>
    <w:p w:rsidR="00A12DCA" w:rsidRPr="00100BF5" w:rsidRDefault="00A12DCA" w:rsidP="005F437E">
      <w:pPr>
        <w:pStyle w:val="HeadingLevel1-BarcRA"/>
      </w:pPr>
      <w:r w:rsidRPr="00100BF5">
        <w:br w:type="page"/>
      </w:r>
      <w:r w:rsidR="005F437E">
        <w:t>Funding Risk</w:t>
      </w:r>
    </w:p>
    <w:p w:rsidR="00A12DCA" w:rsidRPr="00100BF5" w:rsidRDefault="00A12DCA" w:rsidP="000C3F6A">
      <w:pPr>
        <w:pStyle w:val="Level1Bullet-BarcRA71"/>
        <w:numPr>
          <w:ilvl w:val="0"/>
          <w:numId w:val="0"/>
        </w:numPr>
        <w:tabs>
          <w:tab w:val="left" w:pos="720"/>
        </w:tabs>
        <w:spacing w:before="0"/>
        <w:rPr>
          <w:lang w:val="en-GB"/>
        </w:rPr>
      </w:pPr>
      <w:r w:rsidRPr="00100BF5">
        <w:t xml:space="preserve">The liquidity risk is carefully managed </w:t>
      </w:r>
      <w:r w:rsidRPr="00100BF5">
        <w:rPr>
          <w:lang w:val="en-GB"/>
        </w:rPr>
        <w:t>primarily through</w:t>
      </w:r>
      <w:r w:rsidRPr="00100BF5">
        <w:t xml:space="preserve"> the LRA stress tests, against which the </w:t>
      </w:r>
      <w:r w:rsidRPr="00100BF5">
        <w:rPr>
          <w:lang w:val="en-GB"/>
        </w:rPr>
        <w:t>l</w:t>
      </w:r>
      <w:r w:rsidRPr="00100BF5">
        <w:t xml:space="preserve">iquidity </w:t>
      </w:r>
      <w:r w:rsidRPr="00100BF5">
        <w:rPr>
          <w:lang w:val="en-GB"/>
        </w:rPr>
        <w:t>p</w:t>
      </w:r>
      <w:r w:rsidRPr="00100BF5">
        <w:t xml:space="preserve">ool is held. </w:t>
      </w:r>
      <w:r w:rsidRPr="00100BF5">
        <w:rPr>
          <w:lang w:val="en-GB"/>
        </w:rPr>
        <w:t>Although not a requirement, as at</w:t>
      </w:r>
      <w:r w:rsidRPr="00100BF5">
        <w:t xml:space="preserve"> 3</w:t>
      </w:r>
      <w:r w:rsidRPr="00100BF5">
        <w:rPr>
          <w:lang w:val="en-GB"/>
        </w:rPr>
        <w:t>0</w:t>
      </w:r>
      <w:r w:rsidRPr="00100BF5">
        <w:t xml:space="preserve"> </w:t>
      </w:r>
      <w:r w:rsidRPr="00100BF5">
        <w:rPr>
          <w:lang w:val="en-GB"/>
        </w:rPr>
        <w:t>June</w:t>
      </w:r>
      <w:r w:rsidRPr="00100BF5">
        <w:t xml:space="preserve"> 201</w:t>
      </w:r>
      <w:r w:rsidRPr="00100BF5">
        <w:rPr>
          <w:lang w:val="en-GB"/>
        </w:rPr>
        <w:t>2,</w:t>
      </w:r>
      <w:r w:rsidRPr="00100BF5">
        <w:t xml:space="preserve"> the </w:t>
      </w:r>
      <w:r w:rsidRPr="00100BF5">
        <w:rPr>
          <w:lang w:val="en-GB"/>
        </w:rPr>
        <w:t>l</w:t>
      </w:r>
      <w:r w:rsidRPr="00100BF5">
        <w:t xml:space="preserve">iquidity </w:t>
      </w:r>
      <w:r w:rsidRPr="00100BF5">
        <w:rPr>
          <w:lang w:val="en-GB"/>
        </w:rPr>
        <w:t>p</w:t>
      </w:r>
      <w:r w:rsidRPr="00100BF5">
        <w:t>ool was equivalent to more than one year of wholesale debt maturities</w:t>
      </w:r>
      <w:r w:rsidR="00D84E58" w:rsidRPr="00100BF5">
        <w:rPr>
          <w:lang w:val="en-GB"/>
        </w:rPr>
        <w:t>.</w:t>
      </w:r>
    </w:p>
    <w:p w:rsidR="00A12DCA" w:rsidRPr="00100BF5" w:rsidRDefault="00A12DCA" w:rsidP="00A12DCA">
      <w:pPr>
        <w:pStyle w:val="Level1Bullet-BarcRA71"/>
        <w:numPr>
          <w:ilvl w:val="0"/>
          <w:numId w:val="0"/>
        </w:numPr>
        <w:tabs>
          <w:tab w:val="left" w:pos="720"/>
        </w:tabs>
        <w:ind w:left="284" w:hanging="284"/>
      </w:pPr>
      <w:r w:rsidRPr="00100BF5">
        <w:rPr>
          <w:lang w:val="en-GB"/>
        </w:rPr>
        <w:t>Excluding wholesale funding of the liquidity pool, the average maturity of wholesale funding was in excess of 65 months</w:t>
      </w:r>
      <w:r w:rsidR="00D84E58" w:rsidRPr="00100BF5">
        <w:rPr>
          <w:lang w:val="en-GB"/>
        </w:rPr>
        <w:t>.</w:t>
      </w:r>
    </w:p>
    <w:p w:rsidR="00A12DCA" w:rsidRPr="00100BF5" w:rsidRDefault="00A12DCA" w:rsidP="00A12DCA">
      <w:pPr>
        <w:pStyle w:val="HeadingLevel2-BarcRA8"/>
        <w:rPr>
          <w:color w:val="auto"/>
        </w:rPr>
      </w:pPr>
      <w:r w:rsidRPr="00100BF5">
        <w:rPr>
          <w:color w:val="auto"/>
        </w:rPr>
        <w:t>Term Financing</w:t>
      </w:r>
    </w:p>
    <w:p w:rsidR="00A12DCA" w:rsidRPr="00100BF5" w:rsidRDefault="00A12DCA" w:rsidP="00A12DCA">
      <w:pPr>
        <w:pStyle w:val="Level1Bullet-BarcRA00"/>
        <w:numPr>
          <w:ilvl w:val="0"/>
          <w:numId w:val="0"/>
        </w:numPr>
        <w:tabs>
          <w:tab w:val="left" w:pos="720"/>
        </w:tabs>
        <w:rPr>
          <w:szCs w:val="18"/>
          <w:lang w:val="en-GB"/>
        </w:rPr>
      </w:pPr>
      <w:r w:rsidRPr="00100BF5">
        <w:rPr>
          <w:lang w:val="en-GB"/>
        </w:rPr>
        <w:t xml:space="preserve">Barclays continues to attract deposits in unsecured money markets and raise additional secured and unsecured term funding in a variety of markets.  During </w:t>
      </w:r>
      <w:r w:rsidR="00882E4A">
        <w:rPr>
          <w:lang w:val="en-GB"/>
        </w:rPr>
        <w:t xml:space="preserve">H1 </w:t>
      </w:r>
      <w:r w:rsidRPr="00100BF5">
        <w:rPr>
          <w:lang w:val="en-GB"/>
        </w:rPr>
        <w:t>12 the Group raised £</w:t>
      </w:r>
      <w:r w:rsidR="00C119D2" w:rsidRPr="00100BF5">
        <w:rPr>
          <w:lang w:val="en-GB"/>
        </w:rPr>
        <w:t>19.9</w:t>
      </w:r>
      <w:r w:rsidRPr="00100BF5">
        <w:rPr>
          <w:lang w:val="en-GB"/>
        </w:rPr>
        <w:t>bn of term funding comprising</w:t>
      </w:r>
      <w:r w:rsidRPr="00100BF5">
        <w:rPr>
          <w:szCs w:val="18"/>
          <w:lang w:val="en-GB"/>
        </w:rPr>
        <w:t>:</w:t>
      </w:r>
    </w:p>
    <w:p w:rsidR="00A12DCA" w:rsidRPr="00100BF5" w:rsidRDefault="00A12DCA" w:rsidP="00870ABB">
      <w:pPr>
        <w:pStyle w:val="Level1Bullet-BarcRA03"/>
        <w:rPr>
          <w:lang w:val="en-GB"/>
        </w:rPr>
      </w:pPr>
      <w:r w:rsidRPr="00100BF5">
        <w:rPr>
          <w:lang w:val="en-GB"/>
        </w:rPr>
        <w:t>£3.5bn equivalent of public benchmark senior unsecured</w:t>
      </w:r>
    </w:p>
    <w:p w:rsidR="00A12DCA" w:rsidRPr="00100BF5" w:rsidRDefault="00A12DCA" w:rsidP="00870ABB">
      <w:pPr>
        <w:pStyle w:val="Level1Bullet-BarcRA03"/>
        <w:rPr>
          <w:lang w:val="en-GB"/>
        </w:rPr>
      </w:pPr>
      <w:r w:rsidRPr="00100BF5">
        <w:rPr>
          <w:lang w:val="en-GB"/>
        </w:rPr>
        <w:t>£</w:t>
      </w:r>
      <w:r w:rsidR="00651A81" w:rsidRPr="00100BF5">
        <w:rPr>
          <w:lang w:val="en-GB"/>
        </w:rPr>
        <w:t>6</w:t>
      </w:r>
      <w:r w:rsidRPr="00100BF5">
        <w:rPr>
          <w:lang w:val="en-GB"/>
        </w:rPr>
        <w:t>.</w:t>
      </w:r>
      <w:r w:rsidR="00651A81" w:rsidRPr="00100BF5">
        <w:rPr>
          <w:lang w:val="en-GB"/>
        </w:rPr>
        <w:t>7</w:t>
      </w:r>
      <w:r w:rsidRPr="00100BF5">
        <w:rPr>
          <w:lang w:val="en-GB"/>
        </w:rPr>
        <w:t xml:space="preserve">bn equivalent of privately placed senior unsecured </w:t>
      </w:r>
    </w:p>
    <w:p w:rsidR="00A12DCA" w:rsidRPr="00100BF5" w:rsidRDefault="00A12DCA" w:rsidP="00870ABB">
      <w:pPr>
        <w:pStyle w:val="Level1Bullet-BarcRA03"/>
        <w:rPr>
          <w:lang w:val="en-GB"/>
        </w:rPr>
      </w:pPr>
      <w:r w:rsidRPr="00100BF5">
        <w:rPr>
          <w:lang w:val="en-GB"/>
        </w:rPr>
        <w:t>£9.7bn equivalent of secured</w:t>
      </w:r>
      <w:r w:rsidRPr="00100BF5">
        <w:rPr>
          <w:vertAlign w:val="superscript"/>
          <w:lang w:val="en-GB"/>
        </w:rPr>
        <w:t>1</w:t>
      </w:r>
    </w:p>
    <w:p w:rsidR="00A12DCA" w:rsidRPr="00100BF5" w:rsidRDefault="00A12DCA" w:rsidP="006A49F3">
      <w:pPr>
        <w:pStyle w:val="BodyText-BarcRA40"/>
      </w:pPr>
      <w:r w:rsidRPr="00100BF5">
        <w:t>The Group has £1</w:t>
      </w:r>
      <w:r w:rsidR="00651A81" w:rsidRPr="00100BF5">
        <w:t>1</w:t>
      </w:r>
      <w:r w:rsidRPr="00100BF5">
        <w:t>bn of term funding maturing in the remainder of 2012 (31 December 2011: £27bn) and a further £1</w:t>
      </w:r>
      <w:r w:rsidR="00651A81" w:rsidRPr="00100BF5">
        <w:t>8</w:t>
      </w:r>
      <w:r w:rsidRPr="00100BF5">
        <w:t>bn maturing in 2013.</w:t>
      </w:r>
    </w:p>
    <w:p w:rsidR="00A12DCA" w:rsidRPr="00100BF5" w:rsidRDefault="00A12DCA" w:rsidP="00A12DCA">
      <w:pPr>
        <w:pStyle w:val="HeadingLevel2-BarcRA9"/>
        <w:rPr>
          <w:color w:val="auto"/>
        </w:rPr>
      </w:pPr>
      <w:r w:rsidRPr="00100BF5">
        <w:rPr>
          <w:color w:val="auto"/>
        </w:rPr>
        <w:t>Currency Profile</w:t>
      </w:r>
    </w:p>
    <w:p w:rsidR="00A12DCA" w:rsidRPr="00100BF5" w:rsidRDefault="00A12DCA" w:rsidP="00A12DCA">
      <w:pPr>
        <w:pStyle w:val="BodyText-BarcRA42"/>
      </w:pPr>
      <w:r w:rsidRPr="00100BF5">
        <w:t>As at 30 June 2012 the Group’s wholesale funds and liquidity pool were well diversified by major currency as follows:</w:t>
      </w:r>
    </w:p>
    <w:p w:rsidR="00A12DCA" w:rsidRPr="00100BF5" w:rsidRDefault="00A12DCA"/>
    <w:tbl>
      <w:tblPr>
        <w:tblW w:w="0" w:type="auto"/>
        <w:tblLayout w:type="fixed"/>
        <w:tblLook w:val="0000" w:firstRow="0" w:lastRow="0" w:firstColumn="0" w:lastColumn="0" w:noHBand="0" w:noVBand="0"/>
      </w:tblPr>
      <w:tblGrid>
        <w:gridCol w:w="4485"/>
        <w:gridCol w:w="1290"/>
        <w:gridCol w:w="1290"/>
        <w:gridCol w:w="1290"/>
        <w:gridCol w:w="1290"/>
      </w:tblGrid>
      <w:tr w:rsidR="00A12DCA" w:rsidRPr="00100BF5" w:rsidTr="00DD5BD2">
        <w:tblPrEx>
          <w:tblCellMar>
            <w:top w:w="0" w:type="dxa"/>
            <w:bottom w:w="0" w:type="dxa"/>
          </w:tblCellMar>
        </w:tblPrEx>
        <w:trPr>
          <w:trHeigh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r w:rsidRPr="00100BF5">
              <w:rPr>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b/>
                <w:sz w:val="16"/>
              </w:rPr>
              <w:t>USD</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b/>
                <w:sz w:val="16"/>
              </w:rPr>
              <w:t>EUR</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b/>
                <w:sz w:val="16"/>
              </w:rPr>
              <w:t>GBP</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b/>
                <w:sz w:val="16"/>
              </w:rPr>
              <w:t>Other</w:t>
            </w:r>
            <w:r w:rsidRPr="00100BF5">
              <w:rPr>
                <w:b/>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D5BD2">
            <w:pPr>
              <w:rPr>
                <w:b/>
                <w:sz w:val="16"/>
                <w:vertAlign w:val="superscript"/>
              </w:rPr>
            </w:pPr>
            <w:r w:rsidRPr="00100BF5">
              <w:rPr>
                <w:b/>
                <w:sz w:val="16"/>
              </w:rPr>
              <w:t>Currency Split by Product Type</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D5BD2">
            <w:pPr>
              <w:jc w:val="right"/>
              <w:rPr>
                <w:b/>
                <w:sz w:val="16"/>
              </w:rPr>
            </w:pPr>
            <w:r w:rsidRPr="00100BF5">
              <w:rPr>
                <w:sz w:val="16"/>
              </w:rPr>
              <w:t>%</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w:t>
            </w:r>
            <w:r w:rsidRPr="00100BF5">
              <w:rPr>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sz w:val="16"/>
              </w:rPr>
              <w:t>Deposits from Banks</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14 </w:t>
            </w:r>
            <w:r w:rsidRPr="00100BF5">
              <w:rPr>
                <w:sz w:val="16"/>
                <w:vertAlign w:val="superscript"/>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58 </w:t>
            </w:r>
            <w:r w:rsidRPr="00100BF5">
              <w:rPr>
                <w:sz w:val="16"/>
                <w:vertAlign w:val="superscript"/>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16 </w:t>
            </w:r>
            <w:r w:rsidRPr="00100BF5">
              <w:rPr>
                <w:sz w:val="16"/>
                <w:vertAlign w:val="superscript"/>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12 </w:t>
            </w:r>
            <w:r w:rsidRPr="00100BF5">
              <w:rPr>
                <w:b/>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b/>
                <w:sz w:val="16"/>
                <w:vertAlign w:val="superscript"/>
              </w:rPr>
            </w:pPr>
            <w:r w:rsidRPr="00100BF5">
              <w:rPr>
                <w:sz w:val="16"/>
              </w:rPr>
              <w:t>CDs and CP</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51 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29 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20 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 </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sz w:val="16"/>
              </w:rPr>
              <w:t>Asset Backed Commer</w:t>
            </w:r>
            <w:r w:rsidR="00D84E58" w:rsidRPr="00100BF5">
              <w:rPr>
                <w:sz w:val="16"/>
              </w:rPr>
              <w:t>ci</w:t>
            </w:r>
            <w:r w:rsidRPr="00100BF5">
              <w:rPr>
                <w:sz w:val="16"/>
              </w:rPr>
              <w:t>al Paper</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82 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11 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7 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 </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sz w:val="16"/>
              </w:rPr>
              <w:t>Senior unsecured</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31 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32 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15 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22 </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sz w:val="16"/>
              </w:rPr>
              <w:t>Covered bonds/ABS</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651A81" w:rsidP="00DD5BD2">
            <w:pPr>
              <w:jc w:val="right"/>
              <w:rPr>
                <w:sz w:val="16"/>
              </w:rPr>
            </w:pPr>
            <w:r w:rsidRPr="00100BF5">
              <w:rPr>
                <w:sz w:val="16"/>
              </w:rPr>
              <w:t>22</w:t>
            </w:r>
            <w:r w:rsidR="00A12DCA" w:rsidRPr="00100BF5">
              <w:rPr>
                <w:sz w:val="16"/>
              </w:rPr>
              <w:t> </w:t>
            </w:r>
            <w:r w:rsidR="00A12DCA"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651A81" w:rsidP="00DD5BD2">
            <w:pPr>
              <w:jc w:val="right"/>
              <w:rPr>
                <w:sz w:val="16"/>
                <w:vertAlign w:val="superscript"/>
              </w:rPr>
            </w:pPr>
            <w:r w:rsidRPr="00100BF5">
              <w:rPr>
                <w:sz w:val="16"/>
              </w:rPr>
              <w:t>57</w:t>
            </w:r>
            <w:r w:rsidR="00A12DCA" w:rsidRPr="00100BF5">
              <w:rPr>
                <w:sz w:val="16"/>
              </w:rPr>
              <w:t> </w:t>
            </w:r>
            <w:r w:rsidR="00A12DCA"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651A81" w:rsidP="00DD5BD2">
            <w:pPr>
              <w:jc w:val="right"/>
              <w:rPr>
                <w:sz w:val="16"/>
                <w:vertAlign w:val="superscript"/>
              </w:rPr>
            </w:pPr>
            <w:r w:rsidRPr="00100BF5">
              <w:rPr>
                <w:sz w:val="16"/>
              </w:rPr>
              <w:t>20</w:t>
            </w:r>
            <w:r w:rsidR="00A12DCA" w:rsidRPr="00100BF5">
              <w:rPr>
                <w:sz w:val="16"/>
              </w:rPr>
              <w:t> </w:t>
            </w:r>
            <w:r w:rsidR="00A12DCA"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1 </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sz w:val="16"/>
              </w:rPr>
              <w:t>Subordinated Debt</w:t>
            </w:r>
          </w:p>
        </w:tc>
        <w:tc>
          <w:tcPr>
            <w:tcW w:w="1290" w:type="dxa"/>
            <w:tcBorders>
              <w:top w:val="nil"/>
              <w:left w:val="nil"/>
              <w:bottom w:val="single" w:sz="6" w:space="0" w:color="777777"/>
              <w:right w:val="nil"/>
            </w:tcBorders>
            <w:shd w:val="clear" w:color="auto" w:fill="FFFFFF"/>
            <w:tcMar>
              <w:left w:w="36" w:type="dxa"/>
              <w:right w:w="36" w:type="dxa"/>
            </w:tcMar>
            <w:vAlign w:val="center"/>
          </w:tcPr>
          <w:p w:rsidR="00A12DCA" w:rsidRPr="00100BF5" w:rsidRDefault="00651A81" w:rsidP="00DD5BD2">
            <w:pPr>
              <w:jc w:val="right"/>
              <w:rPr>
                <w:sz w:val="16"/>
              </w:rPr>
            </w:pPr>
            <w:r w:rsidRPr="00100BF5">
              <w:rPr>
                <w:sz w:val="16"/>
              </w:rPr>
              <w:t>30</w:t>
            </w:r>
            <w:r w:rsidR="00A12DCA" w:rsidRPr="00100BF5">
              <w:rPr>
                <w:sz w:val="16"/>
              </w:rPr>
              <w:t> </w:t>
            </w:r>
            <w:r w:rsidR="00A12DCA" w:rsidRPr="00100BF5">
              <w:rPr>
                <w:sz w:val="16"/>
                <w:vertAlign w:val="superscript"/>
              </w:rPr>
              <w:t xml:space="preserve"> </w:t>
            </w:r>
          </w:p>
        </w:tc>
        <w:tc>
          <w:tcPr>
            <w:tcW w:w="1290" w:type="dxa"/>
            <w:tcBorders>
              <w:top w:val="nil"/>
              <w:left w:val="nil"/>
              <w:bottom w:val="single" w:sz="6" w:space="0" w:color="777777"/>
              <w:right w:val="nil"/>
            </w:tcBorders>
            <w:shd w:val="clear" w:color="auto" w:fill="FFFFFF"/>
            <w:tcMar>
              <w:left w:w="36" w:type="dxa"/>
              <w:right w:w="36" w:type="dxa"/>
            </w:tcMar>
            <w:vAlign w:val="center"/>
          </w:tcPr>
          <w:p w:rsidR="00A12DCA" w:rsidRPr="00100BF5" w:rsidRDefault="00651A81" w:rsidP="00DD5BD2">
            <w:pPr>
              <w:jc w:val="right"/>
              <w:rPr>
                <w:sz w:val="16"/>
                <w:vertAlign w:val="superscript"/>
              </w:rPr>
            </w:pPr>
            <w:r w:rsidRPr="00100BF5">
              <w:rPr>
                <w:sz w:val="16"/>
              </w:rPr>
              <w:t>26</w:t>
            </w:r>
            <w:r w:rsidR="00A12DCA" w:rsidRPr="00100BF5">
              <w:rPr>
                <w:sz w:val="16"/>
              </w:rPr>
              <w:t> </w:t>
            </w:r>
            <w:r w:rsidR="00A12DCA" w:rsidRPr="00100BF5">
              <w:rPr>
                <w:sz w:val="16"/>
                <w:vertAlign w:val="superscript"/>
              </w:rPr>
              <w:t xml:space="preserve"> </w:t>
            </w:r>
          </w:p>
        </w:tc>
        <w:tc>
          <w:tcPr>
            <w:tcW w:w="1290" w:type="dxa"/>
            <w:tcBorders>
              <w:top w:val="nil"/>
              <w:left w:val="nil"/>
              <w:bottom w:val="single" w:sz="6" w:space="0" w:color="777777"/>
              <w:right w:val="nil"/>
            </w:tcBorders>
            <w:shd w:val="clear" w:color="auto" w:fill="FFFFFF"/>
            <w:tcMar>
              <w:left w:w="36" w:type="dxa"/>
              <w:right w:w="36" w:type="dxa"/>
            </w:tcMar>
            <w:vAlign w:val="center"/>
          </w:tcPr>
          <w:p w:rsidR="00A12DCA" w:rsidRPr="00100BF5" w:rsidRDefault="00651A81" w:rsidP="00DD5BD2">
            <w:pPr>
              <w:jc w:val="right"/>
              <w:rPr>
                <w:sz w:val="16"/>
                <w:vertAlign w:val="superscript"/>
              </w:rPr>
            </w:pPr>
            <w:r w:rsidRPr="00100BF5">
              <w:rPr>
                <w:sz w:val="16"/>
              </w:rPr>
              <w:t>43</w:t>
            </w:r>
            <w:r w:rsidR="00A12DCA" w:rsidRPr="00100BF5">
              <w:rPr>
                <w:sz w:val="16"/>
              </w:rPr>
              <w:t> </w:t>
            </w:r>
            <w:r w:rsidR="00A12DCA" w:rsidRPr="00100BF5">
              <w:rPr>
                <w:sz w:val="16"/>
                <w:vertAlign w:val="superscript"/>
              </w:rPr>
              <w:t xml:space="preserve"> </w:t>
            </w:r>
          </w:p>
        </w:tc>
        <w:tc>
          <w:tcPr>
            <w:tcW w:w="1290" w:type="dxa"/>
            <w:tcBorders>
              <w:top w:val="nil"/>
              <w:left w:val="nil"/>
              <w:bottom w:val="single" w:sz="6" w:space="0" w:color="777777"/>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1 </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b/>
                <w:sz w:val="16"/>
              </w:rPr>
              <w:t>Wholesale debt</w:t>
            </w:r>
          </w:p>
        </w:tc>
        <w:tc>
          <w:tcPr>
            <w:tcW w:w="1290" w:type="dxa"/>
            <w:tcBorders>
              <w:top w:val="single" w:sz="6" w:space="0" w:color="777777"/>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rPr>
            </w:pPr>
            <w:r w:rsidRPr="00100BF5">
              <w:rPr>
                <w:b/>
                <w:sz w:val="16"/>
              </w:rPr>
              <w:t>33 </w:t>
            </w:r>
            <w:r w:rsidRPr="00100BF5">
              <w:rPr>
                <w:b/>
                <w:sz w:val="16"/>
                <w:vertAlign w:val="superscript"/>
              </w:rPr>
              <w:t xml:space="preserve"> </w:t>
            </w:r>
          </w:p>
        </w:tc>
        <w:tc>
          <w:tcPr>
            <w:tcW w:w="1290" w:type="dxa"/>
            <w:tcBorders>
              <w:top w:val="single" w:sz="6" w:space="0" w:color="777777"/>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vertAlign w:val="superscript"/>
              </w:rPr>
            </w:pPr>
            <w:r w:rsidRPr="00100BF5">
              <w:rPr>
                <w:b/>
                <w:sz w:val="16"/>
              </w:rPr>
              <w:t>37 </w:t>
            </w:r>
            <w:r w:rsidRPr="00100BF5">
              <w:rPr>
                <w:b/>
                <w:sz w:val="16"/>
                <w:vertAlign w:val="superscript"/>
              </w:rPr>
              <w:t xml:space="preserve"> </w:t>
            </w:r>
          </w:p>
        </w:tc>
        <w:tc>
          <w:tcPr>
            <w:tcW w:w="1290" w:type="dxa"/>
            <w:tcBorders>
              <w:top w:val="single" w:sz="6" w:space="0" w:color="777777"/>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vertAlign w:val="superscript"/>
              </w:rPr>
            </w:pPr>
            <w:r w:rsidRPr="00100BF5">
              <w:rPr>
                <w:b/>
                <w:sz w:val="16"/>
              </w:rPr>
              <w:t>19 </w:t>
            </w:r>
            <w:r w:rsidRPr="00100BF5">
              <w:rPr>
                <w:b/>
                <w:sz w:val="16"/>
                <w:vertAlign w:val="superscript"/>
              </w:rPr>
              <w:t xml:space="preserve"> </w:t>
            </w:r>
          </w:p>
        </w:tc>
        <w:tc>
          <w:tcPr>
            <w:tcW w:w="1290" w:type="dxa"/>
            <w:tcBorders>
              <w:top w:val="single" w:sz="6" w:space="0" w:color="777777"/>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vertAlign w:val="superscript"/>
              </w:rPr>
            </w:pPr>
            <w:r w:rsidRPr="00100BF5">
              <w:rPr>
                <w:b/>
                <w:sz w:val="16"/>
              </w:rPr>
              <w:t>11 </w:t>
            </w:r>
            <w:r w:rsidRPr="00100BF5">
              <w:rPr>
                <w:sz w:val="16"/>
                <w:vertAlign w:val="superscript"/>
              </w:rPr>
              <w:t xml:space="preserve"> </w:t>
            </w:r>
          </w:p>
        </w:tc>
      </w:tr>
      <w:tr w:rsidR="00A12DCA" w:rsidRPr="00100BF5" w:rsidTr="00DD5BD2">
        <w:tblPrEx>
          <w:tblCellMar>
            <w:top w:w="0" w:type="dxa"/>
            <w:bottom w:w="0" w:type="dxa"/>
          </w:tblCellMar>
        </w:tblPrEx>
        <w:trPr>
          <w:trHeight w:hRule="exac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 xml:space="preserve">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 xml:space="preserve">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 xml:space="preserve"> </w:t>
            </w:r>
            <w:r w:rsidRPr="00100BF5">
              <w:rPr>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vertAlign w:val="superscript"/>
              </w:rPr>
            </w:pPr>
            <w:r w:rsidRPr="00100BF5">
              <w:rPr>
                <w:sz w:val="16"/>
              </w:rPr>
              <w:t xml:space="preserve"> </w:t>
            </w:r>
            <w:r w:rsidRPr="00100BF5">
              <w:rPr>
                <w:sz w:val="16"/>
                <w:vertAlign w:val="superscript"/>
              </w:rPr>
              <w:t xml:space="preserve"> </w:t>
            </w:r>
          </w:p>
        </w:tc>
      </w:tr>
      <w:tr w:rsidR="00A12DCA" w:rsidRPr="00100BF5" w:rsidTr="00DD5BD2">
        <w:tblPrEx>
          <w:tblCellMar>
            <w:top w:w="0" w:type="dxa"/>
            <w:bottom w:w="0" w:type="dxa"/>
          </w:tblCellMar>
        </w:tblPrEx>
        <w:trPr>
          <w:trHeight w:val="240"/>
        </w:trPr>
        <w:tc>
          <w:tcPr>
            <w:tcW w:w="448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vertAlign w:val="superscript"/>
              </w:rPr>
            </w:pPr>
            <w:r w:rsidRPr="00100BF5">
              <w:rPr>
                <w:b/>
                <w:sz w:val="16"/>
              </w:rPr>
              <w:t>Currency composition of liquidity pool</w:t>
            </w:r>
          </w:p>
        </w:tc>
        <w:tc>
          <w:tcPr>
            <w:tcW w:w="1290" w:type="dxa"/>
            <w:tcBorders>
              <w:top w:val="nil"/>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rPr>
            </w:pPr>
            <w:r w:rsidRPr="00100BF5">
              <w:rPr>
                <w:b/>
                <w:sz w:val="16"/>
              </w:rPr>
              <w:t>20 </w:t>
            </w:r>
            <w:r w:rsidRPr="00100BF5">
              <w:rPr>
                <w:b/>
                <w:sz w:val="16"/>
                <w:vertAlign w:val="superscript"/>
              </w:rPr>
              <w:t xml:space="preserve"> </w:t>
            </w:r>
          </w:p>
        </w:tc>
        <w:tc>
          <w:tcPr>
            <w:tcW w:w="1290" w:type="dxa"/>
            <w:tcBorders>
              <w:top w:val="nil"/>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vertAlign w:val="superscript"/>
              </w:rPr>
            </w:pPr>
            <w:r w:rsidRPr="00100BF5">
              <w:rPr>
                <w:b/>
                <w:sz w:val="16"/>
              </w:rPr>
              <w:t>48 </w:t>
            </w:r>
            <w:r w:rsidRPr="00100BF5">
              <w:rPr>
                <w:b/>
                <w:sz w:val="16"/>
                <w:vertAlign w:val="superscript"/>
              </w:rPr>
              <w:t xml:space="preserve"> </w:t>
            </w:r>
          </w:p>
        </w:tc>
        <w:tc>
          <w:tcPr>
            <w:tcW w:w="1290" w:type="dxa"/>
            <w:tcBorders>
              <w:top w:val="nil"/>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vertAlign w:val="superscript"/>
              </w:rPr>
            </w:pPr>
            <w:r w:rsidRPr="00100BF5">
              <w:rPr>
                <w:b/>
                <w:sz w:val="16"/>
              </w:rPr>
              <w:t>14 </w:t>
            </w:r>
            <w:r w:rsidRPr="00100BF5">
              <w:rPr>
                <w:b/>
                <w:sz w:val="16"/>
                <w:vertAlign w:val="superscript"/>
              </w:rPr>
              <w:t xml:space="preserve"> </w:t>
            </w:r>
          </w:p>
        </w:tc>
        <w:tc>
          <w:tcPr>
            <w:tcW w:w="1290" w:type="dxa"/>
            <w:tcBorders>
              <w:top w:val="nil"/>
              <w:left w:val="nil"/>
              <w:bottom w:val="nil"/>
              <w:right w:val="nil"/>
            </w:tcBorders>
            <w:shd w:val="clear" w:color="auto" w:fill="F2F2F2"/>
            <w:tcMar>
              <w:left w:w="36" w:type="dxa"/>
              <w:right w:w="36" w:type="dxa"/>
            </w:tcMar>
            <w:vAlign w:val="center"/>
          </w:tcPr>
          <w:p w:rsidR="00A12DCA" w:rsidRPr="00100BF5" w:rsidRDefault="00A12DCA" w:rsidP="00DD5BD2">
            <w:pPr>
              <w:jc w:val="right"/>
              <w:rPr>
                <w:b/>
                <w:sz w:val="16"/>
                <w:vertAlign w:val="superscript"/>
              </w:rPr>
            </w:pPr>
            <w:r w:rsidRPr="00100BF5">
              <w:rPr>
                <w:b/>
                <w:sz w:val="16"/>
              </w:rPr>
              <w:t>18 </w:t>
            </w:r>
            <w:r w:rsidRPr="00100BF5">
              <w:rPr>
                <w:sz w:val="16"/>
                <w:vertAlign w:val="superscript"/>
              </w:rPr>
              <w:t xml:space="preserve"> </w:t>
            </w:r>
          </w:p>
        </w:tc>
      </w:tr>
    </w:tbl>
    <w:p w:rsidR="00A12DCA" w:rsidRPr="00100BF5" w:rsidRDefault="00A12DCA"/>
    <w:p w:rsidR="00A12DCA" w:rsidRPr="00100BF5" w:rsidRDefault="00A12DCA" w:rsidP="00870ABB">
      <w:pPr>
        <w:pStyle w:val="Level1Bullet-BarcRA03"/>
        <w:rPr>
          <w:lang w:val="en-GB"/>
        </w:rPr>
      </w:pPr>
      <w:r w:rsidRPr="00100BF5">
        <w:rPr>
          <w:lang w:val="en-GB"/>
        </w:rPr>
        <w:t>To manage cross-currency refinancing risk Barclays manages to FX cash-flow limits, which limit the risk at specific maturities</w:t>
      </w:r>
    </w:p>
    <w:p w:rsidR="00A12DCA" w:rsidRPr="00100BF5" w:rsidRDefault="00A12DCA" w:rsidP="00870ABB">
      <w:pPr>
        <w:pStyle w:val="Level1Bullet-BarcRA03"/>
        <w:rPr>
          <w:lang w:val="en-GB"/>
        </w:rPr>
      </w:pPr>
      <w:r w:rsidRPr="00100BF5">
        <w:rPr>
          <w:lang w:val="en-GB"/>
        </w:rPr>
        <w:t>The Group’s liquidity pool is also well diversified by major currency in order to meet potential stress outflows under the three LRA stress scenarios, which the Group monitors for major currencies</w:t>
      </w:r>
    </w:p>
    <w:p w:rsidR="00A12DCA" w:rsidRPr="00100BF5" w:rsidRDefault="00A12DCA" w:rsidP="00A12DCA">
      <w:pPr>
        <w:pStyle w:val="Level1Bullet-BarcRA100"/>
        <w:numPr>
          <w:ilvl w:val="0"/>
          <w:numId w:val="0"/>
        </w:numPr>
        <w:tabs>
          <w:tab w:val="left" w:pos="720"/>
        </w:tabs>
        <w:rPr>
          <w:b/>
          <w:sz w:val="20"/>
        </w:rPr>
      </w:pPr>
      <w:r w:rsidRPr="00100BF5">
        <w:rPr>
          <w:b/>
          <w:sz w:val="20"/>
        </w:rPr>
        <w:t>Credit Rating</w:t>
      </w:r>
    </w:p>
    <w:p w:rsidR="00A12DCA" w:rsidRPr="00100BF5" w:rsidRDefault="00A12DCA" w:rsidP="00A12DCA">
      <w:pPr>
        <w:pStyle w:val="BodyText-BarcRA43"/>
      </w:pPr>
      <w:r w:rsidRPr="00100BF5">
        <w:t>In addition to monitoring and managing key metrics related to the financial strength of Barclays, the Group subscribes to independent credit rating agency reviews by Standard &amp; Poor’s, Moody’s</w:t>
      </w:r>
      <w:r w:rsidR="000F3AC9" w:rsidRPr="00100BF5">
        <w:t xml:space="preserve">, </w:t>
      </w:r>
      <w:r w:rsidRPr="00100BF5">
        <w:t>Fitch</w:t>
      </w:r>
      <w:r w:rsidR="000F3AC9" w:rsidRPr="00100BF5">
        <w:t xml:space="preserve"> and DBRS</w:t>
      </w:r>
      <w:r w:rsidRPr="00100BF5">
        <w:t>.</w:t>
      </w:r>
    </w:p>
    <w:p w:rsidR="00A12DCA" w:rsidRPr="00100BF5" w:rsidRDefault="00A12DCA"/>
    <w:tbl>
      <w:tblPr>
        <w:tblW w:w="0" w:type="auto"/>
        <w:tblLayout w:type="fixed"/>
        <w:tblLook w:val="0000" w:firstRow="0" w:lastRow="0" w:firstColumn="0" w:lastColumn="0" w:noHBand="0" w:noVBand="0"/>
      </w:tblPr>
      <w:tblGrid>
        <w:gridCol w:w="2446"/>
        <w:gridCol w:w="1604"/>
        <w:gridCol w:w="1875"/>
        <w:gridCol w:w="1875"/>
        <w:gridCol w:w="1875"/>
      </w:tblGrid>
      <w:tr w:rsidR="00A12DCA" w:rsidRPr="00100BF5" w:rsidTr="006E32B6">
        <w:tblPrEx>
          <w:tblCellMar>
            <w:top w:w="0" w:type="dxa"/>
            <w:bottom w:w="0" w:type="dxa"/>
          </w:tblCellMar>
        </w:tblPrEx>
        <w:trPr>
          <w:trHeight w:val="300"/>
        </w:trPr>
        <w:tc>
          <w:tcPr>
            <w:tcW w:w="2446"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rsidP="006949F6">
            <w:r w:rsidRPr="00100BF5">
              <w:rPr>
                <w:b/>
                <w:sz w:val="16"/>
              </w:rPr>
              <w:t>Credit Ratings</w:t>
            </w:r>
            <w:r w:rsidR="006E32B6">
              <w:rPr>
                <w:b/>
                <w:sz w:val="16"/>
              </w:rPr>
              <w:t xml:space="preserve"> as at 2</w:t>
            </w:r>
            <w:r w:rsidR="006949F6">
              <w:rPr>
                <w:b/>
                <w:sz w:val="16"/>
              </w:rPr>
              <w:t>6</w:t>
            </w:r>
            <w:r w:rsidR="006E32B6">
              <w:rPr>
                <w:b/>
                <w:sz w:val="16"/>
              </w:rPr>
              <w:t xml:space="preserve"> July 2012</w:t>
            </w:r>
          </w:p>
        </w:tc>
        <w:tc>
          <w:tcPr>
            <w:tcW w:w="1604"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rsidP="001573DF">
            <w:pPr>
              <w:jc w:val="right"/>
              <w:rPr>
                <w:b/>
                <w:sz w:val="16"/>
              </w:rPr>
            </w:pPr>
            <w:r w:rsidRPr="00100BF5">
              <w:rPr>
                <w:b/>
                <w:sz w:val="16"/>
              </w:rPr>
              <w:t>Standard &amp; Poor's</w:t>
            </w:r>
          </w:p>
        </w:tc>
        <w:tc>
          <w:tcPr>
            <w:tcW w:w="187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rsidP="001573DF">
            <w:pPr>
              <w:jc w:val="right"/>
              <w:rPr>
                <w:b/>
                <w:sz w:val="16"/>
              </w:rPr>
            </w:pPr>
            <w:r w:rsidRPr="00100BF5">
              <w:rPr>
                <w:b/>
                <w:sz w:val="16"/>
              </w:rPr>
              <w:t>Moody's</w:t>
            </w:r>
          </w:p>
        </w:tc>
        <w:tc>
          <w:tcPr>
            <w:tcW w:w="187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rsidP="001573DF">
            <w:pPr>
              <w:jc w:val="right"/>
              <w:rPr>
                <w:b/>
                <w:sz w:val="16"/>
              </w:rPr>
            </w:pPr>
            <w:r w:rsidRPr="00100BF5">
              <w:rPr>
                <w:b/>
                <w:sz w:val="16"/>
              </w:rPr>
              <w:t>Fitch</w:t>
            </w:r>
          </w:p>
        </w:tc>
        <w:tc>
          <w:tcPr>
            <w:tcW w:w="187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rsidP="001573DF">
            <w:pPr>
              <w:jc w:val="right"/>
              <w:rPr>
                <w:b/>
                <w:sz w:val="16"/>
              </w:rPr>
            </w:pPr>
            <w:r w:rsidRPr="00100BF5">
              <w:rPr>
                <w:b/>
                <w:sz w:val="16"/>
              </w:rPr>
              <w:t>D</w:t>
            </w:r>
            <w:r w:rsidR="000F3AC9" w:rsidRPr="00100BF5">
              <w:rPr>
                <w:b/>
                <w:sz w:val="16"/>
              </w:rPr>
              <w:t>BR</w:t>
            </w:r>
            <w:r w:rsidRPr="00100BF5">
              <w:rPr>
                <w:b/>
                <w:sz w:val="16"/>
              </w:rPr>
              <w:t>S</w:t>
            </w:r>
          </w:p>
        </w:tc>
      </w:tr>
      <w:tr w:rsidR="00A12DCA" w:rsidRPr="00100BF5" w:rsidTr="006E32B6">
        <w:tblPrEx>
          <w:tblCellMar>
            <w:top w:w="0" w:type="dxa"/>
            <w:bottom w:w="0" w:type="dxa"/>
          </w:tblCellMar>
        </w:tblPrEx>
        <w:trPr>
          <w:trHeight w:val="225"/>
        </w:trPr>
        <w:tc>
          <w:tcPr>
            <w:tcW w:w="2446"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D5BD2">
            <w:pPr>
              <w:rPr>
                <w:b/>
                <w:sz w:val="16"/>
              </w:rPr>
            </w:pPr>
            <w:r w:rsidRPr="00100BF5">
              <w:rPr>
                <w:b/>
                <w:sz w:val="16"/>
              </w:rPr>
              <w:t>Barclays Bank PLC</w:t>
            </w:r>
          </w:p>
        </w:tc>
        <w:tc>
          <w:tcPr>
            <w:tcW w:w="1604" w:type="dxa"/>
            <w:tcBorders>
              <w:top w:val="single" w:sz="6" w:space="0" w:color="969696"/>
              <w:left w:val="nil"/>
              <w:bottom w:val="nil"/>
              <w:right w:val="nil"/>
            </w:tcBorders>
            <w:shd w:val="clear" w:color="auto" w:fill="FFFFFF"/>
            <w:tcMar>
              <w:left w:w="36" w:type="dxa"/>
              <w:right w:w="36" w:type="dxa"/>
            </w:tcMar>
          </w:tcPr>
          <w:p w:rsidR="00A12DCA" w:rsidRPr="00100BF5" w:rsidRDefault="00A12DCA">
            <w:pPr>
              <w:jc w:val="right"/>
              <w:rPr>
                <w:b/>
                <w:sz w:val="16"/>
              </w:rPr>
            </w:pPr>
            <w:r w:rsidRPr="00100BF5">
              <w:rPr>
                <w:sz w:val="16"/>
              </w:rPr>
              <w:t xml:space="preserve"> </w:t>
            </w:r>
          </w:p>
        </w:tc>
        <w:tc>
          <w:tcPr>
            <w:tcW w:w="1875" w:type="dxa"/>
            <w:tcBorders>
              <w:top w:val="single" w:sz="6" w:space="0" w:color="969696"/>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c>
          <w:tcPr>
            <w:tcW w:w="1875" w:type="dxa"/>
            <w:tcBorders>
              <w:top w:val="single" w:sz="6" w:space="0" w:color="969696"/>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c>
          <w:tcPr>
            <w:tcW w:w="1875" w:type="dxa"/>
            <w:tcBorders>
              <w:top w:val="single" w:sz="6" w:space="0" w:color="969696"/>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r>
      <w:tr w:rsidR="00A12DCA" w:rsidRPr="00100BF5" w:rsidTr="006E32B6">
        <w:tblPrEx>
          <w:tblCellMar>
            <w:top w:w="0" w:type="dxa"/>
            <w:bottom w:w="0" w:type="dxa"/>
          </w:tblCellMar>
        </w:tblPrEx>
        <w:trPr>
          <w:trHeight w:val="225"/>
        </w:trPr>
        <w:tc>
          <w:tcPr>
            <w:tcW w:w="2446"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rPr>
            </w:pPr>
            <w:r w:rsidRPr="00100BF5">
              <w:rPr>
                <w:sz w:val="16"/>
              </w:rPr>
              <w:t>Long Term</w:t>
            </w:r>
          </w:p>
        </w:tc>
        <w:tc>
          <w:tcPr>
            <w:tcW w:w="1604"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A+(Negative)</w:t>
            </w:r>
          </w:p>
        </w:tc>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A2(Negative)</w:t>
            </w:r>
          </w:p>
        </w:tc>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A(Stable)</w:t>
            </w:r>
          </w:p>
        </w:tc>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AA(Negative)</w:t>
            </w:r>
          </w:p>
        </w:tc>
      </w:tr>
      <w:tr w:rsidR="00A12DCA" w:rsidRPr="00100BF5" w:rsidTr="006E32B6">
        <w:tblPrEx>
          <w:tblCellMar>
            <w:top w:w="0" w:type="dxa"/>
            <w:bottom w:w="0" w:type="dxa"/>
          </w:tblCellMar>
        </w:tblPrEx>
        <w:trPr>
          <w:trHeight w:val="225"/>
        </w:trPr>
        <w:tc>
          <w:tcPr>
            <w:tcW w:w="2446"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rPr>
                <w:sz w:val="16"/>
              </w:rPr>
            </w:pPr>
            <w:r w:rsidRPr="00100BF5">
              <w:rPr>
                <w:sz w:val="16"/>
              </w:rPr>
              <w:t>Short Term</w:t>
            </w:r>
          </w:p>
        </w:tc>
        <w:tc>
          <w:tcPr>
            <w:tcW w:w="1604"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A-1</w:t>
            </w:r>
          </w:p>
        </w:tc>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P-1</w:t>
            </w:r>
          </w:p>
        </w:tc>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F1</w:t>
            </w:r>
          </w:p>
        </w:tc>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DD5BD2">
            <w:pPr>
              <w:jc w:val="right"/>
              <w:rPr>
                <w:sz w:val="16"/>
              </w:rPr>
            </w:pPr>
            <w:r w:rsidRPr="00100BF5">
              <w:rPr>
                <w:sz w:val="16"/>
              </w:rPr>
              <w:t>R-1(Negative)</w:t>
            </w:r>
          </w:p>
        </w:tc>
      </w:tr>
    </w:tbl>
    <w:p w:rsidR="00A12DCA" w:rsidRPr="00100BF5" w:rsidRDefault="00A12DCA"/>
    <w:p w:rsidR="006A49F3" w:rsidRPr="00100BF5" w:rsidRDefault="006A49F3" w:rsidP="006A49F3">
      <w:pPr>
        <w:pStyle w:val="BodyText-BarcRA44"/>
      </w:pPr>
      <w:r w:rsidRPr="00100BF5">
        <w:t>On 21 June 2012 Moody’s concluded its ratings review of banks and securities firms with global capital market operations by repositioning the ratings of 15 firms including Barclays, resulting in Barclays Bank PLC long-term issuer rating being downgraded from Aa3 to A2.  Barclays was fully reserving for maximum contractual outflows as a result of the ratings action in its liquidity pool and is now reserving for a further 2 notch downgrade in the liquidity pool as of 30 June</w:t>
      </w:r>
      <w:r w:rsidR="00D84E58" w:rsidRPr="00100BF5">
        <w:t xml:space="preserve"> 2012</w:t>
      </w:r>
      <w:r w:rsidRPr="00100BF5">
        <w:t>.  There has been no significant change in deposit funding or wholesale funding in relation to the ratings action.</w:t>
      </w:r>
    </w:p>
    <w:p w:rsidR="006A49F3" w:rsidRPr="00100BF5" w:rsidRDefault="006A49F3" w:rsidP="006A49F3">
      <w:pPr>
        <w:pStyle w:val="NoteandSourceText-BarcRA3"/>
        <w:numPr>
          <w:ilvl w:val="0"/>
          <w:numId w:val="0"/>
        </w:numPr>
        <w:ind w:left="720"/>
      </w:pPr>
    </w:p>
    <w:p w:rsidR="006A49F3" w:rsidRPr="00100BF5" w:rsidRDefault="006A49F3" w:rsidP="006A49F3">
      <w:pPr>
        <w:pStyle w:val="NoteandSourceText-BarcRA3"/>
        <w:numPr>
          <w:ilvl w:val="0"/>
          <w:numId w:val="0"/>
        </w:numPr>
        <w:ind w:left="720"/>
      </w:pPr>
    </w:p>
    <w:p w:rsidR="006A49F3" w:rsidRPr="00100BF5" w:rsidRDefault="006A49F3" w:rsidP="006A49F3">
      <w:pPr>
        <w:pStyle w:val="NoteandSourceText-BarcRA3"/>
        <w:numPr>
          <w:ilvl w:val="0"/>
          <w:numId w:val="0"/>
        </w:numPr>
        <w:ind w:left="720"/>
        <w:rPr>
          <w:sz w:val="2"/>
          <w:szCs w:val="2"/>
        </w:rPr>
      </w:pPr>
    </w:p>
    <w:p w:rsidR="00AF72CF" w:rsidRDefault="00AF72CF" w:rsidP="006A49F3">
      <w:pPr>
        <w:pStyle w:val="NoteandSourceText-BarcRA3"/>
        <w:numPr>
          <w:ilvl w:val="0"/>
          <w:numId w:val="0"/>
        </w:numPr>
        <w:ind w:left="720"/>
        <w:rPr>
          <w:sz w:val="2"/>
          <w:szCs w:val="2"/>
        </w:rPr>
      </w:pPr>
    </w:p>
    <w:p w:rsidR="000C3F6A" w:rsidRDefault="000C3F6A" w:rsidP="006A49F3">
      <w:pPr>
        <w:pStyle w:val="NoteandSourceText-BarcRA3"/>
        <w:numPr>
          <w:ilvl w:val="0"/>
          <w:numId w:val="0"/>
        </w:numPr>
        <w:ind w:left="720"/>
        <w:rPr>
          <w:sz w:val="2"/>
          <w:szCs w:val="2"/>
        </w:rPr>
      </w:pPr>
    </w:p>
    <w:p w:rsidR="000C3F6A" w:rsidRDefault="000C3F6A" w:rsidP="006A49F3">
      <w:pPr>
        <w:pStyle w:val="NoteandSourceText-BarcRA3"/>
        <w:numPr>
          <w:ilvl w:val="0"/>
          <w:numId w:val="0"/>
        </w:numPr>
        <w:ind w:left="720"/>
        <w:rPr>
          <w:sz w:val="2"/>
          <w:szCs w:val="2"/>
        </w:rPr>
      </w:pPr>
    </w:p>
    <w:p w:rsidR="000C3F6A" w:rsidRDefault="000C3F6A" w:rsidP="006A49F3">
      <w:pPr>
        <w:pStyle w:val="NoteandSourceText-BarcRA3"/>
        <w:numPr>
          <w:ilvl w:val="0"/>
          <w:numId w:val="0"/>
        </w:numPr>
        <w:ind w:left="720"/>
        <w:rPr>
          <w:sz w:val="2"/>
          <w:szCs w:val="2"/>
        </w:rPr>
      </w:pPr>
    </w:p>
    <w:p w:rsidR="000C3F6A" w:rsidRPr="00100BF5" w:rsidRDefault="000C3F6A" w:rsidP="006A49F3">
      <w:pPr>
        <w:pStyle w:val="NoteandSourceText-BarcRA3"/>
        <w:numPr>
          <w:ilvl w:val="0"/>
          <w:numId w:val="0"/>
        </w:numPr>
        <w:ind w:left="720"/>
        <w:rPr>
          <w:sz w:val="2"/>
          <w:szCs w:val="2"/>
        </w:rPr>
      </w:pPr>
    </w:p>
    <w:p w:rsidR="00AF72CF" w:rsidRPr="00100BF5" w:rsidRDefault="00AF72CF" w:rsidP="006A49F3">
      <w:pPr>
        <w:pStyle w:val="NoteandSourceText-BarcRA3"/>
        <w:numPr>
          <w:ilvl w:val="0"/>
          <w:numId w:val="0"/>
        </w:numPr>
        <w:ind w:left="720"/>
        <w:rPr>
          <w:sz w:val="2"/>
          <w:szCs w:val="2"/>
        </w:rPr>
      </w:pPr>
    </w:p>
    <w:p w:rsidR="00AF72CF" w:rsidRPr="00100BF5" w:rsidRDefault="00AF72CF" w:rsidP="006A49F3">
      <w:pPr>
        <w:pStyle w:val="NoteandSourceText-BarcRA3"/>
        <w:numPr>
          <w:ilvl w:val="0"/>
          <w:numId w:val="0"/>
        </w:numPr>
        <w:ind w:left="720"/>
        <w:rPr>
          <w:sz w:val="2"/>
          <w:szCs w:val="2"/>
        </w:rPr>
      </w:pPr>
    </w:p>
    <w:p w:rsidR="00AF72CF" w:rsidRPr="00100BF5" w:rsidRDefault="00AF72CF" w:rsidP="006A49F3">
      <w:pPr>
        <w:pStyle w:val="NoteandSourceText-BarcRA3"/>
        <w:numPr>
          <w:ilvl w:val="0"/>
          <w:numId w:val="0"/>
        </w:numPr>
        <w:ind w:left="720"/>
        <w:rPr>
          <w:sz w:val="2"/>
          <w:szCs w:val="2"/>
        </w:rPr>
      </w:pPr>
    </w:p>
    <w:p w:rsidR="00A12DCA" w:rsidRPr="00100BF5" w:rsidRDefault="00A12DCA" w:rsidP="00A12DCA">
      <w:pPr>
        <w:pStyle w:val="NoteandSourceText-BarcRA3"/>
        <w:ind w:hanging="720"/>
      </w:pPr>
      <w:r w:rsidRPr="00100BF5">
        <w:t>Comprised of covered bonds and ABS and bilateral secured funding of greater than one year</w:t>
      </w:r>
      <w:r w:rsidR="001F0BC8" w:rsidRPr="00100BF5">
        <w:t>.</w:t>
      </w:r>
    </w:p>
    <w:p w:rsidR="00A12DCA" w:rsidRPr="00100BF5" w:rsidRDefault="00A12DCA" w:rsidP="005F437E">
      <w:pPr>
        <w:pStyle w:val="HeadingLevel1-BarcRA"/>
      </w:pPr>
      <w:r w:rsidRPr="00100BF5">
        <w:br w:type="page"/>
      </w:r>
      <w:r w:rsidR="005F437E">
        <w:t>Funding Risk</w:t>
      </w:r>
    </w:p>
    <w:p w:rsidR="00A12DCA" w:rsidRPr="00100BF5" w:rsidRDefault="00A12DCA" w:rsidP="000C3F6A">
      <w:pPr>
        <w:pStyle w:val="BodyText-BarcRA44"/>
        <w:spacing w:before="0"/>
      </w:pPr>
      <w:r w:rsidRPr="00100BF5">
        <w:t>Further credit rating downgrades could result in contractual outflows to meet collateral requirements on existing contracts.  The below table shows contractual collateral requirements following one and two notch long-term and associated short-term simultaneous downgrades across all credit rating agencies, which are fully reserved for in the liquidity pool.  These numbers do not assume any management or restructuring actions that could be taken to reduce posting requirements.</w:t>
      </w:r>
    </w:p>
    <w:p w:rsidR="00A12DCA" w:rsidRPr="00100BF5" w:rsidRDefault="00A12DCA" w:rsidP="00A12DCA">
      <w:pPr>
        <w:pStyle w:val="BodyText-BarcRA44"/>
      </w:pPr>
      <w:r w:rsidRPr="00100BF5">
        <w:t xml:space="preserve">These outflows do not include the potential liquidity impact from loss of unsecured funding, such as from money market funds, or loss of secured funding capacity.  However, unsecured and secured funding stresses are included in the LRA stress scenarios and a portion of the liquidity pool is held against these risks.  </w:t>
      </w:r>
    </w:p>
    <w:p w:rsidR="00A12DCA" w:rsidRPr="00100BF5" w:rsidRDefault="00A12DCA" w:rsidP="00A12DCA">
      <w:pPr>
        <w:pStyle w:val="BodyText-BarcRA44"/>
      </w:pPr>
      <w:r w:rsidRPr="00100BF5">
        <w:t>Credit ratings downgrades could also result in increased costs or reduced capacity to raise funding.</w:t>
      </w:r>
    </w:p>
    <w:p w:rsidR="00A12DCA" w:rsidRPr="00100BF5" w:rsidRDefault="00A12DCA"/>
    <w:tbl>
      <w:tblPr>
        <w:tblW w:w="0" w:type="auto"/>
        <w:tblLayout w:type="fixed"/>
        <w:tblLook w:val="0000" w:firstRow="0" w:lastRow="0" w:firstColumn="0" w:lastColumn="0" w:noHBand="0" w:noVBand="0"/>
      </w:tblPr>
      <w:tblGrid>
        <w:gridCol w:w="4815"/>
        <w:gridCol w:w="4815"/>
      </w:tblGrid>
      <w:tr w:rsidR="00A12DCA" w:rsidRPr="00100BF5" w:rsidTr="007C49A8">
        <w:tblPrEx>
          <w:tblCellMar>
            <w:top w:w="0" w:type="dxa"/>
            <w:bottom w:w="0" w:type="dxa"/>
          </w:tblCellMar>
        </w:tblPrEx>
        <w:trPr>
          <w:trHeight w:val="255"/>
        </w:trPr>
        <w:tc>
          <w:tcPr>
            <w:tcW w:w="4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F2829">
            <w:r w:rsidRPr="00100BF5">
              <w:rPr>
                <w:b/>
                <w:sz w:val="16"/>
              </w:rPr>
              <w:t>Contractual credit rating downgrade exposure</w:t>
            </w:r>
          </w:p>
        </w:tc>
        <w:tc>
          <w:tcPr>
            <w:tcW w:w="4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F2829">
            <w:pPr>
              <w:rPr>
                <w:b/>
                <w:sz w:val="16"/>
              </w:rPr>
            </w:pPr>
            <w:r w:rsidRPr="00100BF5">
              <w:rPr>
                <w:b/>
                <w:sz w:val="16"/>
              </w:rPr>
              <w:t>Cumulative cash outflow</w:t>
            </w:r>
            <w:r w:rsidRPr="00100BF5">
              <w:rPr>
                <w:rFonts w:ascii="Calibri" w:eastAsia="Calibri" w:hAnsi="Calibri" w:cs="Calibri"/>
                <w:sz w:val="22"/>
                <w:vertAlign w:val="superscript"/>
              </w:rPr>
              <w:t xml:space="preserve"> </w:t>
            </w:r>
          </w:p>
        </w:tc>
      </w:tr>
      <w:tr w:rsidR="00A12DCA" w:rsidRPr="00100BF5" w:rsidTr="007C49A8">
        <w:tblPrEx>
          <w:tblCellMar>
            <w:top w:w="0" w:type="dxa"/>
            <w:bottom w:w="0" w:type="dxa"/>
          </w:tblCellMar>
        </w:tblPrEx>
        <w:trPr>
          <w:trHeight w:val="255"/>
        </w:trPr>
        <w:tc>
          <w:tcPr>
            <w:tcW w:w="481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FF2829">
            <w:pPr>
              <w:rPr>
                <w:rFonts w:ascii="Calibri" w:eastAsia="Calibri" w:hAnsi="Calibri" w:cs="Calibri"/>
                <w:sz w:val="22"/>
                <w:vertAlign w:val="superscript"/>
              </w:rPr>
            </w:pPr>
            <w:r w:rsidRPr="00100BF5">
              <w:rPr>
                <w:sz w:val="16"/>
              </w:rPr>
              <w:t>1 notch long-term and associated short-term downgrade</w:t>
            </w:r>
          </w:p>
        </w:tc>
        <w:tc>
          <w:tcPr>
            <w:tcW w:w="481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FF2829">
            <w:pPr>
              <w:rPr>
                <w:sz w:val="16"/>
              </w:rPr>
            </w:pPr>
            <w:r w:rsidRPr="00100BF5">
              <w:rPr>
                <w:sz w:val="16"/>
              </w:rPr>
              <w:t>£11bn</w:t>
            </w:r>
            <w:r w:rsidRPr="00100BF5">
              <w:rPr>
                <w:rFonts w:ascii="Calibri" w:eastAsia="Calibri" w:hAnsi="Calibri" w:cs="Calibri"/>
                <w:sz w:val="22"/>
                <w:vertAlign w:val="superscript"/>
              </w:rPr>
              <w:t xml:space="preserve"> </w:t>
            </w:r>
          </w:p>
        </w:tc>
      </w:tr>
      <w:tr w:rsidR="00A12DCA" w:rsidRPr="00100BF5" w:rsidTr="007C49A8">
        <w:tblPrEx>
          <w:tblCellMar>
            <w:top w:w="0" w:type="dxa"/>
            <w:bottom w:w="0" w:type="dxa"/>
          </w:tblCellMar>
        </w:tblPrEx>
        <w:trPr>
          <w:trHeight w:val="255"/>
        </w:trPr>
        <w:tc>
          <w:tcPr>
            <w:tcW w:w="4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F2829">
            <w:pPr>
              <w:rPr>
                <w:rFonts w:ascii="Calibri" w:eastAsia="Calibri" w:hAnsi="Calibri" w:cs="Calibri"/>
                <w:sz w:val="22"/>
                <w:vertAlign w:val="superscript"/>
              </w:rPr>
            </w:pPr>
            <w:r w:rsidRPr="00100BF5">
              <w:rPr>
                <w:sz w:val="16"/>
              </w:rPr>
              <w:t>2 notch long-term and associated short-term downgrade</w:t>
            </w:r>
          </w:p>
        </w:tc>
        <w:tc>
          <w:tcPr>
            <w:tcW w:w="4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F2829">
            <w:pPr>
              <w:rPr>
                <w:sz w:val="16"/>
              </w:rPr>
            </w:pPr>
            <w:r w:rsidRPr="00100BF5">
              <w:rPr>
                <w:sz w:val="16"/>
              </w:rPr>
              <w:t>£20bn</w:t>
            </w:r>
            <w:r w:rsidRPr="00100BF5">
              <w:rPr>
                <w:rFonts w:ascii="Calibri" w:eastAsia="Calibri" w:hAnsi="Calibri" w:cs="Calibri"/>
                <w:sz w:val="22"/>
                <w:vertAlign w:val="superscript"/>
              </w:rPr>
              <w:t xml:space="preserve"> </w:t>
            </w:r>
          </w:p>
        </w:tc>
      </w:tr>
    </w:tbl>
    <w:p w:rsidR="00A12DCA" w:rsidRPr="00100BF5" w:rsidRDefault="00A12DCA">
      <w:pPr>
        <w:sectPr w:rsidR="00A12DCA" w:rsidRPr="00100BF5" w:rsidSect="00E100EB">
          <w:headerReference w:type="default" r:id="rId27"/>
          <w:pgSz w:w="11905" w:h="16837"/>
          <w:pgMar w:top="851" w:right="1134" w:bottom="567" w:left="1134" w:header="851" w:footer="567" w:gutter="0"/>
          <w:cols w:space="708"/>
        </w:sectPr>
      </w:pPr>
    </w:p>
    <w:p w:rsidR="005F437E" w:rsidRPr="005F437E" w:rsidRDefault="005F437E" w:rsidP="005F437E">
      <w:pPr>
        <w:pStyle w:val="HeadingLevel1-BarcRA"/>
      </w:pPr>
      <w:r>
        <w:t>Credit Risk</w:t>
      </w:r>
    </w:p>
    <w:tbl>
      <w:tblPr>
        <w:tblW w:w="0" w:type="auto"/>
        <w:tblLayout w:type="fixed"/>
        <w:tblLook w:val="0000" w:firstRow="0" w:lastRow="0" w:firstColumn="0" w:lastColumn="0" w:noHBand="0" w:noVBand="0"/>
      </w:tblPr>
      <w:tblGrid>
        <w:gridCol w:w="5505"/>
        <w:gridCol w:w="900"/>
        <w:gridCol w:w="270"/>
        <w:gridCol w:w="900"/>
        <w:gridCol w:w="900"/>
        <w:gridCol w:w="270"/>
        <w:gridCol w:w="900"/>
      </w:tblGrid>
      <w:tr w:rsidR="000810BB" w:rsidRPr="00100BF5" w:rsidTr="005F437E">
        <w:tblPrEx>
          <w:tblCellMar>
            <w:top w:w="0" w:type="dxa"/>
            <w:bottom w:w="0" w:type="dxa"/>
          </w:tblCellMar>
        </w:tblPrEx>
        <w:trPr>
          <w:trHeight w:val="240"/>
        </w:trPr>
        <w:tc>
          <w:tcPr>
            <w:tcW w:w="8475" w:type="dxa"/>
            <w:gridSpan w:val="5"/>
            <w:tcBorders>
              <w:top w:val="nil"/>
              <w:left w:val="nil"/>
              <w:bottom w:val="nil"/>
              <w:right w:val="nil"/>
            </w:tcBorders>
            <w:shd w:val="clear" w:color="auto" w:fill="FFFFFF"/>
            <w:tcMar>
              <w:left w:w="36" w:type="dxa"/>
              <w:right w:w="36" w:type="dxa"/>
            </w:tcMar>
            <w:vAlign w:val="bottom"/>
          </w:tcPr>
          <w:p w:rsidR="00A12DCA" w:rsidRPr="00100BF5" w:rsidRDefault="00A12DCA" w:rsidP="000C3F6A">
            <w:r w:rsidRPr="00100BF5">
              <w:rPr>
                <w:b/>
                <w:sz w:val="24"/>
              </w:rPr>
              <w:t>Analysis of Total Assets by Valuation Basis</w:t>
            </w:r>
          </w:p>
        </w:tc>
        <w:tc>
          <w:tcPr>
            <w:tcW w:w="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rPr>
            </w:pPr>
            <w:r w:rsidRPr="00100BF5">
              <w:rPr>
                <w:rFonts w:ascii="Arial" w:eastAsia="Arial" w:hAnsi="Arial" w:cs="Arial"/>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r>
      <w:tr w:rsidR="000810BB" w:rsidRPr="00100BF5" w:rsidTr="005F437E">
        <w:tblPrEx>
          <w:tblCellMar>
            <w:top w:w="0" w:type="dxa"/>
            <w:bottom w:w="0" w:type="dxa"/>
          </w:tblCellMar>
        </w:tblPrEx>
        <w:trPr>
          <w:trHeight w:val="240"/>
        </w:trPr>
        <w:tc>
          <w:tcPr>
            <w:tcW w:w="55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b/>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rsidP="004265F3">
            <w:pPr>
              <w:jc w:val="right"/>
              <w:rPr>
                <w:b/>
                <w:sz w:val="16"/>
              </w:rPr>
            </w:pPr>
            <w:r w:rsidRPr="00100BF5">
              <w:rPr>
                <w:b/>
                <w:sz w:val="16"/>
              </w:rPr>
              <w:t xml:space="preserve"> Accounting Basis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rsidP="004265F3">
            <w:pPr>
              <w:jc w:val="right"/>
              <w:rPr>
                <w:b/>
                <w:sz w:val="16"/>
              </w:rPr>
            </w:pPr>
            <w:r w:rsidRPr="00100BF5">
              <w:rPr>
                <w:b/>
                <w:sz w:val="16"/>
              </w:rPr>
              <w:t>Sub Analysis</w:t>
            </w:r>
            <w:r w:rsidRPr="00100BF5">
              <w:rPr>
                <w:b/>
                <w:sz w:val="16"/>
                <w:vertAlign w:val="superscript"/>
              </w:rPr>
              <w:t xml:space="preserve"> </w:t>
            </w:r>
          </w:p>
        </w:tc>
      </w:tr>
      <w:tr w:rsidR="00A12DCA" w:rsidRPr="00100BF5" w:rsidTr="001573DF">
        <w:tblPrEx>
          <w:tblCellMar>
            <w:top w:w="0" w:type="dxa"/>
            <w:bottom w:w="0" w:type="dxa"/>
          </w:tblCellMar>
        </w:tblPrEx>
        <w:trPr>
          <w:trHeight w:val="729"/>
        </w:trPr>
        <w:tc>
          <w:tcPr>
            <w:tcW w:w="55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Assets as at 30.06.12</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Total Assets</w:t>
            </w:r>
          </w:p>
        </w:tc>
        <w:tc>
          <w:tcPr>
            <w:tcW w:w="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p w:rsidR="00A12DCA" w:rsidRPr="00100BF5" w:rsidRDefault="00A12DCA">
            <w:pPr>
              <w:jc w:val="right"/>
              <w:rPr>
                <w:b/>
                <w:sz w:val="16"/>
              </w:rPr>
            </w:pPr>
            <w:r w:rsidRPr="00100BF5">
              <w:rPr>
                <w:b/>
                <w:sz w:val="16"/>
              </w:rPr>
              <w:t>Cost Based</w:t>
            </w:r>
          </w:p>
          <w:p w:rsidR="00A12DCA" w:rsidRPr="00100BF5" w:rsidRDefault="00A12DCA">
            <w:pPr>
              <w:jc w:val="right"/>
              <w:rPr>
                <w:b/>
                <w:sz w:val="16"/>
              </w:rPr>
            </w:pPr>
            <w:r w:rsidRPr="00100BF5">
              <w:rPr>
                <w:b/>
                <w:sz w:val="16"/>
              </w:rPr>
              <w:t>Measure</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Fair Value </w:t>
            </w:r>
          </w:p>
        </w:tc>
        <w:tc>
          <w:tcPr>
            <w:tcW w:w="27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90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Credit Market Exposures</w:t>
            </w:r>
            <w:r w:rsidRPr="00100BF5">
              <w:rPr>
                <w:b/>
                <w:sz w:val="16"/>
                <w:vertAlign w:val="superscript"/>
              </w:rPr>
              <w:t>1 </w:t>
            </w:r>
          </w:p>
        </w:tc>
      </w:tr>
      <w:tr w:rsidR="00A12DCA" w:rsidRPr="00100BF5">
        <w:tblPrEx>
          <w:tblCellMar>
            <w:top w:w="0" w:type="dxa"/>
            <w:bottom w:w="0" w:type="dxa"/>
          </w:tblCellMar>
        </w:tblPrEx>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both"/>
              <w:rPr>
                <w:b/>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£m</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Cash and balances at central banks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126,062 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126,062 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r w:rsidRPr="00100BF5">
              <w:rPr>
                <w:b/>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b/>
                <w:sz w:val="16"/>
                <w:vertAlign w:val="superscript"/>
              </w:rPr>
            </w:pPr>
            <w:r w:rsidRPr="00100BF5">
              <w:rPr>
                <w:b/>
                <w:sz w:val="16"/>
              </w:rPr>
              <w:t>Items in the course of collection from other banks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2,598 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2,598 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r w:rsidRPr="00100BF5">
              <w:rPr>
                <w:b/>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b/>
                <w:sz w:val="16"/>
                <w:vertAlign w:val="superscript"/>
              </w:rPr>
            </w:pPr>
            <w:r w:rsidRPr="00100BF5">
              <w:rPr>
                <w:sz w:val="16"/>
              </w:rPr>
              <w:t>Debt securities</w:t>
            </w:r>
            <w:r w:rsidRPr="00100BF5">
              <w:rPr>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62723">
            <w:pPr>
              <w:jc w:val="right"/>
              <w:rPr>
                <w:sz w:val="16"/>
                <w:vertAlign w:val="superscript"/>
              </w:rPr>
            </w:pPr>
            <w:r w:rsidRPr="00100BF5">
              <w:rPr>
                <w:sz w:val="16"/>
              </w:rPr>
              <w:t>131,9</w:t>
            </w:r>
            <w:r w:rsidR="00162723">
              <w:rPr>
                <w:sz w:val="16"/>
              </w:rPr>
              <w:t>40</w:t>
            </w:r>
            <w:r w:rsidRPr="00100BF5">
              <w:rPr>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62723">
            <w:pPr>
              <w:jc w:val="right"/>
              <w:rPr>
                <w:sz w:val="16"/>
              </w:rPr>
            </w:pPr>
            <w:r w:rsidRPr="00100BF5">
              <w:rPr>
                <w:sz w:val="16"/>
              </w:rPr>
              <w:t>131,9</w:t>
            </w:r>
            <w:r w:rsidR="00162723">
              <w:rPr>
                <w:sz w:val="16"/>
              </w:rPr>
              <w:t>40</w:t>
            </w:r>
            <w:r w:rsidRPr="00100BF5">
              <w:rPr>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1,172 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Equity securities</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30,446 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30,446 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Traded loans</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rsidP="00162723">
            <w:pPr>
              <w:jc w:val="right"/>
              <w:rPr>
                <w:sz w:val="16"/>
                <w:vertAlign w:val="superscript"/>
              </w:rPr>
            </w:pPr>
            <w:r w:rsidRPr="00100BF5">
              <w:rPr>
                <w:sz w:val="16"/>
              </w:rPr>
              <w:t>1,80</w:t>
            </w:r>
            <w:r w:rsidR="00162723">
              <w:rPr>
                <w:sz w:val="16"/>
              </w:rPr>
              <w:t>5</w:t>
            </w:r>
            <w:r w:rsidRPr="00100BF5">
              <w:rPr>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162723">
            <w:pPr>
              <w:jc w:val="right"/>
              <w:rPr>
                <w:sz w:val="16"/>
              </w:rPr>
            </w:pPr>
            <w:r w:rsidRPr="00100BF5">
              <w:rPr>
                <w:sz w:val="16"/>
              </w:rPr>
              <w:t>1,80</w:t>
            </w:r>
            <w:r w:rsidR="00162723">
              <w:rPr>
                <w:sz w:val="16"/>
              </w:rPr>
              <w:t>5</w:t>
            </w:r>
            <w:r w:rsidRPr="00100BF5">
              <w:rPr>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Commodities</w:t>
            </w:r>
            <w:r w:rsidRPr="00100BF5">
              <w:rPr>
                <w:sz w:val="16"/>
                <w:vertAlign w:val="superscript"/>
              </w:rPr>
              <w:t>2 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2,109 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2,109 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Trading portfolio assets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166,300 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166,300 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1,172 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Loans and advances</w:t>
            </w:r>
            <w:r w:rsidRPr="00100BF5">
              <w:rPr>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22,451 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22,451 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2,124 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Debt securities</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6,420 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6,420 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Equity securities</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4,811 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4,811 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Other financial assets</w:t>
            </w:r>
            <w:r w:rsidRPr="00100BF5">
              <w:rPr>
                <w:sz w:val="16"/>
                <w:vertAlign w:val="superscript"/>
              </w:rPr>
              <w:t>3 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10,924 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10,924 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Held in respect of linked liabilities to customers under investment contracts</w:t>
            </w:r>
            <w:r w:rsidRPr="00100BF5">
              <w:rPr>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1,322 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1,322 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Financial assets designated at fair value</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45,928 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45,928 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2,124 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Derivative financial instruments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517,685 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517,685 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973 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Loans and advances to banks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48,777 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48,777 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Loans and advances to customers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454,728 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454,728 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5,298 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Banks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sz w:val="16"/>
              </w:rPr>
              <w:t>70,267 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70,267 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Customers</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sz w:val="16"/>
              </w:rPr>
              <w:t>104,125 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104,125 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Reverse repurchase agreements and other similar secured lending</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174,392 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174,392 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 xml:space="preserve">Debt securities </w:t>
            </w:r>
            <w:r w:rsidRPr="00100BF5">
              <w:rPr>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68,236 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68,236 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250 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sz w:val="16"/>
              </w:rPr>
              <w:t>Equity securities</w:t>
            </w:r>
            <w:r w:rsidRPr="00100BF5">
              <w:rPr>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686 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686 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Available for sale financial investments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68,922 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68,922 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250 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Other assets</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25,873 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2244AC">
            <w:pPr>
              <w:jc w:val="right"/>
              <w:rPr>
                <w:b/>
                <w:sz w:val="16"/>
              </w:rPr>
            </w:pPr>
            <w:r w:rsidRPr="00100BF5">
              <w:rPr>
                <w:b/>
                <w:sz w:val="16"/>
              </w:rPr>
              <w:t>2</w:t>
            </w:r>
            <w:r w:rsidR="002244AC" w:rsidRPr="00100BF5">
              <w:rPr>
                <w:b/>
                <w:sz w:val="16"/>
              </w:rPr>
              <w:t>3,033</w:t>
            </w:r>
            <w:r w:rsidRPr="00100BF5">
              <w:rPr>
                <w:b/>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2244AC">
            <w:pPr>
              <w:jc w:val="right"/>
              <w:rPr>
                <w:b/>
                <w:sz w:val="16"/>
              </w:rPr>
            </w:pPr>
            <w:r w:rsidRPr="00100BF5">
              <w:rPr>
                <w:b/>
                <w:sz w:val="16"/>
              </w:rPr>
              <w:t>2,840</w:t>
            </w:r>
            <w:r w:rsidR="00A12DCA"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b/>
                <w:sz w:val="16"/>
              </w:rPr>
              <w:t>2,674 </w:t>
            </w:r>
            <w:r w:rsidRPr="00100BF5">
              <w:rPr>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b/>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b/>
                <w:sz w:val="16"/>
                <w:vertAlign w:val="superscript"/>
              </w:rPr>
            </w:pPr>
            <w:r w:rsidRPr="00100BF5">
              <w:rPr>
                <w:b/>
                <w:sz w:val="16"/>
              </w:rPr>
              <w:t>Total assets as at 30.06.12</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1,631,265 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62723">
            <w:pPr>
              <w:jc w:val="right"/>
              <w:rPr>
                <w:b/>
                <w:sz w:val="16"/>
              </w:rPr>
            </w:pPr>
            <w:r w:rsidRPr="00100BF5">
              <w:rPr>
                <w:b/>
                <w:sz w:val="16"/>
              </w:rPr>
              <w:t>8</w:t>
            </w:r>
            <w:r w:rsidR="00162723">
              <w:rPr>
                <w:b/>
                <w:sz w:val="16"/>
              </w:rPr>
              <w:t>29</w:t>
            </w:r>
            <w:r w:rsidRPr="00100BF5">
              <w:rPr>
                <w:b/>
                <w:sz w:val="16"/>
              </w:rPr>
              <w:t>,</w:t>
            </w:r>
            <w:r w:rsidR="00162723">
              <w:rPr>
                <w:b/>
                <w:sz w:val="16"/>
              </w:rPr>
              <w:t>590</w:t>
            </w:r>
            <w:r w:rsidRPr="00100BF5">
              <w:rPr>
                <w:b/>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62723">
            <w:pPr>
              <w:jc w:val="right"/>
              <w:rPr>
                <w:b/>
                <w:sz w:val="16"/>
              </w:rPr>
            </w:pPr>
            <w:r w:rsidRPr="00100BF5">
              <w:rPr>
                <w:b/>
                <w:sz w:val="16"/>
              </w:rPr>
              <w:t>80</w:t>
            </w:r>
            <w:r w:rsidR="00162723">
              <w:rPr>
                <w:b/>
                <w:sz w:val="16"/>
              </w:rPr>
              <w:t>1</w:t>
            </w:r>
            <w:r w:rsidRPr="00100BF5">
              <w:rPr>
                <w:b/>
                <w:sz w:val="16"/>
              </w:rPr>
              <w:t>,</w:t>
            </w:r>
            <w:r w:rsidR="00162723">
              <w:rPr>
                <w:b/>
                <w:sz w:val="16"/>
              </w:rPr>
              <w:t>675</w:t>
            </w:r>
            <w:r w:rsidRPr="00100BF5">
              <w:rPr>
                <w:b/>
                <w:sz w:val="16"/>
              </w:rPr>
              <w:t>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12,491 </w:t>
            </w:r>
            <w:r w:rsidRPr="00100BF5">
              <w:rPr>
                <w:b/>
                <w:sz w:val="16"/>
                <w:vertAlign w:val="superscript"/>
              </w:rPr>
              <w:t xml:space="preserve"> </w:t>
            </w:r>
          </w:p>
        </w:tc>
      </w:tr>
      <w:tr w:rsidR="00A12DCA" w:rsidRPr="00100BF5" w:rsidTr="004265F3">
        <w:tblPrEx>
          <w:tblCellMar>
            <w:top w:w="0" w:type="dxa"/>
            <w:bottom w:w="0" w:type="dxa"/>
          </w:tblCellMar>
        </w:tblPrEx>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265F3">
            <w:pPr>
              <w:rPr>
                <w:b/>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r w:rsidRPr="00100BF5">
              <w:rPr>
                <w:sz w:val="16"/>
                <w:vertAlign w:val="superscript"/>
              </w:rPr>
              <w:t xml:space="preserve"> </w:t>
            </w:r>
          </w:p>
        </w:tc>
      </w:tr>
      <w:tr w:rsidR="00A12DCA" w:rsidRPr="00100BF5" w:rsidTr="004265F3">
        <w:tblPrEx>
          <w:tblCellMar>
            <w:top w:w="0" w:type="dxa"/>
            <w:bottom w:w="0" w:type="dxa"/>
          </w:tblCellMar>
        </w:tblPrEx>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265F3">
            <w:pPr>
              <w:rPr>
                <w:sz w:val="16"/>
                <w:vertAlign w:val="superscript"/>
              </w:rPr>
            </w:pPr>
            <w:r w:rsidRPr="00100BF5">
              <w:rPr>
                <w:b/>
                <w:sz w:val="16"/>
              </w:rPr>
              <w:t>Total assets as at 31.12.11</w:t>
            </w:r>
            <w:r w:rsidRPr="00100BF5">
              <w:rPr>
                <w:b/>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1,563,527 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764,012 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799,515 </w:t>
            </w:r>
          </w:p>
        </w:tc>
        <w:tc>
          <w:tcPr>
            <w:tcW w:w="2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14,981 </w:t>
            </w:r>
            <w:r w:rsidRPr="00100BF5">
              <w:rPr>
                <w:sz w:val="16"/>
                <w:vertAlign w:val="superscript"/>
              </w:rPr>
              <w:t xml:space="preserve"> </w:t>
            </w:r>
          </w:p>
        </w:tc>
      </w:tr>
    </w:tbl>
    <w:p w:rsidR="00A12DCA" w:rsidRPr="00100BF5" w:rsidRDefault="00A12DCA"/>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pPr>
    </w:p>
    <w:p w:rsidR="00A12DCA" w:rsidRPr="00100BF5" w:rsidRDefault="00A12DCA" w:rsidP="00A12DCA">
      <w:pPr>
        <w:pStyle w:val="NoteSourceText-BarcRA1"/>
        <w:rPr>
          <w:sz w:val="2"/>
          <w:szCs w:val="2"/>
        </w:rPr>
      </w:pPr>
    </w:p>
    <w:p w:rsidR="00AF72CF" w:rsidRPr="00100BF5" w:rsidRDefault="00AF72CF" w:rsidP="00A12DCA">
      <w:pPr>
        <w:pStyle w:val="NoteSourceText-BarcRA1"/>
        <w:rPr>
          <w:sz w:val="2"/>
          <w:szCs w:val="2"/>
        </w:rPr>
      </w:pPr>
    </w:p>
    <w:p w:rsidR="00AF72CF" w:rsidRPr="00100BF5" w:rsidRDefault="00AF72CF" w:rsidP="00A12DCA">
      <w:pPr>
        <w:pStyle w:val="NoteSourceText-BarcRA1"/>
        <w:rPr>
          <w:sz w:val="2"/>
          <w:szCs w:val="2"/>
        </w:rPr>
      </w:pPr>
    </w:p>
    <w:p w:rsidR="00AF72CF" w:rsidRPr="00100BF5" w:rsidRDefault="00AF72CF" w:rsidP="00A12DCA">
      <w:pPr>
        <w:pStyle w:val="NoteSourceText-BarcRA1"/>
        <w:rPr>
          <w:sz w:val="2"/>
          <w:szCs w:val="2"/>
        </w:rPr>
      </w:pPr>
    </w:p>
    <w:p w:rsidR="00AF72CF" w:rsidRPr="00100BF5" w:rsidRDefault="00AF72CF" w:rsidP="00A12DCA">
      <w:pPr>
        <w:pStyle w:val="NoteSourceText-BarcRA1"/>
        <w:rPr>
          <w:sz w:val="2"/>
          <w:szCs w:val="2"/>
        </w:rPr>
      </w:pPr>
    </w:p>
    <w:p w:rsidR="00A12DCA" w:rsidRPr="00100BF5" w:rsidRDefault="00A12DCA" w:rsidP="00A12DCA">
      <w:pPr>
        <w:pStyle w:val="NoteSourceText-BarcRA1"/>
      </w:pPr>
      <w:r w:rsidRPr="00100BF5">
        <w:t>1</w:t>
      </w:r>
      <w:r w:rsidRPr="00100BF5">
        <w:tab/>
        <w:t>Further analysis of Investment Bank credit market exposures is on pages</w:t>
      </w:r>
      <w:r w:rsidR="00F81DBD">
        <w:t xml:space="preserve"> 69</w:t>
      </w:r>
      <w:r w:rsidRPr="00100BF5">
        <w:t xml:space="preserve"> to </w:t>
      </w:r>
      <w:r w:rsidR="00F81DBD">
        <w:t>70</w:t>
      </w:r>
      <w:r w:rsidRPr="00100BF5">
        <w:t>. Undrawn commitments of £201m (31 December 2011: £180m) are off-balance sheet and therefore not included in the table above.</w:t>
      </w:r>
    </w:p>
    <w:p w:rsidR="00A12DCA" w:rsidRPr="00100BF5" w:rsidRDefault="00A12DCA" w:rsidP="00A12DCA">
      <w:pPr>
        <w:pStyle w:val="NoteSourceText-BarcRA1"/>
      </w:pPr>
      <w:r w:rsidRPr="00100BF5">
        <w:t>2</w:t>
      </w:r>
      <w:r w:rsidRPr="00100BF5">
        <w:tab/>
        <w:t>Commodities primarily consist of physical inventory positions.</w:t>
      </w:r>
    </w:p>
    <w:p w:rsidR="00A12DCA" w:rsidRPr="00100BF5" w:rsidRDefault="00A12DCA" w:rsidP="00A12DCA">
      <w:pPr>
        <w:pStyle w:val="NoteSourceText-BarcRA1"/>
      </w:pPr>
      <w:r w:rsidRPr="00100BF5">
        <w:t>3</w:t>
      </w:r>
      <w:r w:rsidRPr="00100BF5">
        <w:tab/>
        <w:t>These instruments consist primarily of reverse repurchase agreements designated at fair value.</w:t>
      </w:r>
    </w:p>
    <w:p w:rsidR="00A12DCA" w:rsidRPr="00100BF5" w:rsidRDefault="00A12DCA">
      <w:pPr>
        <w:sectPr w:rsidR="00A12DCA" w:rsidRPr="00100BF5" w:rsidSect="00E100EB">
          <w:headerReference w:type="default" r:id="rId28"/>
          <w:pgSz w:w="11905" w:h="16837"/>
          <w:pgMar w:top="851" w:right="1134" w:bottom="567" w:left="1134" w:header="851" w:footer="567" w:gutter="0"/>
          <w:cols w:space="708"/>
        </w:sectPr>
      </w:pPr>
    </w:p>
    <w:p w:rsidR="005F437E" w:rsidRDefault="005F437E" w:rsidP="005F437E">
      <w:pPr>
        <w:pStyle w:val="HeadingLevel1-BarcRA"/>
      </w:pPr>
      <w:r>
        <w:t>Credit Risk</w:t>
      </w:r>
    </w:p>
    <w:p w:rsidR="00A12DCA" w:rsidRPr="00100BF5" w:rsidRDefault="00A12DCA" w:rsidP="00A12DCA">
      <w:pPr>
        <w:pStyle w:val="HeadingLevel2-BarcRA10"/>
        <w:rPr>
          <w:color w:val="auto"/>
        </w:rPr>
      </w:pPr>
      <w:r w:rsidRPr="00100BF5">
        <w:rPr>
          <w:color w:val="auto"/>
        </w:rPr>
        <w:t>Analysis of Loans and Advances to Customers and Banks</w:t>
      </w:r>
    </w:p>
    <w:p w:rsidR="00A12DCA" w:rsidRPr="00100BF5" w:rsidRDefault="00A12DCA"/>
    <w:tbl>
      <w:tblPr>
        <w:tblW w:w="0" w:type="auto"/>
        <w:tblLayout w:type="fixed"/>
        <w:tblLook w:val="0000" w:firstRow="0" w:lastRow="0" w:firstColumn="0" w:lastColumn="0" w:noHBand="0" w:noVBand="0"/>
      </w:tblPr>
      <w:tblGrid>
        <w:gridCol w:w="3705"/>
        <w:gridCol w:w="990"/>
        <w:gridCol w:w="990"/>
        <w:gridCol w:w="990"/>
        <w:gridCol w:w="990"/>
        <w:gridCol w:w="990"/>
        <w:gridCol w:w="990"/>
      </w:tblGrid>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r>
      <w:tr w:rsidR="000810BB" w:rsidRPr="00100BF5" w:rsidTr="000810BB">
        <w:tblPrEx>
          <w:tblCellMar>
            <w:top w:w="0" w:type="dxa"/>
            <w:bottom w:w="0" w:type="dxa"/>
          </w:tblCellMar>
        </w:tblPrEx>
        <w:trPr>
          <w:trHeight w:val="240"/>
        </w:trPr>
        <w:tc>
          <w:tcPr>
            <w:tcW w:w="3705" w:type="dxa"/>
            <w:gridSpan w:val="7"/>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20"/>
              </w:rPr>
              <w:t>Loans and Advances at Amortised Cost Net of Impairment Allowances, by Industry Sector and Geography</w:t>
            </w:r>
            <w:r w:rsidRPr="00100BF5">
              <w:rPr>
                <w:rFonts w:ascii="Barclays Sans" w:eastAsia="Barclays Sans" w:hAnsi="Barclays Sans" w:cs="Barclays Sans"/>
                <w:b/>
                <w:sz w:val="16"/>
                <w:vertAlign w:val="superscript"/>
              </w:rPr>
              <w:t xml:space="preserve"> </w:t>
            </w:r>
          </w:p>
        </w:tc>
      </w:tr>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b/>
                <w:sz w:val="16"/>
                <w:vertAlign w:val="superscript"/>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480"/>
        </w:trPr>
        <w:tc>
          <w:tcPr>
            <w:tcW w:w="3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rPr>
            </w:pPr>
            <w:r w:rsidRPr="00100BF5">
              <w:rPr>
                <w:b/>
                <w:sz w:val="16"/>
              </w:rPr>
              <w:t>As at 30.06.12</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United Kingdom</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Europe</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Americas</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Africa and Middle East</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Asia</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£m</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9,888 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15,843 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12,958 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1,909 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3,610 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44,20</w:t>
            </w:r>
            <w:r w:rsidR="000F3AC9" w:rsidRPr="00100BF5">
              <w:rPr>
                <w:sz w:val="16"/>
              </w:rPr>
              <w:t>8</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Other financial institutions</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23,923 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28,794 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59,261 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2,804 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4,548 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119,33</w:t>
            </w:r>
            <w:r w:rsidR="000F3AC9" w:rsidRPr="00100BF5">
              <w:rPr>
                <w:sz w:val="16"/>
              </w:rPr>
              <w:t>0</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Manufacturing</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6,269 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2,862 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1,435 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1,57</w:t>
            </w:r>
            <w:r w:rsidR="00D84E58" w:rsidRPr="00100BF5">
              <w:rPr>
                <w:sz w:val="16"/>
              </w:rPr>
              <w:t>3</w:t>
            </w: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604 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12,74</w:t>
            </w:r>
            <w:r w:rsidR="000F3AC9" w:rsidRPr="00100BF5">
              <w:rPr>
                <w:sz w:val="16"/>
              </w:rPr>
              <w:t>3</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Construction</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0F3AC9">
            <w:pPr>
              <w:jc w:val="right"/>
              <w:rPr>
                <w:sz w:val="16"/>
              </w:rPr>
            </w:pPr>
            <w:r w:rsidRPr="00100BF5">
              <w:rPr>
                <w:sz w:val="16"/>
              </w:rPr>
              <w:t>3,65</w:t>
            </w:r>
            <w:r w:rsidR="000F3AC9" w:rsidRPr="00100BF5">
              <w:rPr>
                <w:sz w:val="16"/>
              </w:rPr>
              <w:t>1</w:t>
            </w: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658 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1,270 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48 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5,62</w:t>
            </w:r>
            <w:r w:rsidR="000F3AC9" w:rsidRPr="00100BF5">
              <w:rPr>
                <w:sz w:val="16"/>
              </w:rPr>
              <w:t>8</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Property</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14,924 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2,786 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670 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3,576 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287 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B9457D">
            <w:pPr>
              <w:jc w:val="right"/>
              <w:rPr>
                <w:sz w:val="16"/>
              </w:rPr>
            </w:pPr>
            <w:r w:rsidRPr="00100BF5">
              <w:rPr>
                <w:sz w:val="16"/>
              </w:rPr>
              <w:t>22,243 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Government</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486 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3,653 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1,3</w:t>
            </w:r>
            <w:r w:rsidR="00D84E58" w:rsidRPr="00100BF5">
              <w:rPr>
                <w:sz w:val="16"/>
              </w:rPr>
              <w:t>89</w:t>
            </w: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3,090 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1,925 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10,54</w:t>
            </w:r>
            <w:r w:rsidR="000F3AC9" w:rsidRPr="00100BF5">
              <w:rPr>
                <w:sz w:val="16"/>
              </w:rPr>
              <w:t>3</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Energy and water</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1,748 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2,400 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1,657 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917 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274 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B9457D">
            <w:pPr>
              <w:jc w:val="right"/>
              <w:rPr>
                <w:sz w:val="16"/>
              </w:rPr>
            </w:pPr>
            <w:r w:rsidRPr="00100BF5">
              <w:rPr>
                <w:sz w:val="16"/>
              </w:rPr>
              <w:t>6,996 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55"/>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Wholesale and retail distribution and leisure</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11,888 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2,541 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1,135 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1,738 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129 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17,43</w:t>
            </w:r>
            <w:r w:rsidR="000F3AC9" w:rsidRPr="00100BF5">
              <w:rPr>
                <w:sz w:val="16"/>
              </w:rPr>
              <w:t>1</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Business and other services</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16,144 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4,635 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1,312 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3,407 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529 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B9457D">
            <w:pPr>
              <w:jc w:val="right"/>
              <w:rPr>
                <w:sz w:val="16"/>
              </w:rPr>
            </w:pPr>
            <w:r w:rsidRPr="00100BF5">
              <w:rPr>
                <w:sz w:val="16"/>
              </w:rPr>
              <w:t>26,027 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Home loans</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114,756 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36,669 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552 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18,719 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578 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B9457D">
            <w:pPr>
              <w:jc w:val="right"/>
              <w:rPr>
                <w:sz w:val="16"/>
              </w:rPr>
            </w:pPr>
            <w:r w:rsidRPr="00100BF5">
              <w:rPr>
                <w:sz w:val="16"/>
              </w:rPr>
              <w:t>171,274 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Cards, unsecured loans and other personal lending</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26,202 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5,518 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9,553 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5,335 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468 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47,07</w:t>
            </w:r>
            <w:r w:rsidR="000F3AC9" w:rsidRPr="00100BF5">
              <w:rPr>
                <w:sz w:val="16"/>
              </w:rPr>
              <w:t>6</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Other</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D84E58" w:rsidP="000F3AC9">
            <w:pPr>
              <w:jc w:val="right"/>
              <w:rPr>
                <w:sz w:val="16"/>
              </w:rPr>
            </w:pPr>
            <w:r w:rsidRPr="00100BF5">
              <w:rPr>
                <w:sz w:val="16"/>
              </w:rPr>
              <w:t>8,17</w:t>
            </w:r>
            <w:r w:rsidR="000F3AC9" w:rsidRPr="00100BF5">
              <w:rPr>
                <w:sz w:val="16"/>
              </w:rPr>
              <w:t>1</w:t>
            </w:r>
            <w:r w:rsidR="00A12DCA" w:rsidRPr="00100BF5">
              <w:rPr>
                <w:sz w:val="16"/>
              </w:rPr>
              <w:t>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D84E58" w:rsidP="00B9457D">
            <w:pPr>
              <w:jc w:val="right"/>
              <w:rPr>
                <w:sz w:val="16"/>
              </w:rPr>
            </w:pPr>
            <w:r w:rsidRPr="00100BF5">
              <w:rPr>
                <w:sz w:val="16"/>
              </w:rPr>
              <w:t>2,933</w:t>
            </w:r>
            <w:r w:rsidR="00A12DCA" w:rsidRPr="00100BF5">
              <w:rPr>
                <w:sz w:val="16"/>
              </w:rPr>
              <w:t>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1,378 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7,001 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jc w:val="right"/>
              <w:rPr>
                <w:sz w:val="16"/>
              </w:rPr>
            </w:pPr>
            <w:r w:rsidRPr="00100BF5">
              <w:rPr>
                <w:sz w:val="16"/>
              </w:rPr>
              <w:t>523 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0F3AC9">
            <w:pPr>
              <w:jc w:val="right"/>
              <w:rPr>
                <w:sz w:val="16"/>
              </w:rPr>
            </w:pPr>
            <w:r w:rsidRPr="00100BF5">
              <w:rPr>
                <w:sz w:val="16"/>
              </w:rPr>
              <w:t>20,00</w:t>
            </w:r>
            <w:r w:rsidR="000F3AC9" w:rsidRPr="00100BF5">
              <w:rPr>
                <w:sz w:val="16"/>
              </w:rPr>
              <w:t>6</w:t>
            </w:r>
            <w:r w:rsidRPr="00100BF5">
              <w:rPr>
                <w:sz w:val="16"/>
              </w:rPr>
              <w:t>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16"/>
              </w:rPr>
              <w:t>Net loans and advances to customers and 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F3AC9">
            <w:pPr>
              <w:jc w:val="right"/>
              <w:rPr>
                <w:b/>
                <w:sz w:val="16"/>
              </w:rPr>
            </w:pPr>
            <w:r w:rsidRPr="00100BF5">
              <w:rPr>
                <w:b/>
                <w:sz w:val="16"/>
              </w:rPr>
              <w:t>23</w:t>
            </w:r>
            <w:r w:rsidR="00D84E58" w:rsidRPr="00100BF5">
              <w:rPr>
                <w:b/>
                <w:sz w:val="16"/>
              </w:rPr>
              <w:t>8,0</w:t>
            </w:r>
            <w:r w:rsidR="000F3AC9" w:rsidRPr="00100BF5">
              <w:rPr>
                <w:b/>
                <w:sz w:val="16"/>
              </w:rPr>
              <w:t>50</w:t>
            </w:r>
            <w:r w:rsidRPr="00100BF5">
              <w:rPr>
                <w:b/>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F3AC9">
            <w:pPr>
              <w:jc w:val="right"/>
              <w:rPr>
                <w:b/>
                <w:sz w:val="16"/>
              </w:rPr>
            </w:pPr>
            <w:r w:rsidRPr="00100BF5">
              <w:rPr>
                <w:b/>
                <w:sz w:val="16"/>
              </w:rPr>
              <w:t>109,</w:t>
            </w:r>
            <w:r w:rsidR="00D84E58" w:rsidRPr="00100BF5">
              <w:rPr>
                <w:b/>
                <w:sz w:val="16"/>
              </w:rPr>
              <w:t>29</w:t>
            </w:r>
            <w:r w:rsidR="000F3AC9" w:rsidRPr="00100BF5">
              <w:rPr>
                <w:b/>
                <w:sz w:val="16"/>
              </w:rPr>
              <w:t>2</w:t>
            </w:r>
            <w:r w:rsidRPr="00100BF5">
              <w:rPr>
                <w:b/>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F3AC9">
            <w:pPr>
              <w:jc w:val="right"/>
              <w:rPr>
                <w:b/>
                <w:sz w:val="16"/>
              </w:rPr>
            </w:pPr>
            <w:r w:rsidRPr="00100BF5">
              <w:rPr>
                <w:b/>
                <w:sz w:val="16"/>
              </w:rPr>
              <w:t>91,30</w:t>
            </w:r>
            <w:r w:rsidR="000F3AC9" w:rsidRPr="00100BF5">
              <w:rPr>
                <w:b/>
                <w:sz w:val="16"/>
              </w:rPr>
              <w:t>1</w:t>
            </w:r>
            <w:r w:rsidRPr="00100BF5">
              <w:rPr>
                <w:b/>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F3AC9">
            <w:pPr>
              <w:jc w:val="right"/>
              <w:rPr>
                <w:b/>
                <w:sz w:val="16"/>
              </w:rPr>
            </w:pPr>
            <w:r w:rsidRPr="00100BF5">
              <w:rPr>
                <w:b/>
                <w:sz w:val="16"/>
              </w:rPr>
              <w:t>51,3</w:t>
            </w:r>
            <w:r w:rsidR="000F3AC9" w:rsidRPr="00100BF5">
              <w:rPr>
                <w:b/>
                <w:sz w:val="16"/>
              </w:rPr>
              <w:t>39</w:t>
            </w:r>
            <w:r w:rsidRPr="00100BF5">
              <w:rPr>
                <w:b/>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b/>
                <w:sz w:val="16"/>
              </w:rPr>
              <w:t>13,523 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B9457D">
            <w:pPr>
              <w:jc w:val="right"/>
              <w:rPr>
                <w:b/>
                <w:sz w:val="16"/>
              </w:rPr>
            </w:pPr>
            <w:r w:rsidRPr="00100BF5">
              <w:rPr>
                <w:b/>
                <w:sz w:val="16"/>
              </w:rPr>
              <w:t>503,505 </w:t>
            </w:r>
            <w:r w:rsidRPr="00100BF5">
              <w:rPr>
                <w:rFonts w:ascii="Barclays Sans" w:eastAsia="Barclays Sans" w:hAnsi="Barclays Sans" w:cs="Barclays Sans"/>
                <w:sz w:val="16"/>
                <w:vertAlign w:val="superscript"/>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16"/>
              </w:rPr>
              <w:t>Impairment allowance</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b/>
                <w:sz w:val="16"/>
              </w:rPr>
              <w:t>(3,653)</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b/>
                <w:sz w:val="16"/>
              </w:rPr>
              <w:t>(2,635)</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b/>
                <w:sz w:val="16"/>
              </w:rPr>
              <w:t>(2,155)</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b/>
                <w:sz w:val="16"/>
              </w:rPr>
              <w:t>(1,436)</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jc w:val="right"/>
              <w:rPr>
                <w:b/>
                <w:sz w:val="16"/>
              </w:rPr>
            </w:pPr>
            <w:r w:rsidRPr="00100BF5">
              <w:rPr>
                <w:b/>
                <w:sz w:val="16"/>
              </w:rPr>
              <w:t>(67)</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B9457D">
            <w:pPr>
              <w:jc w:val="right"/>
              <w:rPr>
                <w:b/>
                <w:sz w:val="16"/>
              </w:rPr>
            </w:pPr>
            <w:r w:rsidRPr="00100BF5">
              <w:rPr>
                <w:b/>
                <w:sz w:val="16"/>
              </w:rPr>
              <w:t>(9,946)</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16"/>
              </w:rPr>
              <w:t>As at 31.12.11</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9,251 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13,503 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13,349 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2,956 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5,648 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44,707 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Other financial institutions</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18,474 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20,059 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44,965 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2,264 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3,888 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89,650 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Manufacturing</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6,185 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3,341 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1,396 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1,439 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543 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12,904 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Construction</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3,391 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771 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65 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4,607 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Property</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16,230 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3,193 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869 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3,600 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212 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24,104 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Government</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493 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3,365 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907 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3,072 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1,031 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8,868 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Energy and water</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1,599 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2,448 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2,165 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818 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384 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7,414 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Wholesale and retail distribution and leisure</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10,308 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3,008 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656 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2,073 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161 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16,206 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Business and other services</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16,473 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4,981 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1,584 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2,907 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355 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26,300 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Home loans</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112,260 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38,508 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19,437 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501 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171,272 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Cards, unsecured loans and other personal lending</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27,409 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6,417 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9,293 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6,158 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785 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50,062 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sz w:val="16"/>
              </w:rPr>
              <w:t>Other</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8,363 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5,554 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1,312 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7,471 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586 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23,286 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16"/>
              </w:rPr>
              <w:t>Net loans and advances to customers and 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230,436 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105,148 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77,094 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52,543 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14,159 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479,380 </w:t>
            </w:r>
            <w:r w:rsidRPr="00100BF5">
              <w:rPr>
                <w:rFonts w:ascii="Barclays Sans" w:eastAsia="Barclays Sans" w:hAnsi="Barclays Sans" w:cs="Barclays Sans"/>
                <w:sz w:val="16"/>
                <w:vertAlign w:val="superscript"/>
              </w:rPr>
              <w:t xml:space="preserve">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16"/>
              </w:rPr>
              <w:t>Impairment allowance</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D84E58">
            <w:pPr>
              <w:jc w:val="right"/>
              <w:rPr>
                <w:b/>
                <w:sz w:val="16"/>
              </w:rPr>
            </w:pPr>
            <w:r w:rsidRPr="00100BF5">
              <w:rPr>
                <w:b/>
                <w:sz w:val="16"/>
              </w:rPr>
              <w:t>(</w:t>
            </w:r>
            <w:r w:rsidR="00A12DCA" w:rsidRPr="00100BF5">
              <w:rPr>
                <w:b/>
                <w:sz w:val="16"/>
              </w:rPr>
              <w:t>4,005</w:t>
            </w:r>
            <w:r w:rsidRPr="00100BF5">
              <w:rPr>
                <w:b/>
                <w:sz w:val="16"/>
              </w:rPr>
              <w:t>)</w:t>
            </w:r>
            <w:r w:rsidR="00A12DCA" w:rsidRPr="00100BF5">
              <w:rPr>
                <w:b/>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D84E58">
            <w:pPr>
              <w:jc w:val="right"/>
              <w:rPr>
                <w:b/>
                <w:sz w:val="16"/>
              </w:rPr>
            </w:pPr>
            <w:r w:rsidRPr="00100BF5">
              <w:rPr>
                <w:b/>
                <w:sz w:val="16"/>
              </w:rPr>
              <w:t>(</w:t>
            </w:r>
            <w:r w:rsidR="00A12DCA" w:rsidRPr="00100BF5">
              <w:rPr>
                <w:b/>
                <w:sz w:val="16"/>
              </w:rPr>
              <w:t>2,920</w:t>
            </w:r>
            <w:r w:rsidRPr="00100BF5">
              <w:rPr>
                <w:b/>
                <w:sz w:val="16"/>
              </w:rPr>
              <w:t>)</w:t>
            </w:r>
            <w:r w:rsidR="00A12DCA" w:rsidRPr="00100BF5">
              <w:rPr>
                <w:b/>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D84E58">
            <w:pPr>
              <w:jc w:val="right"/>
              <w:rPr>
                <w:b/>
                <w:sz w:val="16"/>
              </w:rPr>
            </w:pPr>
            <w:r w:rsidRPr="00100BF5">
              <w:rPr>
                <w:b/>
                <w:sz w:val="16"/>
              </w:rPr>
              <w:t>(</w:t>
            </w:r>
            <w:r w:rsidR="00A12DCA" w:rsidRPr="00100BF5">
              <w:rPr>
                <w:b/>
                <w:sz w:val="16"/>
              </w:rPr>
              <w:t>2,128</w:t>
            </w:r>
            <w:r w:rsidRPr="00100BF5">
              <w:rPr>
                <w:b/>
                <w:sz w:val="16"/>
              </w:rPr>
              <w:t>)</w:t>
            </w:r>
            <w:r w:rsidR="00A12DCA" w:rsidRPr="00100BF5">
              <w:rPr>
                <w:b/>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D84E58">
            <w:pPr>
              <w:jc w:val="right"/>
              <w:rPr>
                <w:b/>
                <w:sz w:val="16"/>
              </w:rPr>
            </w:pPr>
            <w:r w:rsidRPr="00100BF5">
              <w:rPr>
                <w:b/>
                <w:sz w:val="16"/>
              </w:rPr>
              <w:t>(</w:t>
            </w:r>
            <w:r w:rsidR="00A12DCA" w:rsidRPr="00100BF5">
              <w:rPr>
                <w:b/>
                <w:sz w:val="16"/>
              </w:rPr>
              <w:t>1,446</w:t>
            </w:r>
            <w:r w:rsidRPr="00100BF5">
              <w:rPr>
                <w:b/>
                <w:sz w:val="16"/>
              </w:rPr>
              <w:t>)</w:t>
            </w:r>
            <w:r w:rsidR="00A12DCA" w:rsidRPr="00100BF5">
              <w:rPr>
                <w:b/>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D84E58">
            <w:pPr>
              <w:jc w:val="right"/>
              <w:rPr>
                <w:b/>
                <w:sz w:val="16"/>
              </w:rPr>
            </w:pPr>
            <w:r w:rsidRPr="00100BF5">
              <w:rPr>
                <w:b/>
                <w:sz w:val="16"/>
              </w:rPr>
              <w:t>(</w:t>
            </w:r>
            <w:r w:rsidR="00A12DCA" w:rsidRPr="00100BF5">
              <w:rPr>
                <w:b/>
                <w:sz w:val="16"/>
              </w:rPr>
              <w:t>98</w:t>
            </w:r>
            <w:r w:rsidRPr="00100BF5">
              <w:rPr>
                <w:b/>
                <w:sz w:val="16"/>
              </w:rPr>
              <w:t>)</w:t>
            </w:r>
            <w:r w:rsidR="00A12DCA" w:rsidRPr="00100BF5">
              <w:rPr>
                <w:b/>
                <w:sz w:val="16"/>
              </w:rPr>
              <w:t>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D84E58">
            <w:pPr>
              <w:jc w:val="right"/>
              <w:rPr>
                <w:b/>
                <w:sz w:val="16"/>
              </w:rPr>
            </w:pPr>
            <w:r w:rsidRPr="00100BF5">
              <w:rPr>
                <w:b/>
                <w:sz w:val="16"/>
              </w:rPr>
              <w:t>(</w:t>
            </w:r>
            <w:r w:rsidR="00A12DCA" w:rsidRPr="00100BF5">
              <w:rPr>
                <w:b/>
                <w:sz w:val="16"/>
              </w:rPr>
              <w:t>10,597</w:t>
            </w:r>
            <w:r w:rsidRPr="00100BF5">
              <w:rPr>
                <w:b/>
                <w:sz w:val="16"/>
              </w:rPr>
              <w:t>)</w:t>
            </w:r>
            <w:r w:rsidR="00A12DCA" w:rsidRPr="00100BF5">
              <w:rPr>
                <w:b/>
                <w:sz w:val="16"/>
              </w:rPr>
              <w:t> </w:t>
            </w:r>
            <w:r w:rsidR="00A12DCA" w:rsidRPr="00100BF5">
              <w:rPr>
                <w:rFonts w:ascii="Barclays Sans" w:eastAsia="Barclays Sans" w:hAnsi="Barclays Sans" w:cs="Barclays Sans"/>
                <w:sz w:val="16"/>
                <w:vertAlign w:val="superscript"/>
              </w:rPr>
              <w:t xml:space="preserve"> </w:t>
            </w:r>
          </w:p>
        </w:tc>
      </w:tr>
    </w:tbl>
    <w:p w:rsidR="00A12DCA" w:rsidRPr="00100BF5" w:rsidRDefault="00A12DCA" w:rsidP="005F437E">
      <w:pPr>
        <w:pStyle w:val="HeadingLevel1-BarcRA"/>
      </w:pPr>
      <w:r w:rsidRPr="00100BF5">
        <w:br w:type="page"/>
      </w:r>
      <w:r w:rsidR="005F437E">
        <w:t>Credit Risk</w:t>
      </w:r>
    </w:p>
    <w:tbl>
      <w:tblPr>
        <w:tblW w:w="0" w:type="auto"/>
        <w:tblLayout w:type="fixed"/>
        <w:tblLook w:val="0000" w:firstRow="0" w:lastRow="0" w:firstColumn="0" w:lastColumn="0" w:noHBand="0" w:noVBand="0"/>
      </w:tblPr>
      <w:tblGrid>
        <w:gridCol w:w="3705"/>
        <w:gridCol w:w="990"/>
        <w:gridCol w:w="990"/>
        <w:gridCol w:w="990"/>
        <w:gridCol w:w="990"/>
        <w:gridCol w:w="990"/>
        <w:gridCol w:w="990"/>
      </w:tblGrid>
      <w:tr w:rsidR="000810BB" w:rsidRPr="00100BF5" w:rsidTr="000810BB">
        <w:tblPrEx>
          <w:tblCellMar>
            <w:top w:w="0" w:type="dxa"/>
            <w:bottom w:w="0" w:type="dxa"/>
          </w:tblCellMar>
        </w:tblPrEx>
        <w:trPr>
          <w:trHeight w:val="240"/>
        </w:trPr>
        <w:tc>
          <w:tcPr>
            <w:tcW w:w="3705" w:type="dxa"/>
            <w:gridSpan w:val="5"/>
            <w:tcBorders>
              <w:top w:val="nil"/>
              <w:left w:val="nil"/>
              <w:bottom w:val="nil"/>
              <w:right w:val="nil"/>
            </w:tcBorders>
            <w:shd w:val="clear" w:color="auto" w:fill="FFFFFF"/>
            <w:tcMar>
              <w:left w:w="36" w:type="dxa"/>
              <w:right w:w="36" w:type="dxa"/>
            </w:tcMar>
            <w:vAlign w:val="center"/>
          </w:tcPr>
          <w:p w:rsidR="00A12DCA" w:rsidRPr="00100BF5" w:rsidRDefault="00A12DCA" w:rsidP="000C3F6A">
            <w:r w:rsidRPr="00100BF5">
              <w:rPr>
                <w:b/>
                <w:sz w:val="20"/>
              </w:rPr>
              <w:t>Loans and Advances Held at Fair Value, by Industry Sector and Geography</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b/>
                <w:sz w:val="20"/>
              </w:rPr>
              <w:t xml:space="preserve"> </w:t>
            </w:r>
            <w:r w:rsidRPr="00100BF5">
              <w:rPr>
                <w:b/>
                <w:sz w:val="20"/>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vertAlign w:val="superscript"/>
              </w:rPr>
            </w:pPr>
            <w:r w:rsidRPr="00100BF5">
              <w:rPr>
                <w:rFonts w:ascii="Arial" w:eastAsia="Arial" w:hAnsi="Arial" w:cs="Arial"/>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Arial" w:eastAsia="Arial" w:hAnsi="Arial" w:cs="Arial"/>
                <w:sz w:val="20"/>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A12DCA" w:rsidRPr="00100BF5">
        <w:tblPrEx>
          <w:tblCellMar>
            <w:top w:w="0" w:type="dxa"/>
            <w:bottom w:w="0" w:type="dxa"/>
          </w:tblCellMar>
        </w:tblPrEx>
        <w:trPr>
          <w:trHeight w:val="510"/>
        </w:trPr>
        <w:tc>
          <w:tcPr>
            <w:tcW w:w="3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b/>
                <w:sz w:val="16"/>
              </w:rPr>
              <w:t>As at 30.06.12</w:t>
            </w:r>
            <w:r w:rsidRPr="00100BF5">
              <w:rPr>
                <w:b/>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United Kingdom</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Europe</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Americas</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Africa and Middle East</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Asia</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tc>
      </w:tr>
      <w:tr w:rsidR="00A12DCA" w:rsidRPr="00100BF5">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Banks</w:t>
            </w:r>
            <w:r w:rsidRPr="00100BF5">
              <w:rPr>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435 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FA11E2">
            <w:pPr>
              <w:jc w:val="right"/>
              <w:rPr>
                <w:sz w:val="16"/>
              </w:rPr>
            </w:pPr>
            <w:r w:rsidRPr="00100BF5">
              <w:rPr>
                <w:sz w:val="16"/>
              </w:rPr>
              <w:t>339</w:t>
            </w:r>
            <w:r w:rsidR="00A12DCA" w:rsidRPr="00100BF5">
              <w:rPr>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FA11E2">
            <w:pPr>
              <w:jc w:val="right"/>
              <w:rPr>
                <w:sz w:val="16"/>
              </w:rPr>
            </w:pPr>
            <w:r w:rsidRPr="00100BF5">
              <w:rPr>
                <w:sz w:val="16"/>
              </w:rPr>
              <w:t>933</w:t>
            </w:r>
            <w:r w:rsidR="00A12DCA" w:rsidRPr="00100BF5">
              <w:rPr>
                <w:sz w:val="16"/>
              </w:rPr>
              <w:t>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financial institutions</w:t>
            </w:r>
            <w:r w:rsidRPr="00100BF5">
              <w:rPr>
                <w:sz w:val="16"/>
                <w:vertAlign w:val="superscript"/>
              </w:rPr>
              <w:t>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1,034 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w:t>
            </w:r>
            <w:r w:rsidR="00FA11E2" w:rsidRPr="00100BF5">
              <w:rPr>
                <w:sz w:val="16"/>
              </w:rPr>
              <w:t>5</w:t>
            </w: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FA11E2">
            <w:pPr>
              <w:jc w:val="right"/>
              <w:rPr>
                <w:sz w:val="16"/>
              </w:rPr>
            </w:pPr>
            <w:r w:rsidRPr="00100BF5">
              <w:rPr>
                <w:sz w:val="16"/>
              </w:rPr>
              <w:t>1,80</w:t>
            </w:r>
            <w:r w:rsidR="00FA11E2" w:rsidRPr="00100BF5">
              <w:rPr>
                <w:sz w:val="16"/>
              </w:rPr>
              <w:t>4</w:t>
            </w:r>
            <w:r w:rsidRPr="00100BF5">
              <w:rPr>
                <w:sz w:val="16"/>
              </w:rPr>
              <w:t>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Manufacturing</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174 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13 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344 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Construction</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171 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196 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Property</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FA11E2">
            <w:pPr>
              <w:jc w:val="right"/>
              <w:rPr>
                <w:sz w:val="16"/>
                <w:vertAlign w:val="superscript"/>
              </w:rPr>
            </w:pPr>
            <w:r w:rsidRPr="00100BF5">
              <w:rPr>
                <w:sz w:val="16"/>
              </w:rPr>
              <w:t>8,44</w:t>
            </w:r>
            <w:r w:rsidR="00FA11E2" w:rsidRPr="00100BF5">
              <w:rPr>
                <w:sz w:val="16"/>
              </w:rPr>
              <w:t>2</w:t>
            </w: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895 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835 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FA11E2">
            <w:pPr>
              <w:jc w:val="right"/>
              <w:rPr>
                <w:sz w:val="16"/>
              </w:rPr>
            </w:pPr>
            <w:r w:rsidRPr="00100BF5">
              <w:rPr>
                <w:sz w:val="16"/>
              </w:rPr>
              <w:t>96</w:t>
            </w:r>
            <w:r w:rsidR="00A12DCA"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rsidP="00FA11E2">
            <w:pPr>
              <w:jc w:val="right"/>
              <w:rPr>
                <w:sz w:val="16"/>
              </w:rPr>
            </w:pPr>
            <w:r w:rsidRPr="00100BF5">
              <w:rPr>
                <w:sz w:val="16"/>
              </w:rPr>
              <w:t>10,</w:t>
            </w:r>
            <w:r w:rsidR="00FA11E2" w:rsidRPr="00100BF5">
              <w:rPr>
                <w:sz w:val="16"/>
              </w:rPr>
              <w:t>270</w:t>
            </w:r>
            <w:r w:rsidRPr="00100BF5">
              <w:rPr>
                <w:sz w:val="16"/>
              </w:rPr>
              <w:t>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Government</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5,624 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E85823">
            <w:pPr>
              <w:jc w:val="right"/>
              <w:rPr>
                <w:sz w:val="16"/>
              </w:rPr>
            </w:pPr>
            <w:r w:rsidRPr="00100BF5">
              <w:rPr>
                <w:sz w:val="16"/>
              </w:rPr>
              <w:t>1</w:t>
            </w:r>
            <w:r w:rsidR="00A12DCA"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24 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5,679 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Energy and water</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FA11E2">
            <w:pPr>
              <w:jc w:val="right"/>
              <w:rPr>
                <w:sz w:val="16"/>
              </w:rPr>
            </w:pPr>
            <w:r w:rsidRPr="00100BF5">
              <w:rPr>
                <w:sz w:val="16"/>
              </w:rPr>
              <w:t>1</w:t>
            </w:r>
            <w:r w:rsidR="00FA11E2" w:rsidRPr="00100BF5">
              <w:rPr>
                <w:sz w:val="16"/>
              </w:rPr>
              <w:t>79</w:t>
            </w: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FA11E2">
            <w:pPr>
              <w:jc w:val="right"/>
              <w:rPr>
                <w:sz w:val="16"/>
              </w:rPr>
            </w:pPr>
            <w:r w:rsidRPr="00100BF5">
              <w:rPr>
                <w:sz w:val="16"/>
              </w:rPr>
              <w:t>61</w:t>
            </w:r>
            <w:r w:rsidR="00A12DCA"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FA11E2">
            <w:pPr>
              <w:jc w:val="right"/>
              <w:rPr>
                <w:sz w:val="16"/>
              </w:rPr>
            </w:pPr>
            <w:r w:rsidRPr="00100BF5">
              <w:rPr>
                <w:sz w:val="16"/>
              </w:rPr>
              <w:t>615</w:t>
            </w:r>
            <w:r w:rsidR="00A12DCA" w:rsidRPr="00100BF5">
              <w:rPr>
                <w:sz w:val="16"/>
              </w:rPr>
              <w:t>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Wholesale and retail distribution and leisure</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64 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272 </w:t>
            </w:r>
          </w:p>
        </w:tc>
      </w:tr>
      <w:tr w:rsidR="00A12DCA" w:rsidRPr="00100BF5">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Business and other services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3,314 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FA11E2">
            <w:pPr>
              <w:jc w:val="right"/>
              <w:rPr>
                <w:sz w:val="16"/>
              </w:rPr>
            </w:pPr>
            <w:r w:rsidRPr="00100BF5">
              <w:rPr>
                <w:sz w:val="16"/>
              </w:rPr>
              <w:t>35</w:t>
            </w:r>
            <w:r w:rsidR="00A12DCA"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305 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40 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3,694 </w:t>
            </w:r>
          </w:p>
        </w:tc>
      </w:tr>
      <w:tr w:rsidR="00A12DCA" w:rsidRPr="00100BF5">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r w:rsidRPr="00100BF5">
              <w:rPr>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92 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FA11E2">
            <w:pPr>
              <w:jc w:val="right"/>
              <w:rPr>
                <w:sz w:val="16"/>
              </w:rPr>
            </w:pPr>
            <w:r w:rsidRPr="00100BF5">
              <w:rPr>
                <w:sz w:val="16"/>
              </w:rPr>
              <w:t>78</w:t>
            </w:r>
            <w:r w:rsidR="00A12DCA" w:rsidRPr="00100BF5">
              <w:rPr>
                <w:sz w:val="16"/>
              </w:rPr>
              <w:t>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FA11E2">
            <w:pPr>
              <w:jc w:val="right"/>
              <w:rPr>
                <w:sz w:val="16"/>
              </w:rPr>
            </w:pPr>
            <w:r w:rsidRPr="00100BF5">
              <w:rPr>
                <w:sz w:val="16"/>
              </w:rPr>
              <w:t>184</w:t>
            </w:r>
            <w:r w:rsidR="00A12DCA" w:rsidRPr="00100BF5">
              <w:rPr>
                <w:sz w:val="16"/>
              </w:rPr>
              <w:t>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FA11E2" w:rsidP="001C4568">
            <w:pPr>
              <w:jc w:val="right"/>
              <w:rPr>
                <w:sz w:val="16"/>
              </w:rPr>
            </w:pPr>
            <w:r w:rsidRPr="00100BF5">
              <w:rPr>
                <w:sz w:val="16"/>
              </w:rPr>
              <w:t>5</w:t>
            </w:r>
            <w:r w:rsidR="001C4568">
              <w:rPr>
                <w:sz w:val="16"/>
              </w:rPr>
              <w:t>7</w:t>
            </w:r>
            <w:r w:rsidR="00A12DCA" w:rsidRPr="00100BF5">
              <w:rPr>
                <w:sz w:val="16"/>
              </w:rPr>
              <w:t>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FA11E2" w:rsidP="001C4568">
            <w:pPr>
              <w:jc w:val="right"/>
              <w:rPr>
                <w:sz w:val="16"/>
              </w:rPr>
            </w:pPr>
            <w:r w:rsidRPr="00100BF5">
              <w:rPr>
                <w:sz w:val="16"/>
              </w:rPr>
              <w:t>4</w:t>
            </w:r>
            <w:r w:rsidR="001C4568">
              <w:rPr>
                <w:sz w:val="16"/>
              </w:rPr>
              <w:t>49</w:t>
            </w:r>
          </w:p>
        </w:tc>
      </w:tr>
      <w:tr w:rsidR="00A12DCA" w:rsidRPr="00100BF5">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r w:rsidRPr="00100BF5">
              <w:rPr>
                <w:b/>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17,948 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2,274 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A11E2">
            <w:pPr>
              <w:jc w:val="right"/>
              <w:rPr>
                <w:b/>
                <w:sz w:val="16"/>
              </w:rPr>
            </w:pPr>
            <w:r w:rsidRPr="00100BF5">
              <w:rPr>
                <w:b/>
                <w:sz w:val="16"/>
              </w:rPr>
              <w:t xml:space="preserve"> 2,90</w:t>
            </w:r>
            <w:r w:rsidR="00FA11E2" w:rsidRPr="00100BF5">
              <w:rPr>
                <w:b/>
                <w:sz w:val="16"/>
              </w:rPr>
              <w:t>7</w:t>
            </w:r>
            <w:r w:rsidRPr="00100BF5">
              <w:rPr>
                <w:b/>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988 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C4568">
            <w:pPr>
              <w:jc w:val="right"/>
              <w:rPr>
                <w:b/>
                <w:sz w:val="16"/>
              </w:rPr>
            </w:pPr>
            <w:r w:rsidRPr="00100BF5">
              <w:rPr>
                <w:b/>
                <w:sz w:val="16"/>
              </w:rPr>
              <w:t xml:space="preserve"> </w:t>
            </w:r>
            <w:r w:rsidR="00FA11E2" w:rsidRPr="00100BF5">
              <w:rPr>
                <w:b/>
                <w:sz w:val="16"/>
              </w:rPr>
              <w:t>1</w:t>
            </w:r>
            <w:r w:rsidR="001C4568">
              <w:rPr>
                <w:b/>
                <w:sz w:val="16"/>
              </w:rPr>
              <w:t>39</w:t>
            </w:r>
            <w:r w:rsidRPr="00100BF5">
              <w:rPr>
                <w:b/>
                <w:sz w:val="16"/>
              </w:rPr>
              <w:t>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C4568">
            <w:pPr>
              <w:jc w:val="right"/>
              <w:rPr>
                <w:b/>
                <w:sz w:val="16"/>
              </w:rPr>
            </w:pPr>
            <w:r w:rsidRPr="00100BF5">
              <w:rPr>
                <w:b/>
                <w:sz w:val="16"/>
              </w:rPr>
              <w:t>24,25</w:t>
            </w:r>
            <w:r w:rsidR="001C4568">
              <w:rPr>
                <w:b/>
                <w:sz w:val="16"/>
              </w:rPr>
              <w:t>6</w:t>
            </w:r>
            <w:r w:rsidRPr="00100BF5">
              <w:rPr>
                <w:b/>
                <w:sz w:val="16"/>
              </w:rPr>
              <w:t> </w:t>
            </w:r>
          </w:p>
        </w:tc>
      </w:tr>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B9457D">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rPr>
                <w:b/>
                <w:sz w:val="16"/>
              </w:rPr>
            </w:pPr>
            <w:r w:rsidRPr="00100BF5">
              <w:rPr>
                <w:b/>
                <w:sz w:val="16"/>
              </w:rPr>
              <w:t>As at 31.12.11</w:t>
            </w:r>
            <w:r w:rsidRPr="00100BF5">
              <w:rPr>
                <w:b/>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B9457D">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Banks</w:t>
            </w:r>
            <w:r w:rsidRPr="00100BF5">
              <w:rPr>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11 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364 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126 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512 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Other financial institutions</w:t>
            </w:r>
            <w:r w:rsidRPr="00100BF5">
              <w:rPr>
                <w:sz w:val="16"/>
                <w:vertAlign w:val="superscript"/>
              </w:rPr>
              <w:t>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142 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892 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134 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21 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1,265 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Manufacturing</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211 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406 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Construction</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158 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179 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Property</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8,443 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1,147 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575 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133 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10,301 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Government</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5,609 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19 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5,636 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Energy and water</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32 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203 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385 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Wholesale and retail distribution and leisure</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63 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243 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359 </w:t>
            </w:r>
          </w:p>
        </w:tc>
      </w:tr>
      <w:tr w:rsidR="00A12DCA" w:rsidRPr="00100BF5" w:rsidTr="00B9457D">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Business and other services</w:t>
            </w:r>
            <w:r w:rsidRPr="00100BF5">
              <w:rPr>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3,381 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76 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201 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34 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3,692 </w:t>
            </w:r>
          </w:p>
        </w:tc>
      </w:tr>
      <w:tr w:rsidR="00A12DCA" w:rsidRPr="00100BF5" w:rsidTr="00B9457D">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9457D">
            <w:pPr>
              <w:rPr>
                <w:sz w:val="16"/>
              </w:rPr>
            </w:pPr>
            <w:r w:rsidRPr="00100BF5">
              <w:rPr>
                <w:sz w:val="16"/>
              </w:rPr>
              <w:t>Other</w:t>
            </w:r>
            <w:r w:rsidRPr="00100BF5">
              <w:rPr>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90 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66 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55 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317 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71 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599 </w:t>
            </w:r>
          </w:p>
        </w:tc>
      </w:tr>
      <w:tr w:rsidR="00A12DCA" w:rsidRPr="00100BF5" w:rsidTr="00B9457D">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9457D">
            <w:pPr>
              <w:rPr>
                <w:sz w:val="16"/>
              </w:rPr>
            </w:pPr>
            <w:r w:rsidRPr="00100BF5">
              <w:rPr>
                <w:b/>
                <w:sz w:val="16"/>
              </w:rPr>
              <w:t>Total</w:t>
            </w:r>
            <w:r w:rsidRPr="00100BF5">
              <w:rPr>
                <w:b/>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17,945 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2,158 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2,176 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929 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126 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23,334 </w:t>
            </w:r>
          </w:p>
        </w:tc>
      </w:tr>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rsidTr="00B9457D">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rsidP="00B9457D">
            <w:r w:rsidRPr="00100BF5">
              <w:rPr>
                <w:b/>
                <w:sz w:val="20"/>
              </w:rPr>
              <w:t>Impairment Allowance</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A12DCA" w:rsidRPr="00100BF5">
        <w:tblPrEx>
          <w:tblCellMar>
            <w:top w:w="0" w:type="dxa"/>
            <w:bottom w:w="0" w:type="dxa"/>
          </w:tblCellMar>
        </w:tblPrEx>
        <w:trPr>
          <w:trHeight w:val="480"/>
        </w:trPr>
        <w:tc>
          <w:tcPr>
            <w:tcW w:w="6675"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rFonts w:ascii="Barclays Sans" w:eastAsia="Barclays Sans" w:hAnsi="Barclays Sans" w:cs="Barclays Sans"/>
                <w:sz w:val="16"/>
              </w:rPr>
            </w:pPr>
            <w:r w:rsidRPr="00100BF5">
              <w:rPr>
                <w:b/>
                <w:sz w:val="16"/>
              </w:rPr>
              <w:t>Half Year Ended</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 Ended</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 Ended</w:t>
            </w:r>
          </w:p>
        </w:tc>
      </w:tr>
      <w:tr w:rsidR="00A12DCA" w:rsidRPr="00100BF5">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30.06.12</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r>
      <w:tr w:rsidR="00A12DCA" w:rsidRPr="00100BF5">
        <w:tblPrEx>
          <w:tblCellMar>
            <w:top w:w="0" w:type="dxa"/>
            <w:bottom w:w="0" w:type="dxa"/>
          </w:tblCellMar>
        </w:tblPrEx>
        <w:trPr>
          <w:trHeight w:val="240"/>
        </w:trPr>
        <w:tc>
          <w:tcPr>
            <w:tcW w:w="6675" w:type="dxa"/>
            <w:gridSpan w:val="4"/>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tblPrEx>
          <w:tblCellMar>
            <w:top w:w="0" w:type="dxa"/>
            <w:bottom w:w="0" w:type="dxa"/>
          </w:tblCellMar>
        </w:tblPrEx>
        <w:trPr>
          <w:trHeight w:val="240"/>
        </w:trPr>
        <w:tc>
          <w:tcPr>
            <w:tcW w:w="6675" w:type="dxa"/>
            <w:gridSpan w:val="4"/>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At beginning of period</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10,597 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11,621 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12,432 </w:t>
            </w:r>
          </w:p>
        </w:tc>
      </w:tr>
      <w:tr w:rsidR="00A12DCA" w:rsidRPr="00100BF5">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Acquisitions and disposals</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(73)</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w:t>
            </w:r>
          </w:p>
        </w:tc>
      </w:tr>
      <w:tr w:rsidR="00A12DCA" w:rsidRPr="00100BF5">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Exchange and other adjustments</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(168)</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(361)</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(79)</w:t>
            </w:r>
          </w:p>
        </w:tc>
      </w:tr>
      <w:tr w:rsidR="00A12DCA" w:rsidRPr="00100BF5">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Unwind of discount</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(109)</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(118)</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w:t>
            </w:r>
          </w:p>
        </w:tc>
      </w:tr>
      <w:tr w:rsidR="00A12DCA" w:rsidRPr="00100BF5">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Amounts written off </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(2,201)</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(2,601)</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(2,564)</w:t>
            </w:r>
          </w:p>
        </w:tc>
      </w:tr>
      <w:tr w:rsidR="00A12DCA" w:rsidRPr="00100BF5">
        <w:tblPrEx>
          <w:tblCellMar>
            <w:top w:w="0" w:type="dxa"/>
            <w:bottom w:w="0" w:type="dxa"/>
          </w:tblCellMar>
        </w:tblPrEx>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Recoveries</w:t>
            </w:r>
          </w:p>
        </w:tc>
        <w:tc>
          <w:tcPr>
            <w:tcW w:w="99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95 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165 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100 </w:t>
            </w:r>
          </w:p>
        </w:tc>
      </w:tr>
      <w:tr w:rsidR="00A12DCA" w:rsidRPr="00100BF5">
        <w:tblPrEx>
          <w:tblCellMar>
            <w:top w:w="0" w:type="dxa"/>
            <w:bottom w:w="0" w:type="dxa"/>
          </w:tblCellMar>
        </w:tblPrEx>
        <w:trPr>
          <w:trHeight w:val="240"/>
        </w:trPr>
        <w:tc>
          <w:tcPr>
            <w:tcW w:w="6675" w:type="dxa"/>
            <w:gridSpan w:val="4"/>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Amounts charged against profit</w:t>
            </w:r>
          </w:p>
        </w:tc>
        <w:tc>
          <w:tcPr>
            <w:tcW w:w="990" w:type="dxa"/>
            <w:tcBorders>
              <w:top w:val="nil"/>
              <w:left w:val="nil"/>
              <w:bottom w:val="single" w:sz="6" w:space="0" w:color="A5A5A5"/>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1,805 </w:t>
            </w:r>
          </w:p>
        </w:tc>
        <w:tc>
          <w:tcPr>
            <w:tcW w:w="990"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1,891 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1,875 </w:t>
            </w:r>
          </w:p>
        </w:tc>
      </w:tr>
      <w:tr w:rsidR="00A12DCA" w:rsidRPr="00100BF5">
        <w:tblPrEx>
          <w:tblCellMar>
            <w:top w:w="0" w:type="dxa"/>
            <w:bottom w:w="0" w:type="dxa"/>
          </w:tblCellMar>
        </w:tblPrEx>
        <w:trPr>
          <w:trHeight w:val="240"/>
        </w:trPr>
        <w:tc>
          <w:tcPr>
            <w:tcW w:w="6675" w:type="dxa"/>
            <w:gridSpan w:val="4"/>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At end of period</w:t>
            </w:r>
          </w:p>
        </w:tc>
        <w:tc>
          <w:tcPr>
            <w:tcW w:w="990"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9,946 </w:t>
            </w:r>
          </w:p>
        </w:tc>
        <w:tc>
          <w:tcPr>
            <w:tcW w:w="990"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10,597 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11,621 </w:t>
            </w:r>
          </w:p>
        </w:tc>
      </w:tr>
      <w:tr w:rsidR="00A12DCA" w:rsidRPr="00100BF5">
        <w:tblPrEx>
          <w:tblCellMar>
            <w:top w:w="0" w:type="dxa"/>
            <w:bottom w:w="0" w:type="dxa"/>
          </w:tblCellMar>
        </w:tblPrEx>
        <w:trPr>
          <w:trHeight w:hRule="exact" w:val="240"/>
        </w:trPr>
        <w:tc>
          <w:tcPr>
            <w:tcW w:w="6675"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bl>
    <w:p w:rsidR="00A12DCA" w:rsidRPr="00100BF5" w:rsidRDefault="00A12DCA"/>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pPr>
    </w:p>
    <w:p w:rsidR="00A12DCA" w:rsidRPr="00100BF5" w:rsidRDefault="00A12DCA" w:rsidP="00A12DCA">
      <w:pPr>
        <w:pStyle w:val="NoteandSourceText-BarcRA4"/>
        <w:numPr>
          <w:ilvl w:val="0"/>
          <w:numId w:val="0"/>
        </w:numPr>
        <w:rPr>
          <w:sz w:val="2"/>
          <w:szCs w:val="2"/>
        </w:rPr>
      </w:pPr>
    </w:p>
    <w:p w:rsidR="00AF72CF" w:rsidRPr="00100BF5" w:rsidRDefault="00AF72CF" w:rsidP="00A12DCA">
      <w:pPr>
        <w:pStyle w:val="NoteandSourceText-BarcRA4"/>
        <w:numPr>
          <w:ilvl w:val="0"/>
          <w:numId w:val="0"/>
        </w:numPr>
        <w:rPr>
          <w:sz w:val="2"/>
          <w:szCs w:val="2"/>
        </w:rPr>
      </w:pPr>
    </w:p>
    <w:p w:rsidR="00AF72CF" w:rsidRPr="00100BF5" w:rsidRDefault="00AF72CF" w:rsidP="00A12DCA">
      <w:pPr>
        <w:pStyle w:val="NoteandSourceText-BarcRA4"/>
        <w:numPr>
          <w:ilvl w:val="0"/>
          <w:numId w:val="0"/>
        </w:numPr>
        <w:rPr>
          <w:sz w:val="2"/>
          <w:szCs w:val="2"/>
        </w:rPr>
      </w:pPr>
    </w:p>
    <w:p w:rsidR="00AF72CF" w:rsidRPr="00100BF5" w:rsidRDefault="00AF72CF" w:rsidP="00A12DCA">
      <w:pPr>
        <w:pStyle w:val="NoteandSourceText-BarcRA4"/>
        <w:numPr>
          <w:ilvl w:val="0"/>
          <w:numId w:val="0"/>
        </w:numPr>
        <w:rPr>
          <w:sz w:val="2"/>
          <w:szCs w:val="2"/>
        </w:rPr>
      </w:pPr>
    </w:p>
    <w:p w:rsidR="00AF72CF" w:rsidRPr="00100BF5" w:rsidRDefault="00AF72CF" w:rsidP="00A12DCA">
      <w:pPr>
        <w:pStyle w:val="NoteandSourceText-BarcRA4"/>
        <w:numPr>
          <w:ilvl w:val="0"/>
          <w:numId w:val="0"/>
        </w:numPr>
        <w:rPr>
          <w:sz w:val="2"/>
          <w:szCs w:val="2"/>
        </w:rPr>
      </w:pPr>
    </w:p>
    <w:p w:rsidR="00AF72CF" w:rsidRPr="00100BF5" w:rsidRDefault="00AF72CF" w:rsidP="00A12DCA">
      <w:pPr>
        <w:pStyle w:val="NoteandSourceText-BarcRA4"/>
        <w:numPr>
          <w:ilvl w:val="0"/>
          <w:numId w:val="0"/>
        </w:numPr>
        <w:rPr>
          <w:sz w:val="2"/>
          <w:szCs w:val="2"/>
        </w:rPr>
      </w:pPr>
    </w:p>
    <w:p w:rsidR="00A12DCA" w:rsidRDefault="00A12DCA" w:rsidP="00A12DCA">
      <w:pPr>
        <w:pStyle w:val="NoteandSourceText-BarcRA4"/>
        <w:ind w:left="284" w:hanging="284"/>
      </w:pPr>
      <w:r w:rsidRPr="00100BF5">
        <w:t>Included within Other financial institutions (Americas) are £558m (31 December 2011: £693m) of loans backed by retail mortgage collateral.</w:t>
      </w:r>
    </w:p>
    <w:p w:rsidR="00351861" w:rsidRPr="005F437E" w:rsidRDefault="00351861" w:rsidP="00351861">
      <w:pPr>
        <w:pStyle w:val="HeadingLevel1-BarcRA"/>
      </w:pPr>
      <w:r>
        <w:br w:type="page"/>
        <w:t>Credit Risk</w:t>
      </w:r>
    </w:p>
    <w:p w:rsidR="00A12DCA" w:rsidRPr="00100BF5" w:rsidRDefault="00A12DCA">
      <w:pPr>
        <w:spacing w:line="14" w:lineRule="exact"/>
      </w:pPr>
    </w:p>
    <w:tbl>
      <w:tblPr>
        <w:tblW w:w="0" w:type="auto"/>
        <w:tblLayout w:type="fixed"/>
        <w:tblLook w:val="0000" w:firstRow="0" w:lastRow="0" w:firstColumn="0" w:lastColumn="0" w:noHBand="0" w:noVBand="0"/>
      </w:tblPr>
      <w:tblGrid>
        <w:gridCol w:w="5145"/>
        <w:gridCol w:w="1125"/>
        <w:gridCol w:w="1125"/>
        <w:gridCol w:w="1125"/>
        <w:gridCol w:w="1125"/>
      </w:tblGrid>
      <w:tr w:rsidR="00A12DCA" w:rsidRPr="00100BF5" w:rsidTr="005F437E">
        <w:tblPrEx>
          <w:tblCellMar>
            <w:top w:w="0" w:type="dxa"/>
            <w:bottom w:w="0" w:type="dxa"/>
          </w:tblCellMar>
        </w:tblPrEx>
        <w:trPr>
          <w:trHeight w:val="240"/>
        </w:trPr>
        <w:tc>
          <w:tcPr>
            <w:tcW w:w="9645" w:type="dxa"/>
            <w:gridSpan w:val="5"/>
            <w:tcBorders>
              <w:top w:val="nil"/>
              <w:left w:val="nil"/>
              <w:bottom w:val="nil"/>
              <w:right w:val="nil"/>
            </w:tcBorders>
            <w:shd w:val="clear" w:color="auto" w:fill="FFFFFF"/>
            <w:tcMar>
              <w:left w:w="36" w:type="dxa"/>
              <w:right w:w="36" w:type="dxa"/>
            </w:tcMar>
            <w:vAlign w:val="bottom"/>
          </w:tcPr>
          <w:p w:rsidR="00A12DCA" w:rsidRPr="00100BF5" w:rsidRDefault="00A12DCA" w:rsidP="000C3F6A">
            <w:r w:rsidRPr="00100BF5">
              <w:rPr>
                <w:b/>
                <w:sz w:val="20"/>
              </w:rPr>
              <w:t>Credit Impairment Charges and Other Provisions by Business</w:t>
            </w:r>
          </w:p>
        </w:tc>
      </w:tr>
      <w:tr w:rsidR="00A12DCA" w:rsidRPr="00100BF5">
        <w:tblPrEx>
          <w:tblCellMar>
            <w:top w:w="0" w:type="dxa"/>
            <w:bottom w:w="0" w:type="dxa"/>
          </w:tblCellMar>
        </w:tblPrEx>
        <w:trPr>
          <w:trHeight w:hRule="exact" w:val="240"/>
        </w:trPr>
        <w:tc>
          <w:tcPr>
            <w:tcW w:w="514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b/>
                <w:sz w:val="20"/>
              </w:rPr>
              <w:t xml:space="preserve"> </w:t>
            </w:r>
            <w:r w:rsidRPr="00100BF5">
              <w:rPr>
                <w:b/>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vertAlign w:val="superscript"/>
              </w:rPr>
            </w:pPr>
            <w:r w:rsidRPr="00100BF5">
              <w:rPr>
                <w:b/>
                <w:sz w:val="20"/>
              </w:rPr>
              <w:t xml:space="preserve"> </w:t>
            </w:r>
            <w:r w:rsidRPr="00100BF5">
              <w:rPr>
                <w:b/>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vertAlign w:val="superscript"/>
              </w:rPr>
            </w:pPr>
            <w:r w:rsidRPr="00100BF5">
              <w:rPr>
                <w:b/>
                <w:sz w:val="20"/>
              </w:rPr>
              <w:t xml:space="preserve"> </w:t>
            </w:r>
            <w:r w:rsidRPr="00100BF5">
              <w:rPr>
                <w:b/>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vertAlign w:val="superscript"/>
              </w:rPr>
            </w:pPr>
            <w:r w:rsidRPr="00100BF5">
              <w:rPr>
                <w:b/>
                <w:sz w:val="20"/>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b/>
                <w:sz w:val="20"/>
              </w:rPr>
              <w:t xml:space="preserve"> </w:t>
            </w:r>
          </w:p>
        </w:tc>
      </w:tr>
      <w:tr w:rsidR="00A12DCA" w:rsidRPr="00100BF5">
        <w:tblPrEx>
          <w:tblCellMar>
            <w:top w:w="0" w:type="dxa"/>
            <w:bottom w:w="0" w:type="dxa"/>
          </w:tblCellMar>
        </w:tblPrEx>
        <w:trPr>
          <w:trHeight w:val="720"/>
        </w:trPr>
        <w:tc>
          <w:tcPr>
            <w:tcW w:w="514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Loans and advances</w:t>
            </w:r>
            <w:r w:rsidRPr="00100BF5">
              <w:rPr>
                <w:b/>
                <w:sz w:val="16"/>
                <w:vertAlign w:val="superscript"/>
              </w:rPr>
              <w:t>1 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Available for Sale Financial Investments</w:t>
            </w:r>
            <w:r w:rsidRPr="00100BF5">
              <w:rPr>
                <w:b/>
                <w:sz w:val="16"/>
                <w:vertAlign w:val="superscript"/>
              </w:rPr>
              <w:t>2 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Reverse Repurchase Agreements</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tc>
      </w:tr>
      <w:tr w:rsidR="00A12DCA" w:rsidRPr="00100BF5">
        <w:tblPrEx>
          <w:tblCellMar>
            <w:top w:w="0" w:type="dxa"/>
            <w:bottom w:w="0" w:type="dxa"/>
          </w:tblCellMar>
        </w:tblPrEx>
        <w:trPr>
          <w:trHeight w:val="240"/>
        </w:trPr>
        <w:tc>
          <w:tcPr>
            <w:tcW w:w="51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Half Year Ended 30.06.12</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tblPrEx>
          <w:tblCellMar>
            <w:top w:w="0" w:type="dxa"/>
            <w:bottom w:w="0" w:type="dxa"/>
          </w:tblCellMar>
        </w:tblPrEx>
        <w:trPr>
          <w:trHeight w:val="240"/>
        </w:trPr>
        <w:tc>
          <w:tcPr>
            <w:tcW w:w="51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UK RBB</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122 </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122 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Europe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157 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157 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Africa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321 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321 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Barclaycard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460 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460 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Investment Bank</w:t>
            </w:r>
            <w:r w:rsidRPr="00100BF5">
              <w:rPr>
                <w:sz w:val="16"/>
                <w:vertAlign w:val="superscript"/>
              </w:rPr>
              <w:t>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324 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323 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Corporate Banking</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418 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7 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425 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Wealth and Investment Management</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19 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19 </w:t>
            </w:r>
          </w:p>
        </w:tc>
      </w:tr>
      <w:tr w:rsidR="00A12DCA" w:rsidRPr="00100BF5">
        <w:tblPrEx>
          <w:tblCellMar>
            <w:top w:w="0" w:type="dxa"/>
            <w:bottom w:w="0" w:type="dxa"/>
          </w:tblCellMar>
        </w:tblPrEx>
        <w:trPr>
          <w:trHeight w:val="240"/>
        </w:trPr>
        <w:tc>
          <w:tcPr>
            <w:tcW w:w="51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Head Office and Other Operations</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1 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5 </w:t>
            </w:r>
          </w:p>
        </w:tc>
      </w:tr>
      <w:tr w:rsidR="00A12DCA" w:rsidRPr="00100BF5">
        <w:tblPrEx>
          <w:tblCellMar>
            <w:top w:w="0" w:type="dxa"/>
            <w:bottom w:w="0" w:type="dxa"/>
          </w:tblCellMar>
        </w:tblPrEx>
        <w:trPr>
          <w:trHeight w:val="240"/>
        </w:trPr>
        <w:tc>
          <w:tcPr>
            <w:tcW w:w="51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Total</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1,822 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11 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1,832 </w:t>
            </w:r>
          </w:p>
        </w:tc>
      </w:tr>
      <w:tr w:rsidR="00A12DCA" w:rsidRPr="00100BF5">
        <w:tblPrEx>
          <w:tblCellMar>
            <w:top w:w="0" w:type="dxa"/>
            <w:bottom w:w="0" w:type="dxa"/>
          </w:tblCellMar>
        </w:tblPrEx>
        <w:trPr>
          <w:trHeight w:hRule="exac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tblPrEx>
          <w:tblCellMar>
            <w:top w:w="0" w:type="dxa"/>
            <w:bottom w:w="0" w:type="dxa"/>
          </w:tblCellMar>
        </w:tblPrEx>
        <w:trPr>
          <w:trHeight w:val="240"/>
        </w:trPr>
        <w:tc>
          <w:tcPr>
            <w:tcW w:w="51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16"/>
              </w:rPr>
              <w:t>Half Year Ended 31.12.11</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r>
      <w:tr w:rsidR="00A12DCA" w:rsidRPr="00100BF5">
        <w:tblPrEx>
          <w:tblCellMar>
            <w:top w:w="0" w:type="dxa"/>
            <w:bottom w:w="0" w:type="dxa"/>
          </w:tblCellMar>
        </w:tblPrEx>
        <w:trPr>
          <w:trHeight w:val="240"/>
        </w:trPr>
        <w:tc>
          <w:tcPr>
            <w:tcW w:w="51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UK RBB</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261 </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261 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Europe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125 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20 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145 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Africa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D03D13">
            <w:pPr>
              <w:jc w:val="right"/>
              <w:rPr>
                <w:sz w:val="16"/>
                <w:vertAlign w:val="superscript"/>
              </w:rPr>
            </w:pPr>
            <w:r w:rsidRPr="00100BF5">
              <w:rPr>
                <w:sz w:val="16"/>
              </w:rPr>
              <w:t>19</w:t>
            </w:r>
            <w:r w:rsidR="00D03D13">
              <w:rPr>
                <w:sz w:val="16"/>
              </w:rPr>
              <w:t>6</w:t>
            </w: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196 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Barclaycard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611 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611 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Investment Bank</w:t>
            </w:r>
            <w:r w:rsidRPr="00100BF5">
              <w:rPr>
                <w:sz w:val="16"/>
                <w:vertAlign w:val="superscript"/>
              </w:rPr>
              <w:t>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180 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26 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204 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 Banking</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D03D13">
            <w:pPr>
              <w:jc w:val="right"/>
              <w:rPr>
                <w:sz w:val="16"/>
                <w:vertAlign w:val="superscript"/>
              </w:rPr>
            </w:pPr>
            <w:r w:rsidRPr="00100BF5">
              <w:rPr>
                <w:sz w:val="16"/>
              </w:rPr>
              <w:t>52</w:t>
            </w:r>
            <w:r w:rsidR="00D03D13">
              <w:rPr>
                <w:sz w:val="16"/>
              </w:rPr>
              <w:t>2</w:t>
            </w: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13 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535 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Wealth and Investment Management</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22 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22 </w:t>
            </w:r>
          </w:p>
        </w:tc>
      </w:tr>
      <w:tr w:rsidR="00A12DCA" w:rsidRPr="00100BF5">
        <w:tblPrEx>
          <w:tblCellMar>
            <w:top w:w="0" w:type="dxa"/>
            <w:bottom w:w="0" w:type="dxa"/>
          </w:tblCellMar>
        </w:tblPrEx>
        <w:trPr>
          <w:trHeight w:val="240"/>
        </w:trPr>
        <w:tc>
          <w:tcPr>
            <w:tcW w:w="51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Head Office and Other Operations</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(1)</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51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1,916 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60 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(2)</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1,974 </w:t>
            </w:r>
          </w:p>
        </w:tc>
      </w:tr>
      <w:tr w:rsidR="00A12DCA" w:rsidRPr="00100BF5">
        <w:tblPrEx>
          <w:tblCellMar>
            <w:top w:w="0" w:type="dxa"/>
            <w:bottom w:w="0" w:type="dxa"/>
          </w:tblCellMar>
        </w:tblPrEx>
        <w:trPr>
          <w:trHeight w:hRule="exac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51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Half Year Ended 30.06.11</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r>
      <w:tr w:rsidR="00A12DCA" w:rsidRPr="00100BF5">
        <w:tblPrEx>
          <w:tblCellMar>
            <w:top w:w="0" w:type="dxa"/>
            <w:bottom w:w="0" w:type="dxa"/>
          </w:tblCellMar>
        </w:tblPrEx>
        <w:trPr>
          <w:trHeight w:val="240"/>
        </w:trPr>
        <w:tc>
          <w:tcPr>
            <w:tcW w:w="51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UK RBB</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275 </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275 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Europe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116 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116 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Africa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270 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270 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Barclaycard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648 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648 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Investment Bank</w:t>
            </w:r>
            <w:r w:rsidRPr="00100BF5">
              <w:rPr>
                <w:sz w:val="16"/>
                <w:vertAlign w:val="superscript"/>
              </w:rPr>
              <w:t>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(51)</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(14)</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(46)</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(111)</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 Banking</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598 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14 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612 </w:t>
            </w:r>
          </w:p>
        </w:tc>
      </w:tr>
      <w:tr w:rsidR="00A12DCA" w:rsidRPr="00100BF5">
        <w:tblPrEx>
          <w:tblCellMar>
            <w:top w:w="0" w:type="dxa"/>
            <w:bottom w:w="0" w:type="dxa"/>
          </w:tblCellMar>
        </w:tblPrEx>
        <w:trPr>
          <w:trHeight w:val="240"/>
        </w:trPr>
        <w:tc>
          <w:tcPr>
            <w:tcW w:w="514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Wealth and Investment Management</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19 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19 </w:t>
            </w:r>
          </w:p>
        </w:tc>
      </w:tr>
      <w:tr w:rsidR="00A12DCA" w:rsidRPr="00100BF5">
        <w:tblPrEx>
          <w:tblCellMar>
            <w:top w:w="0" w:type="dxa"/>
            <w:bottom w:w="0" w:type="dxa"/>
          </w:tblCellMar>
        </w:tblPrEx>
        <w:trPr>
          <w:trHeight w:val="240"/>
        </w:trPr>
        <w:tc>
          <w:tcPr>
            <w:tcW w:w="51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Head Office and Other Operations</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(1)</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w:t>
            </w:r>
          </w:p>
        </w:tc>
      </w:tr>
      <w:tr w:rsidR="00A12DCA" w:rsidRPr="00100BF5">
        <w:tblPrEx>
          <w:tblCellMar>
            <w:top w:w="0" w:type="dxa"/>
            <w:bottom w:w="0" w:type="dxa"/>
          </w:tblCellMar>
        </w:tblPrEx>
        <w:trPr>
          <w:trHeight w:val="240"/>
        </w:trPr>
        <w:tc>
          <w:tcPr>
            <w:tcW w:w="51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1,874 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(46)</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1,828 </w:t>
            </w:r>
          </w:p>
        </w:tc>
      </w:tr>
    </w:tbl>
    <w:p w:rsidR="00A12DCA" w:rsidRPr="00100BF5" w:rsidRDefault="00A12DCA"/>
    <w:p w:rsidR="00A12DCA" w:rsidRPr="00100BF5" w:rsidRDefault="00A12DCA" w:rsidP="00870ABB">
      <w:pPr>
        <w:pStyle w:val="Level1Bullet-BarcRA03"/>
      </w:pPr>
      <w:r w:rsidRPr="00100BF5">
        <w:t>Impairment charges on loans and advances improved 3% from the first half of 2011 to £1,822m reflecting:</w:t>
      </w:r>
    </w:p>
    <w:p w:rsidR="00A12DCA" w:rsidRPr="00100BF5" w:rsidRDefault="008C1856" w:rsidP="00870ABB">
      <w:pPr>
        <w:pStyle w:val="Level2Bullet-BarcRA2"/>
        <w:numPr>
          <w:ilvl w:val="2"/>
          <w:numId w:val="9"/>
        </w:numPr>
        <w:tabs>
          <w:tab w:val="num" w:pos="567"/>
        </w:tabs>
        <w:ind w:left="567" w:hanging="283"/>
        <w:rPr>
          <w:lang w:val="en-GB"/>
        </w:rPr>
      </w:pPr>
      <w:r>
        <w:rPr>
          <w:lang w:val="en-GB"/>
        </w:rPr>
        <w:t>L</w:t>
      </w:r>
      <w:r w:rsidR="00A12DCA" w:rsidRPr="00100BF5">
        <w:rPr>
          <w:lang w:val="en-GB"/>
        </w:rPr>
        <w:t xml:space="preserve">ower impairment in UK RBB, Barclaycard and Corporate Banking, </w:t>
      </w:r>
    </w:p>
    <w:p w:rsidR="00A12DCA" w:rsidRPr="00100BF5" w:rsidRDefault="008C1856" w:rsidP="00870ABB">
      <w:pPr>
        <w:pStyle w:val="Level2Bullet-BarcRA2"/>
        <w:numPr>
          <w:ilvl w:val="2"/>
          <w:numId w:val="9"/>
        </w:numPr>
        <w:tabs>
          <w:tab w:val="num" w:pos="567"/>
        </w:tabs>
        <w:ind w:left="567" w:hanging="283"/>
        <w:rPr>
          <w:lang w:val="en-GB"/>
        </w:rPr>
      </w:pPr>
      <w:r>
        <w:rPr>
          <w:lang w:val="en-GB"/>
        </w:rPr>
        <w:t>P</w:t>
      </w:r>
      <w:r w:rsidR="00A12DCA" w:rsidRPr="00100BF5">
        <w:rPr>
          <w:lang w:val="en-GB"/>
        </w:rPr>
        <w:t>artially offset by higher charges in some international businesses, notably in Europe and South Africa, and a higher charge in Investment Bank</w:t>
      </w:r>
    </w:p>
    <w:p w:rsidR="00A12DCA" w:rsidRPr="00100BF5" w:rsidRDefault="00A12DCA" w:rsidP="00870ABB">
      <w:pPr>
        <w:pStyle w:val="Level1Bullet-BarcRA03"/>
        <w:rPr>
          <w:lang w:val="en-GB"/>
        </w:rPr>
      </w:pPr>
      <w:r w:rsidRPr="00100BF5">
        <w:rPr>
          <w:lang w:val="en-GB"/>
        </w:rPr>
        <w:t>The impairment charge of £10m against available for sale assets and reverse repurchase agreements relates to charges in Corporate Banking and Head Office</w:t>
      </w:r>
      <w:r w:rsidR="009C5A7D">
        <w:rPr>
          <w:lang w:val="en-GB"/>
        </w:rPr>
        <w:t xml:space="preserve"> and Other Operations</w:t>
      </w:r>
      <w:r w:rsidRPr="00100BF5">
        <w:rPr>
          <w:lang w:val="en-GB"/>
        </w:rPr>
        <w:t>. This compared with a release of £46m in the prior year</w:t>
      </w:r>
    </w:p>
    <w:p w:rsidR="00A12DCA" w:rsidRPr="00100BF5" w:rsidRDefault="00A12DCA" w:rsidP="00870ABB">
      <w:pPr>
        <w:pStyle w:val="Level1Bullet-BarcRA03"/>
        <w:rPr>
          <w:lang w:val="en-GB"/>
        </w:rPr>
      </w:pPr>
      <w:r w:rsidRPr="00100BF5">
        <w:rPr>
          <w:lang w:val="en-GB"/>
        </w:rPr>
        <w:t xml:space="preserve"> Further detail can be found in the Retail and Wholesale Credit Risk sections on pages </w:t>
      </w:r>
      <w:r w:rsidR="0098086E">
        <w:rPr>
          <w:lang w:val="en-GB"/>
        </w:rPr>
        <w:t>51 to 57</w:t>
      </w:r>
    </w:p>
    <w:p w:rsidR="00A12DCA" w:rsidRPr="00100BF5" w:rsidRDefault="00A12DCA" w:rsidP="00A12DCA">
      <w:pPr>
        <w:pStyle w:val="BodyText-BarcRA331"/>
      </w:pPr>
    </w:p>
    <w:p w:rsidR="00A12DCA" w:rsidRPr="00100BF5" w:rsidRDefault="00A12DCA" w:rsidP="00A12DCA">
      <w:pPr>
        <w:pStyle w:val="BodyText-BarcRA331"/>
      </w:pPr>
    </w:p>
    <w:p w:rsidR="00A12DCA" w:rsidRPr="00100BF5" w:rsidRDefault="00A12DCA"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F72CF" w:rsidRDefault="00AF72CF"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Default="008C1856" w:rsidP="00AF72CF">
      <w:pPr>
        <w:pStyle w:val="BodyText-BarcRA331"/>
        <w:spacing w:before="0" w:after="0"/>
        <w:rPr>
          <w:sz w:val="2"/>
          <w:szCs w:val="2"/>
        </w:rPr>
      </w:pPr>
    </w:p>
    <w:p w:rsidR="008C1856" w:rsidRPr="00100BF5" w:rsidRDefault="008C1856" w:rsidP="00AF72CF">
      <w:pPr>
        <w:pStyle w:val="BodyText-BarcRA331"/>
        <w:spacing w:before="0" w:after="0"/>
        <w:rPr>
          <w:sz w:val="2"/>
          <w:szCs w:val="2"/>
        </w:rPr>
      </w:pPr>
    </w:p>
    <w:p w:rsidR="00AF72CF" w:rsidRPr="00100BF5" w:rsidRDefault="00AF72CF" w:rsidP="00AF72CF">
      <w:pPr>
        <w:pStyle w:val="BodyText-BarcRA331"/>
        <w:spacing w:before="0" w:after="0"/>
        <w:rPr>
          <w:sz w:val="2"/>
          <w:szCs w:val="2"/>
        </w:rPr>
      </w:pPr>
    </w:p>
    <w:p w:rsidR="00A12DCA" w:rsidRPr="00100BF5" w:rsidRDefault="00A12DCA" w:rsidP="002D090C">
      <w:pPr>
        <w:pStyle w:val="NoteSourceText-BarcRA10"/>
        <w:numPr>
          <w:ilvl w:val="0"/>
          <w:numId w:val="78"/>
        </w:numPr>
        <w:tabs>
          <w:tab w:val="left" w:pos="0"/>
        </w:tabs>
        <w:ind w:left="284" w:hanging="284"/>
      </w:pPr>
      <w:r w:rsidRPr="00100BF5">
        <w:t>Includes charges of £17m (2011: £1m release) in respect of undrawn facilities and guarantees.</w:t>
      </w:r>
    </w:p>
    <w:p w:rsidR="00A12DCA" w:rsidRPr="00100BF5" w:rsidRDefault="00A12DCA" w:rsidP="002D090C">
      <w:pPr>
        <w:pStyle w:val="NoteSourceText-BarcRA10"/>
        <w:numPr>
          <w:ilvl w:val="0"/>
          <w:numId w:val="78"/>
        </w:numPr>
        <w:tabs>
          <w:tab w:val="left" w:pos="0"/>
        </w:tabs>
        <w:ind w:left="284" w:hanging="284"/>
      </w:pPr>
      <w:r w:rsidRPr="00100BF5">
        <w:t>Excludes £nil (2011: £1,800m) impairment of BlackRock, Inc. recorded in Head Office and Other Operations.</w:t>
      </w:r>
    </w:p>
    <w:p w:rsidR="00A12DCA" w:rsidRPr="00100BF5" w:rsidRDefault="00A12DCA" w:rsidP="002D090C">
      <w:pPr>
        <w:pStyle w:val="NoteSourceText-BarcRA10"/>
        <w:numPr>
          <w:ilvl w:val="0"/>
          <w:numId w:val="78"/>
        </w:numPr>
        <w:tabs>
          <w:tab w:val="left" w:pos="0"/>
        </w:tabs>
        <w:ind w:left="284" w:hanging="284"/>
      </w:pPr>
      <w:r w:rsidRPr="00100BF5">
        <w:t>Credit market related charges within Investment Bank comprised</w:t>
      </w:r>
      <w:r w:rsidR="000F3AC9" w:rsidRPr="00100BF5">
        <w:t xml:space="preserve"> a net</w:t>
      </w:r>
      <w:r w:rsidRPr="00100BF5">
        <w:t xml:space="preserve"> £135m cha</w:t>
      </w:r>
      <w:r w:rsidR="00882E4A">
        <w:t xml:space="preserve">rge (H2 11: £62m charge; H1 </w:t>
      </w:r>
      <w:r w:rsidRPr="00100BF5">
        <w:t xml:space="preserve">11: £76m write back) against loans and advances and £2m write </w:t>
      </w:r>
      <w:r w:rsidR="00882E4A">
        <w:t xml:space="preserve">back (H2 11: £2m charge; H1 </w:t>
      </w:r>
      <w:r w:rsidRPr="00100BF5">
        <w:t>11: £37m write back) against available for sale assets.</w:t>
      </w:r>
    </w:p>
    <w:p w:rsidR="00A12DCA" w:rsidRPr="00100BF5" w:rsidRDefault="00A12DCA" w:rsidP="005F437E">
      <w:pPr>
        <w:pStyle w:val="HeadingLevel1-BarcRA"/>
      </w:pPr>
      <w:r w:rsidRPr="00100BF5">
        <w:br w:type="page"/>
      </w:r>
      <w:r w:rsidR="005F437E">
        <w:t>Credit Risk</w:t>
      </w:r>
    </w:p>
    <w:tbl>
      <w:tblPr>
        <w:tblW w:w="0" w:type="auto"/>
        <w:tblLayout w:type="fixed"/>
        <w:tblLook w:val="0000" w:firstRow="0" w:lastRow="0" w:firstColumn="0" w:lastColumn="0" w:noHBand="0" w:noVBand="0"/>
      </w:tblPr>
      <w:tblGrid>
        <w:gridCol w:w="3165"/>
        <w:gridCol w:w="1050"/>
        <w:gridCol w:w="1050"/>
        <w:gridCol w:w="92"/>
        <w:gridCol w:w="1050"/>
        <w:gridCol w:w="1050"/>
        <w:gridCol w:w="92"/>
        <w:gridCol w:w="1050"/>
        <w:gridCol w:w="1050"/>
      </w:tblGrid>
      <w:tr w:rsidR="00A12DCA" w:rsidRPr="00100BF5" w:rsidTr="00A12DCA">
        <w:tblPrEx>
          <w:tblCellMar>
            <w:top w:w="0" w:type="dxa"/>
            <w:bottom w:w="0" w:type="dxa"/>
          </w:tblCellMar>
        </w:tblPrEx>
        <w:trPr>
          <w:trHeight w:val="240"/>
        </w:trPr>
        <w:tc>
          <w:tcPr>
            <w:tcW w:w="316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0C3F6A">
            <w:r w:rsidRPr="00100BF5">
              <w:rPr>
                <w:b/>
                <w:sz w:val="20"/>
              </w:rPr>
              <w:t>Credit Risk Loans and Coverage Ratios</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r>
      <w:tr w:rsidR="00A12DCA" w:rsidRPr="00100BF5">
        <w:tblPrEx>
          <w:tblCellMar>
            <w:top w:w="0" w:type="dxa"/>
            <w:bottom w:w="0" w:type="dxa"/>
          </w:tblCellMar>
        </w:tblPrEx>
        <w:trPr>
          <w:trHeight w:hRule="exac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r>
      <w:tr w:rsidR="00A12DCA" w:rsidRPr="00100BF5" w:rsidTr="00A12DCA">
        <w:tblPrEx>
          <w:tblCellMar>
            <w:top w:w="0" w:type="dxa"/>
            <w:bottom w:w="0" w:type="dxa"/>
          </w:tblCellMar>
        </w:tblPrEx>
        <w:trPr>
          <w:trHeigh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 </w:t>
            </w:r>
          </w:p>
        </w:tc>
        <w:tc>
          <w:tcPr>
            <w:tcW w:w="105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CRLs</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105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Impairment Allowance</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105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CRL Coverage</w:t>
            </w:r>
          </w:p>
        </w:tc>
      </w:tr>
      <w:tr w:rsidR="00A12DCA" w:rsidRPr="00100BF5" w:rsidTr="003843FA">
        <w:tblPrEx>
          <w:tblCellMar>
            <w:top w:w="0" w:type="dxa"/>
            <w:bottom w:w="0" w:type="dxa"/>
          </w:tblCellMar>
        </w:tblPrEx>
        <w:trPr>
          <w:trHeigh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As at</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As at</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As at</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As at</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As at</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As at</w:t>
            </w:r>
          </w:p>
        </w:tc>
      </w:tr>
      <w:tr w:rsidR="00A12DCA" w:rsidRPr="00100BF5" w:rsidTr="003843FA">
        <w:tblPrEx>
          <w:tblCellMar>
            <w:top w:w="0" w:type="dxa"/>
            <w:bottom w:w="0" w:type="dxa"/>
          </w:tblCellMar>
        </w:tblPrEx>
        <w:trPr>
          <w:trHeigh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30.06.12</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31.12.11</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30.06.12</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31.12.11</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30.06.12</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31.12.11</w:t>
            </w:r>
          </w:p>
        </w:tc>
      </w:tr>
      <w:tr w:rsidR="00A12DCA" w:rsidRPr="00100BF5" w:rsidTr="003843FA">
        <w:tblPrEx>
          <w:tblCellMar>
            <w:top w:w="0" w:type="dxa"/>
            <w:bottom w:w="0" w:type="dxa"/>
          </w:tblCellMar>
        </w:tblPrEx>
        <w:trPr>
          <w:trHeight w:val="240"/>
        </w:trPr>
        <w:tc>
          <w:tcPr>
            <w:tcW w:w="31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sz w:val="16"/>
              </w:rPr>
              <w:t>£m</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£m</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£m</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£m</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w:t>
            </w:r>
          </w:p>
        </w:tc>
      </w:tr>
      <w:tr w:rsidR="00A12DCA" w:rsidRPr="00100BF5" w:rsidTr="003843FA">
        <w:tblPrEx>
          <w:tblCellMar>
            <w:top w:w="0" w:type="dxa"/>
            <w:bottom w:w="0" w:type="dxa"/>
          </w:tblCellMar>
        </w:tblPrEx>
        <w:trPr>
          <w:trHeight w:val="240"/>
        </w:trPr>
        <w:tc>
          <w:tcPr>
            <w:tcW w:w="31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Home loans</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3843FA">
            <w:pPr>
              <w:jc w:val="right"/>
              <w:rPr>
                <w:sz w:val="16"/>
              </w:rPr>
            </w:pPr>
            <w:r w:rsidRPr="00100BF5">
              <w:rPr>
                <w:sz w:val="16"/>
              </w:rPr>
              <w:t>3,545 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3,790 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C4568">
            <w:pPr>
              <w:jc w:val="right"/>
              <w:rPr>
                <w:sz w:val="16"/>
              </w:rPr>
            </w:pPr>
            <w:r w:rsidRPr="00100BF5">
              <w:rPr>
                <w:sz w:val="16"/>
              </w:rPr>
              <w:t>82</w:t>
            </w:r>
            <w:r w:rsidR="001C4568">
              <w:rPr>
                <w:sz w:val="16"/>
              </w:rPr>
              <w:t>6</w:t>
            </w:r>
            <w:r w:rsidRPr="00100BF5">
              <w:rPr>
                <w:sz w:val="16"/>
              </w:rPr>
              <w:t>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834 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3843FA">
            <w:pPr>
              <w:jc w:val="right"/>
              <w:rPr>
                <w:sz w:val="16"/>
              </w:rPr>
            </w:pPr>
            <w:r w:rsidRPr="00100BF5">
              <w:rPr>
                <w:sz w:val="16"/>
              </w:rPr>
              <w:t>23.3 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22.0 </w:t>
            </w:r>
          </w:p>
        </w:tc>
      </w:tr>
      <w:tr w:rsidR="00A12DCA" w:rsidRPr="00100BF5" w:rsidTr="003843FA">
        <w:tblPrEx>
          <w:tblCellMar>
            <w:top w:w="0" w:type="dxa"/>
            <w:bottom w:w="0" w:type="dxa"/>
          </w:tblCellMar>
        </w:tblPrEx>
        <w:trPr>
          <w:trHeight w:val="240"/>
        </w:trPr>
        <w:tc>
          <w:tcPr>
            <w:tcW w:w="31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Cards, unsecured and other retail lending</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3843FA">
            <w:pPr>
              <w:jc w:val="right"/>
              <w:rPr>
                <w:sz w:val="16"/>
              </w:rPr>
            </w:pPr>
            <w:r w:rsidRPr="00100BF5">
              <w:rPr>
                <w:sz w:val="16"/>
              </w:rPr>
              <w:t>6,000 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6,626 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 xml:space="preserve"> </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1C4568">
            <w:pPr>
              <w:jc w:val="right"/>
              <w:rPr>
                <w:sz w:val="16"/>
              </w:rPr>
            </w:pPr>
            <w:r w:rsidRPr="00100BF5">
              <w:rPr>
                <w:sz w:val="16"/>
              </w:rPr>
              <w:t>4,19</w:t>
            </w:r>
            <w:r w:rsidR="001C4568">
              <w:rPr>
                <w:sz w:val="16"/>
              </w:rPr>
              <w:t>5</w:t>
            </w:r>
            <w:r w:rsidRPr="00100BF5">
              <w:rPr>
                <w:sz w:val="16"/>
              </w:rPr>
              <w:t>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4,540 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 xml:space="preserve"> </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3843FA">
            <w:pPr>
              <w:jc w:val="right"/>
              <w:rPr>
                <w:sz w:val="16"/>
              </w:rPr>
            </w:pPr>
            <w:r w:rsidRPr="00100BF5">
              <w:rPr>
                <w:sz w:val="16"/>
              </w:rPr>
              <w:t>69.9 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3843FA">
            <w:pPr>
              <w:jc w:val="right"/>
              <w:rPr>
                <w:sz w:val="16"/>
              </w:rPr>
            </w:pPr>
            <w:r w:rsidRPr="00100BF5">
              <w:rPr>
                <w:sz w:val="16"/>
              </w:rPr>
              <w:t>68.5 </w:t>
            </w:r>
          </w:p>
        </w:tc>
      </w:tr>
      <w:tr w:rsidR="00A12DCA" w:rsidRPr="00100BF5" w:rsidTr="003843FA">
        <w:tblPrEx>
          <w:tblCellMar>
            <w:top w:w="0" w:type="dxa"/>
            <w:bottom w:w="0" w:type="dxa"/>
          </w:tblCellMar>
        </w:tblPrEx>
        <w:trPr>
          <w:trHeight w:val="240"/>
        </w:trPr>
        <w:tc>
          <w:tcPr>
            <w:tcW w:w="31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Retail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9,545 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10,416 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5,021 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5,374 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52.6 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51.6 </w:t>
            </w:r>
          </w:p>
        </w:tc>
      </w:tr>
      <w:tr w:rsidR="00A12DCA" w:rsidRPr="00100BF5" w:rsidTr="003843FA">
        <w:tblPrEx>
          <w:tblCellMar>
            <w:top w:w="0" w:type="dxa"/>
            <w:bottom w:w="0" w:type="dxa"/>
          </w:tblCellMar>
        </w:tblPrEx>
        <w:trPr>
          <w:trHeight w:hRule="exac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r>
      <w:tr w:rsidR="00A12DCA" w:rsidRPr="00100BF5" w:rsidTr="003843FA">
        <w:tblPrEx>
          <w:tblCellMar>
            <w:top w:w="0" w:type="dxa"/>
            <w:bottom w:w="0" w:type="dxa"/>
          </w:tblCellMar>
        </w:tblPrEx>
        <w:trPr>
          <w:trHeigh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Wholesale</w:t>
            </w:r>
          </w:p>
        </w:tc>
        <w:tc>
          <w:tcPr>
            <w:tcW w:w="1050" w:type="dxa"/>
            <w:tcBorders>
              <w:top w:val="nil"/>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10,196 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10,926 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4,925 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5,223 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48.3 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47.8 </w:t>
            </w:r>
          </w:p>
        </w:tc>
      </w:tr>
      <w:tr w:rsidR="00A12DCA" w:rsidRPr="00100BF5" w:rsidTr="003843FA">
        <w:tblPrEx>
          <w:tblCellMar>
            <w:top w:w="0" w:type="dxa"/>
            <w:bottom w:w="0" w:type="dxa"/>
          </w:tblCellMar>
        </w:tblPrEx>
        <w:trPr>
          <w:trHeight w:hRule="exac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r>
      <w:tr w:rsidR="00A12DCA" w:rsidRPr="00100BF5" w:rsidTr="003843FA">
        <w:tblPrEx>
          <w:tblCellMar>
            <w:top w:w="0" w:type="dxa"/>
            <w:bottom w:w="0" w:type="dxa"/>
          </w:tblCellMar>
        </w:tblPrEx>
        <w:trPr>
          <w:trHeight w:val="240"/>
        </w:trPr>
        <w:tc>
          <w:tcPr>
            <w:tcW w:w="31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Group</w:t>
            </w:r>
          </w:p>
        </w:tc>
        <w:tc>
          <w:tcPr>
            <w:tcW w:w="1050" w:type="dxa"/>
            <w:tcBorders>
              <w:top w:val="nil"/>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19,741 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21,342 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9,946 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10,597 </w:t>
            </w:r>
          </w:p>
        </w:tc>
        <w:tc>
          <w:tcPr>
            <w:tcW w:w="9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 xml:space="preserve"> </w:t>
            </w:r>
          </w:p>
        </w:tc>
        <w:tc>
          <w:tcPr>
            <w:tcW w:w="1050" w:type="dxa"/>
            <w:tcBorders>
              <w:top w:val="nil"/>
              <w:left w:val="nil"/>
              <w:bottom w:val="nil"/>
              <w:right w:val="nil"/>
            </w:tcBorders>
            <w:shd w:val="clear" w:color="auto" w:fill="EAEAEA"/>
            <w:tcMar>
              <w:left w:w="36" w:type="dxa"/>
              <w:right w:w="36" w:type="dxa"/>
            </w:tcMar>
            <w:vAlign w:val="center"/>
          </w:tcPr>
          <w:p w:rsidR="00A12DCA" w:rsidRPr="00100BF5" w:rsidRDefault="00A12DCA" w:rsidP="003843FA">
            <w:pPr>
              <w:jc w:val="right"/>
              <w:rPr>
                <w:b/>
                <w:sz w:val="16"/>
              </w:rPr>
            </w:pPr>
            <w:r w:rsidRPr="00100BF5">
              <w:rPr>
                <w:b/>
                <w:sz w:val="16"/>
              </w:rPr>
              <w:t>50.4 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3843FA">
            <w:pPr>
              <w:jc w:val="right"/>
              <w:rPr>
                <w:b/>
                <w:sz w:val="16"/>
              </w:rPr>
            </w:pPr>
            <w:r w:rsidRPr="00100BF5">
              <w:rPr>
                <w:b/>
                <w:sz w:val="16"/>
              </w:rPr>
              <w:t>49.7 </w:t>
            </w:r>
          </w:p>
        </w:tc>
      </w:tr>
    </w:tbl>
    <w:p w:rsidR="00A12DCA" w:rsidRPr="00100BF5" w:rsidRDefault="00A12DCA"/>
    <w:p w:rsidR="00A12DCA" w:rsidRPr="00100BF5" w:rsidRDefault="00A12DCA" w:rsidP="00A12DCA">
      <w:pPr>
        <w:pStyle w:val="HeadingLevel2-BarcRA50"/>
        <w:rPr>
          <w:i/>
          <w:color w:val="auto"/>
          <w:sz w:val="18"/>
          <w:szCs w:val="18"/>
          <w:lang w:val="en-GB"/>
        </w:rPr>
      </w:pPr>
      <w:r w:rsidRPr="00100BF5">
        <w:rPr>
          <w:i/>
          <w:color w:val="auto"/>
          <w:sz w:val="18"/>
          <w:szCs w:val="18"/>
        </w:rPr>
        <w:t>Credit Risk Loans</w:t>
      </w:r>
    </w:p>
    <w:p w:rsidR="00A12DCA" w:rsidRPr="00100BF5" w:rsidRDefault="00A12DCA" w:rsidP="00870ABB">
      <w:pPr>
        <w:pStyle w:val="Level1Bullet-BarcRA03"/>
        <w:rPr>
          <w:lang w:val="en-GB"/>
        </w:rPr>
      </w:pPr>
      <w:r w:rsidRPr="00100BF5">
        <w:rPr>
          <w:lang w:val="en-GB"/>
        </w:rPr>
        <w:t>Overall, Credit Risk Loan (CRL) balances decreased by 8% in the first half of 2012 reflecting improvements in both the wholesale and retail portfolios.</w:t>
      </w:r>
    </w:p>
    <w:p w:rsidR="00A12DCA" w:rsidRPr="00100BF5" w:rsidRDefault="00A12DCA" w:rsidP="00870ABB">
      <w:pPr>
        <w:pStyle w:val="Level1Bullet-BarcRA03"/>
        <w:rPr>
          <w:lang w:val="en-GB"/>
        </w:rPr>
      </w:pPr>
      <w:r w:rsidRPr="00100BF5">
        <w:rPr>
          <w:lang w:val="en-GB"/>
        </w:rPr>
        <w:t>CRL balances  in the wholesale portfolio decreased 7% primarily due to:</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Investment Banking, where lower balances principally reflect</w:t>
      </w:r>
      <w:r w:rsidR="009C5A7D">
        <w:rPr>
          <w:lang w:val="en-GB"/>
        </w:rPr>
        <w:t>ed</w:t>
      </w:r>
      <w:r w:rsidRPr="00100BF5">
        <w:rPr>
          <w:lang w:val="en-GB"/>
        </w:rPr>
        <w:t xml:space="preserve"> asset sales and paydowns</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Corporate Banking, where lower balances principally reflect</w:t>
      </w:r>
      <w:r w:rsidR="009C5A7D">
        <w:rPr>
          <w:lang w:val="en-GB"/>
        </w:rPr>
        <w:t>ed</w:t>
      </w:r>
      <w:r w:rsidRPr="00100BF5">
        <w:rPr>
          <w:lang w:val="en-GB"/>
        </w:rPr>
        <w:t xml:space="preserve"> a high level of write-offs in the UK and the disposal of the Iveco Finance business in Europe </w:t>
      </w:r>
    </w:p>
    <w:p w:rsidR="00A12DCA" w:rsidRPr="00100BF5" w:rsidRDefault="00A12DCA" w:rsidP="00870ABB">
      <w:pPr>
        <w:pStyle w:val="Level1Bullet-BarcRA03"/>
        <w:rPr>
          <w:lang w:val="en-GB"/>
        </w:rPr>
      </w:pPr>
      <w:r w:rsidRPr="00100BF5">
        <w:rPr>
          <w:lang w:val="en-GB"/>
        </w:rPr>
        <w:t xml:space="preserve">CRL balances in </w:t>
      </w:r>
      <w:r w:rsidR="009C5A7D">
        <w:rPr>
          <w:lang w:val="en-GB"/>
        </w:rPr>
        <w:t xml:space="preserve">the </w:t>
      </w:r>
      <w:r w:rsidRPr="00100BF5">
        <w:rPr>
          <w:lang w:val="en-GB"/>
        </w:rPr>
        <w:t xml:space="preserve">retail portfolio decreased 8%, primarily due to: </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 xml:space="preserve">Barclaycard, where </w:t>
      </w:r>
      <w:r w:rsidR="009C5A7D">
        <w:rPr>
          <w:lang w:val="en-GB"/>
        </w:rPr>
        <w:t>reductions principally reflected</w:t>
      </w:r>
      <w:r w:rsidRPr="00100BF5">
        <w:rPr>
          <w:lang w:val="en-GB"/>
        </w:rPr>
        <w:t xml:space="preserve"> lower recovery balances in UK Cards, due to asset sales; </w:t>
      </w:r>
      <w:r w:rsidR="00C02DB6">
        <w:rPr>
          <w:lang w:val="en-GB"/>
        </w:rPr>
        <w:t>in US Cards due to lower charge-</w:t>
      </w:r>
      <w:r w:rsidRPr="00100BF5">
        <w:rPr>
          <w:lang w:val="en-GB"/>
        </w:rPr>
        <w:t>offs and higher write-offs; and in UK Secured Lending due to an update in the write-off policy</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UK RBB, where reductions reflected falling recovery balances across the majority of portfolios</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This was partially offset by higher balances in Europe RBB principally in the Spanish and Italian mortgage books</w:t>
      </w:r>
    </w:p>
    <w:p w:rsidR="00A12DCA" w:rsidRPr="00100BF5" w:rsidRDefault="00A12DCA" w:rsidP="00A12DCA">
      <w:pPr>
        <w:pStyle w:val="HeadingLevel2-BarcRA11"/>
        <w:rPr>
          <w:i/>
          <w:color w:val="auto"/>
          <w:sz w:val="18"/>
          <w:szCs w:val="18"/>
          <w:lang w:val="en-GB"/>
        </w:rPr>
      </w:pPr>
      <w:r w:rsidRPr="00100BF5">
        <w:rPr>
          <w:i/>
          <w:color w:val="auto"/>
          <w:sz w:val="18"/>
          <w:szCs w:val="18"/>
        </w:rPr>
        <w:t>Coverage Ratios</w:t>
      </w:r>
    </w:p>
    <w:p w:rsidR="00A12DCA" w:rsidRPr="00100BF5" w:rsidRDefault="00A12DCA" w:rsidP="00870ABB">
      <w:pPr>
        <w:pStyle w:val="Level1Bullet-BarcRA03"/>
        <w:rPr>
          <w:lang w:val="en-GB"/>
        </w:rPr>
      </w:pPr>
      <w:r w:rsidRPr="00100BF5">
        <w:rPr>
          <w:lang w:val="en-GB"/>
        </w:rPr>
        <w:t xml:space="preserve">The CRL coverage ratio increased slightly to 50.4% (2011: 49.7%) reflecting increases in: </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the wholesale portfolio ratio to 48.3% (2011: 47.8%)</w:t>
      </w:r>
    </w:p>
    <w:p w:rsidR="00A12DCA" w:rsidRPr="00100BF5" w:rsidRDefault="00A12DCA" w:rsidP="00870ABB">
      <w:pPr>
        <w:pStyle w:val="Level2Bullet-BarcRA2"/>
        <w:numPr>
          <w:ilvl w:val="2"/>
          <w:numId w:val="9"/>
        </w:numPr>
        <w:tabs>
          <w:tab w:val="num" w:pos="567"/>
        </w:tabs>
        <w:ind w:left="567" w:hanging="283"/>
        <w:rPr>
          <w:lang w:val="en-GB"/>
        </w:rPr>
      </w:pPr>
      <w:r w:rsidRPr="00100BF5">
        <w:rPr>
          <w:lang w:val="en-GB"/>
        </w:rPr>
        <w:t>the retail portfolio ratio to 52.6% (2011: 51.6%)</w:t>
      </w:r>
    </w:p>
    <w:p w:rsidR="00A12DCA" w:rsidRPr="00100BF5" w:rsidRDefault="00A12DCA" w:rsidP="00A12DCA">
      <w:pPr>
        <w:pStyle w:val="BodyText-BarcRA47"/>
        <w:rPr>
          <w:szCs w:val="18"/>
        </w:rPr>
      </w:pPr>
    </w:p>
    <w:p w:rsidR="00A12DCA" w:rsidRPr="00100BF5" w:rsidRDefault="00A12DCA" w:rsidP="00A12DCA">
      <w:pPr>
        <w:pStyle w:val="BodyText-BarcRA47"/>
      </w:pPr>
    </w:p>
    <w:p w:rsidR="00A12DCA" w:rsidRPr="00100BF5" w:rsidRDefault="00A12DCA" w:rsidP="00A12DCA">
      <w:pPr>
        <w:pStyle w:val="BodyText-BarcRA47"/>
      </w:pPr>
    </w:p>
    <w:p w:rsidR="00A12DCA" w:rsidRPr="00100BF5" w:rsidRDefault="00A12DCA" w:rsidP="00A12DCA">
      <w:pPr>
        <w:pStyle w:val="BodyText-BarcRA332"/>
      </w:pPr>
    </w:p>
    <w:p w:rsidR="00A12DCA" w:rsidRPr="00100BF5" w:rsidRDefault="00A12DCA" w:rsidP="005F437E">
      <w:pPr>
        <w:pStyle w:val="HeadingLevel1-BarcRA"/>
      </w:pPr>
      <w:r w:rsidRPr="00100BF5">
        <w:br w:type="page"/>
      </w:r>
      <w:r w:rsidR="005F437E">
        <w:t>Credit Risk</w:t>
      </w:r>
    </w:p>
    <w:tbl>
      <w:tblPr>
        <w:tblW w:w="0" w:type="auto"/>
        <w:tblLayout w:type="fixed"/>
        <w:tblLook w:val="0000" w:firstRow="0" w:lastRow="0" w:firstColumn="0" w:lastColumn="0" w:noHBand="0" w:noVBand="0"/>
      </w:tblPr>
      <w:tblGrid>
        <w:gridCol w:w="2040"/>
        <w:gridCol w:w="1155"/>
        <w:gridCol w:w="1155"/>
        <w:gridCol w:w="1155"/>
        <w:gridCol w:w="1155"/>
        <w:gridCol w:w="975"/>
        <w:gridCol w:w="1050"/>
        <w:gridCol w:w="990"/>
      </w:tblGrid>
      <w:tr w:rsidR="00A12DCA" w:rsidRPr="00100BF5" w:rsidTr="00A12DCA">
        <w:tblPrEx>
          <w:tblCellMar>
            <w:top w:w="0" w:type="dxa"/>
            <w:bottom w:w="0" w:type="dxa"/>
          </w:tblCellMar>
        </w:tblPrEx>
        <w:trPr>
          <w:trHeight w:val="240"/>
        </w:trPr>
        <w:tc>
          <w:tcPr>
            <w:tcW w:w="2040" w:type="dxa"/>
            <w:gridSpan w:val="6"/>
            <w:tcBorders>
              <w:top w:val="nil"/>
              <w:left w:val="nil"/>
              <w:bottom w:val="nil"/>
              <w:right w:val="nil"/>
            </w:tcBorders>
            <w:shd w:val="clear" w:color="auto" w:fill="FFFFFF"/>
            <w:tcMar>
              <w:left w:w="36" w:type="dxa"/>
              <w:right w:w="36" w:type="dxa"/>
            </w:tcMar>
            <w:vAlign w:val="bottom"/>
          </w:tcPr>
          <w:p w:rsidR="00A12DCA" w:rsidRPr="00100BF5" w:rsidRDefault="00A12DCA" w:rsidP="000C3F6A">
            <w:pPr>
              <w:rPr>
                <w:lang w:val="en-GB"/>
              </w:rPr>
            </w:pPr>
            <w:r w:rsidRPr="00100BF5">
              <w:rPr>
                <w:b/>
                <w:sz w:val="20"/>
                <w:lang w:val="en-GB"/>
              </w:rPr>
              <w:t>Retail and Wholesale Loans and Advances to Customers and Banks</w:t>
            </w:r>
            <w:r w:rsidRPr="00100BF5">
              <w:rPr>
                <w:rFonts w:ascii="Barclays Sans" w:eastAsia="Barclays Sans" w:hAnsi="Barclays Sans" w:cs="Barclays Sans"/>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lang w:val="en-GB"/>
              </w:rPr>
            </w:pPr>
            <w:r w:rsidRPr="00100BF5">
              <w:rPr>
                <w:rFonts w:ascii="Barclays Sans" w:eastAsia="Barclays Sans" w:hAnsi="Barclays Sans" w:cs="Barclays Sans"/>
                <w:sz w:val="16"/>
                <w:lang w:val="en-GB"/>
              </w:rPr>
              <w:t xml:space="preserve"> </w:t>
            </w:r>
            <w:r w:rsidRPr="00100BF5">
              <w:rPr>
                <w:rFonts w:ascii="Barclays Sans" w:eastAsia="Barclays Sans" w:hAnsi="Barclays Sans" w:cs="Barclays Sans"/>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lang w:val="en-GB"/>
              </w:rPr>
            </w:pPr>
            <w:r w:rsidRPr="00100BF5">
              <w:rPr>
                <w:rFonts w:ascii="Barclays Sans" w:eastAsia="Barclays Sans" w:hAnsi="Barclays Sans" w:cs="Barclays Sans"/>
                <w:sz w:val="16"/>
                <w:lang w:val="en-GB"/>
              </w:rPr>
              <w:t xml:space="preserve"> </w:t>
            </w:r>
          </w:p>
        </w:tc>
      </w:tr>
      <w:tr w:rsidR="00A12DCA" w:rsidRPr="00100BF5">
        <w:tblPrEx>
          <w:tblCellMar>
            <w:top w:w="0" w:type="dxa"/>
            <w:bottom w:w="0" w:type="dxa"/>
          </w:tblCellMar>
        </w:tblPrEx>
        <w:trPr>
          <w:trHeight w:hRule="exact" w:val="240"/>
        </w:trPr>
        <w:tc>
          <w:tcPr>
            <w:tcW w:w="204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lang w:val="en-GB"/>
              </w:rPr>
            </w:pPr>
            <w:r w:rsidRPr="00100BF5">
              <w:rPr>
                <w:rFonts w:ascii="Barclays Sans" w:eastAsia="Barclays Sans" w:hAnsi="Barclays Sans" w:cs="Barclays Sans"/>
                <w:b/>
                <w:sz w:val="20"/>
                <w:lang w:val="en-GB"/>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b/>
                <w:sz w:val="20"/>
                <w:lang w:val="en-GB"/>
              </w:rPr>
            </w:pPr>
            <w:r w:rsidRPr="00100BF5">
              <w:rPr>
                <w:rFonts w:ascii="Barclays Sans" w:eastAsia="Barclays Sans" w:hAnsi="Barclays Sans" w:cs="Barclays Sans"/>
                <w:b/>
                <w:sz w:val="20"/>
                <w:lang w:val="en-GB"/>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b/>
                <w:sz w:val="20"/>
                <w:lang w:val="en-GB"/>
              </w:rPr>
            </w:pPr>
            <w:r w:rsidRPr="00100BF5">
              <w:rPr>
                <w:rFonts w:ascii="Barclays Sans" w:eastAsia="Barclays Sans" w:hAnsi="Barclays Sans" w:cs="Barclays Sans"/>
                <w:b/>
                <w:sz w:val="20"/>
                <w:lang w:val="en-GB"/>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b/>
                <w:sz w:val="20"/>
                <w:lang w:val="en-GB"/>
              </w:rPr>
            </w:pPr>
            <w:r w:rsidRPr="00100BF5">
              <w:rPr>
                <w:rFonts w:ascii="Barclays Sans" w:eastAsia="Barclays Sans" w:hAnsi="Barclays Sans" w:cs="Barclays Sans"/>
                <w:b/>
                <w:sz w:val="20"/>
                <w:lang w:val="en-GB"/>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b/>
                <w:sz w:val="20"/>
                <w:lang w:val="en-GB"/>
              </w:rPr>
            </w:pPr>
            <w:r w:rsidRPr="00100BF5">
              <w:rPr>
                <w:rFonts w:ascii="Barclays Sans" w:eastAsia="Barclays Sans" w:hAnsi="Barclays Sans" w:cs="Barclays Sans"/>
                <w:b/>
                <w:sz w:val="20"/>
                <w:lang w:val="en-GB"/>
              </w:rPr>
              <w:t xml:space="preserve"> </w:t>
            </w:r>
            <w:r w:rsidRPr="00100BF5">
              <w:rPr>
                <w:rFonts w:ascii="Barclays Sans" w:eastAsia="Barclays Sans" w:hAnsi="Barclays Sans" w:cs="Barclays Sans"/>
                <w:b/>
                <w:sz w:val="20"/>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b/>
                <w:sz w:val="20"/>
                <w:vertAlign w:val="superscript"/>
                <w:lang w:val="en-GB"/>
              </w:rPr>
            </w:pPr>
            <w:r w:rsidRPr="00100BF5">
              <w:rPr>
                <w:rFonts w:ascii="Barclays Sans" w:eastAsia="Barclays Sans" w:hAnsi="Barclays Sans" w:cs="Barclays Sans"/>
                <w:b/>
                <w:sz w:val="20"/>
                <w:lang w:val="en-GB"/>
              </w:rPr>
              <w:t xml:space="preserve"> </w:t>
            </w:r>
            <w:r w:rsidRPr="00100BF5">
              <w:rPr>
                <w:rFonts w:ascii="Barclays Sans" w:eastAsia="Barclays Sans" w:hAnsi="Barclays Sans" w:cs="Barclays Sans"/>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lang w:val="en-GB"/>
              </w:rPr>
            </w:pPr>
            <w:r w:rsidRPr="00100BF5">
              <w:rPr>
                <w:rFonts w:ascii="Barclays Sans" w:eastAsia="Barclays Sans" w:hAnsi="Barclays Sans" w:cs="Barclays Sans"/>
                <w:sz w:val="16"/>
                <w:lang w:val="en-GB"/>
              </w:rPr>
              <w:t xml:space="preserve"> </w:t>
            </w:r>
            <w:r w:rsidRPr="00100BF5">
              <w:rPr>
                <w:rFonts w:ascii="Barclays Sans" w:eastAsia="Barclays Sans" w:hAnsi="Barclays Sans" w:cs="Barclays Sans"/>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lang w:val="en-GB"/>
              </w:rPr>
            </w:pPr>
            <w:r w:rsidRPr="00100BF5">
              <w:rPr>
                <w:rFonts w:ascii="Barclays Sans" w:eastAsia="Barclays Sans" w:hAnsi="Barclays Sans" w:cs="Barclays Sans"/>
                <w:sz w:val="16"/>
                <w:lang w:val="en-GB"/>
              </w:rPr>
              <w:t xml:space="preserve"> </w:t>
            </w:r>
          </w:p>
        </w:tc>
      </w:tr>
      <w:tr w:rsidR="00A12DCA" w:rsidRPr="00100BF5">
        <w:tblPrEx>
          <w:tblCellMar>
            <w:top w:w="0" w:type="dxa"/>
            <w:bottom w:w="0" w:type="dxa"/>
          </w:tblCellMar>
        </w:tblPrEx>
        <w:trPr>
          <w:trHeight w:val="720"/>
        </w:trPr>
        <w:tc>
          <w:tcPr>
            <w:tcW w:w="204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lang w:val="en-GB"/>
              </w:rPr>
            </w:pPr>
            <w:r w:rsidRPr="00100BF5">
              <w:rPr>
                <w:b/>
                <w:sz w:val="16"/>
                <w:lang w:val="en-GB"/>
              </w:rPr>
              <w:t>As at 30.06.12</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Gross</w:t>
            </w:r>
          </w:p>
          <w:p w:rsidR="00A12DCA" w:rsidRPr="00100BF5" w:rsidRDefault="00A12DCA">
            <w:pPr>
              <w:jc w:val="right"/>
              <w:rPr>
                <w:b/>
                <w:sz w:val="16"/>
                <w:lang w:val="en-GB"/>
              </w:rPr>
            </w:pPr>
            <w:r w:rsidRPr="00100BF5">
              <w:rPr>
                <w:b/>
                <w:sz w:val="16"/>
                <w:lang w:val="en-GB"/>
              </w:rPr>
              <w:t>L&amp;A</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Impairment Allowance</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L&amp;A Net of Impairment</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Credit</w:t>
            </w:r>
          </w:p>
          <w:p w:rsidR="00A12DCA" w:rsidRPr="00100BF5" w:rsidRDefault="00A12DCA">
            <w:pPr>
              <w:jc w:val="right"/>
              <w:rPr>
                <w:b/>
                <w:sz w:val="16"/>
                <w:lang w:val="en-GB"/>
              </w:rPr>
            </w:pPr>
            <w:r w:rsidRPr="00100BF5">
              <w:rPr>
                <w:b/>
                <w:sz w:val="16"/>
                <w:lang w:val="en-GB"/>
              </w:rPr>
              <w:t>Risk Loans</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lang w:val="en-GB"/>
              </w:rPr>
            </w:pPr>
            <w:r w:rsidRPr="00100BF5">
              <w:rPr>
                <w:b/>
                <w:sz w:val="16"/>
                <w:lang w:val="en-GB"/>
              </w:rPr>
              <w:t>CRLs % of Gross L&amp;A</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lang w:val="en-GB"/>
              </w:rPr>
            </w:pPr>
            <w:r w:rsidRPr="00100BF5">
              <w:rPr>
                <w:b/>
                <w:sz w:val="16"/>
                <w:lang w:val="en-GB"/>
              </w:rPr>
              <w:t>Loan Impairment Charges</w:t>
            </w:r>
            <w:r w:rsidRPr="00100BF5">
              <w:rPr>
                <w:b/>
                <w:sz w:val="16"/>
                <w:vertAlign w:val="superscript"/>
                <w:lang w:val="en-GB"/>
              </w:rPr>
              <w:t>1 </w:t>
            </w:r>
          </w:p>
        </w:tc>
        <w:tc>
          <w:tcPr>
            <w:tcW w:w="99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lang w:val="en-GB"/>
              </w:rPr>
            </w:pPr>
            <w:r w:rsidRPr="00100BF5">
              <w:rPr>
                <w:b/>
                <w:sz w:val="16"/>
                <w:lang w:val="en-GB"/>
              </w:rPr>
              <w:t>Loan Loss Rates</w:t>
            </w:r>
            <w:r w:rsidR="001F0BC8" w:rsidRPr="00100BF5">
              <w:rPr>
                <w:b/>
                <w:sz w:val="16"/>
                <w:vertAlign w:val="superscript"/>
                <w:lang w:val="en-GB"/>
              </w:rPr>
              <w:t>2</w:t>
            </w:r>
          </w:p>
        </w:tc>
      </w:tr>
      <w:tr w:rsidR="00A12DCA" w:rsidRPr="00100BF5" w:rsidTr="00E45B5D">
        <w:tblPrEx>
          <w:tblCellMar>
            <w:top w:w="0" w:type="dxa"/>
            <w:bottom w:w="0" w:type="dxa"/>
          </w:tblCellMar>
        </w:tblPrEx>
        <w:trPr>
          <w:trHeight w:val="240"/>
        </w:trPr>
        <w:tc>
          <w:tcPr>
            <w:tcW w:w="2040" w:type="dxa"/>
            <w:tcBorders>
              <w:top w:val="nil"/>
              <w:left w:val="nil"/>
              <w:bottom w:val="single" w:sz="6" w:space="0" w:color="969696"/>
              <w:right w:val="nil"/>
            </w:tcBorders>
            <w:shd w:val="clear" w:color="auto" w:fill="FFFFFF"/>
            <w:tcMar>
              <w:left w:w="36" w:type="dxa"/>
              <w:right w:w="36" w:type="dxa"/>
            </w:tcMar>
          </w:tcPr>
          <w:p w:rsidR="00A12DCA" w:rsidRPr="00100BF5" w:rsidRDefault="00A12DCA">
            <w:pPr>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sz w:val="16"/>
                <w:lang w:val="en-GB"/>
              </w:rPr>
              <w:t>£m</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£m</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£m</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£m</w:t>
            </w:r>
            <w:r w:rsidRPr="00100BF5">
              <w:rPr>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w:t>
            </w:r>
            <w:r w:rsidRPr="00100BF5">
              <w:rPr>
                <w:sz w:val="16"/>
                <w:vertAlign w:val="superscript"/>
                <w:lang w:val="en-GB"/>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£m</w:t>
            </w:r>
            <w:r w:rsidRPr="00100BF5">
              <w:rPr>
                <w:sz w:val="16"/>
                <w:vertAlign w:val="superscript"/>
                <w:lang w:val="en-GB"/>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bps</w:t>
            </w:r>
          </w:p>
        </w:tc>
      </w:tr>
      <w:tr w:rsidR="00A12DCA" w:rsidRPr="00100BF5" w:rsidTr="00E45B5D">
        <w:tblPrEx>
          <w:tblCellMar>
            <w:top w:w="0" w:type="dxa"/>
            <w:bottom w:w="0" w:type="dxa"/>
          </w:tblCellMar>
        </w:tblPrEx>
        <w:trPr>
          <w:trHeight w:val="240"/>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sz w:val="16"/>
                <w:lang w:val="en-GB"/>
              </w:rPr>
            </w:pPr>
            <w:r w:rsidRPr="00100BF5">
              <w:rPr>
                <w:b/>
                <w:sz w:val="16"/>
                <w:lang w:val="en-GB"/>
              </w:rPr>
              <w:t>Total retail</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240,903 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5,021 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235,882 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9,545 </w:t>
            </w:r>
            <w:r w:rsidRPr="00100BF5">
              <w:rPr>
                <w:b/>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4.0 </w:t>
            </w:r>
            <w:r w:rsidRPr="00100BF5">
              <w:rPr>
                <w:b/>
                <w:sz w:val="16"/>
                <w:vertAlign w:val="superscript"/>
                <w:lang w:val="en-GB"/>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978 </w:t>
            </w:r>
            <w:r w:rsidRPr="00100BF5">
              <w:rPr>
                <w:b/>
                <w:sz w:val="16"/>
                <w:vertAlign w:val="superscript"/>
                <w:lang w:val="en-GB"/>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82 </w:t>
            </w:r>
          </w:p>
        </w:tc>
      </w:tr>
      <w:tr w:rsidR="00A12DCA" w:rsidRPr="00100BF5" w:rsidTr="00E45B5D">
        <w:tblPrEx>
          <w:tblCellMar>
            <w:top w:w="0" w:type="dxa"/>
            <w:bottom w:w="0" w:type="dxa"/>
          </w:tblCellMar>
        </w:tblPrEx>
        <w:trPr>
          <w:trHeight w:hRule="exac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rFonts w:ascii="Barclays Sans" w:eastAsia="Barclays Sans" w:hAnsi="Barclays Sans" w:cs="Barclays Sans"/>
                <w:sz w:val="16"/>
                <w:lang w:val="en-GB"/>
              </w:rPr>
              <w:t xml:space="preserve"> </w:t>
            </w:r>
            <w:r w:rsidRPr="00100BF5">
              <w:rPr>
                <w:b/>
                <w:sz w:val="16"/>
                <w:vertAlign w:val="superscript"/>
                <w:lang w:val="en-GB"/>
              </w:rPr>
              <w:t xml:space="preserve"> </w:t>
            </w:r>
          </w:p>
        </w:tc>
        <w:tc>
          <w:tcPr>
            <w:tcW w:w="990"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sz w:val="16"/>
                <w:lang w:val="en-GB"/>
              </w:rPr>
            </w:pPr>
            <w:r w:rsidRPr="00100BF5">
              <w:rPr>
                <w:sz w:val="16"/>
                <w:lang w:val="en-GB"/>
              </w:rPr>
              <w:t>Wholesale - customers</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74F19">
            <w:pPr>
              <w:jc w:val="right"/>
              <w:rPr>
                <w:sz w:val="16"/>
                <w:lang w:val="en-GB"/>
              </w:rPr>
            </w:pPr>
            <w:r w:rsidRPr="00100BF5">
              <w:rPr>
                <w:sz w:val="16"/>
                <w:lang w:val="en-GB"/>
              </w:rPr>
              <w:t>223,71</w:t>
            </w:r>
            <w:r w:rsidR="00D74F19">
              <w:rPr>
                <w:sz w:val="16"/>
                <w:lang w:val="en-GB"/>
              </w:rPr>
              <w:t>9</w:t>
            </w:r>
            <w:r w:rsidRPr="00100BF5">
              <w:rPr>
                <w:sz w:val="16"/>
                <w:lang w:val="en-GB"/>
              </w:rPr>
              <w:t>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4,873 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D74F19">
            <w:pPr>
              <w:jc w:val="right"/>
              <w:rPr>
                <w:sz w:val="16"/>
                <w:lang w:val="en-GB"/>
              </w:rPr>
            </w:pPr>
            <w:r w:rsidRPr="00100BF5">
              <w:rPr>
                <w:sz w:val="16"/>
                <w:lang w:val="en-GB"/>
              </w:rPr>
              <w:t>218,8</w:t>
            </w:r>
            <w:r w:rsidR="00FA11E2" w:rsidRPr="00100BF5">
              <w:rPr>
                <w:sz w:val="16"/>
                <w:lang w:val="en-GB"/>
              </w:rPr>
              <w:t>4</w:t>
            </w:r>
            <w:r w:rsidR="00D74F19">
              <w:rPr>
                <w:sz w:val="16"/>
                <w:lang w:val="en-GB"/>
              </w:rPr>
              <w:t>6</w:t>
            </w:r>
            <w:r w:rsidRPr="00100BF5">
              <w:rPr>
                <w:sz w:val="16"/>
                <w:lang w:val="en-GB"/>
              </w:rPr>
              <w:t>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10,161 </w:t>
            </w:r>
            <w:r w:rsidRPr="00100BF5">
              <w:rPr>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4.5 </w:t>
            </w:r>
            <w:r w:rsidRPr="00100BF5">
              <w:rPr>
                <w:sz w:val="16"/>
                <w:vertAlign w:val="superscript"/>
                <w:lang w:val="en-GB"/>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842 </w:t>
            </w:r>
            <w:r w:rsidRPr="00100BF5">
              <w:rPr>
                <w:sz w:val="16"/>
                <w:vertAlign w:val="superscript"/>
                <w:lang w:val="en-GB"/>
              </w:rPr>
              <w:t xml:space="preserve"> </w:t>
            </w:r>
          </w:p>
        </w:tc>
        <w:tc>
          <w:tcPr>
            <w:tcW w:w="990" w:type="dxa"/>
            <w:tcBorders>
              <w:top w:val="single" w:sz="6" w:space="0" w:color="A5A5A5"/>
              <w:left w:val="nil"/>
              <w:bottom w:val="nil"/>
              <w:right w:val="nil"/>
            </w:tcBorders>
            <w:shd w:val="clear" w:color="auto" w:fill="FFFFFF"/>
            <w:tcMar>
              <w:left w:w="36" w:type="dxa"/>
              <w:right w:w="36" w:type="dxa"/>
            </w:tcMar>
            <w:vAlign w:val="center"/>
          </w:tcPr>
          <w:p w:rsidR="00A12DCA" w:rsidRPr="00E95226" w:rsidRDefault="00A12DCA" w:rsidP="00E45B5D">
            <w:pPr>
              <w:jc w:val="right"/>
              <w:rPr>
                <w:sz w:val="16"/>
                <w:vertAlign w:val="superscript"/>
                <w:lang w:val="en-GB"/>
              </w:rPr>
            </w:pPr>
            <w:r w:rsidRPr="00E95226">
              <w:rPr>
                <w:sz w:val="16"/>
                <w:lang w:val="en-GB"/>
              </w:rPr>
              <w:t>76 </w:t>
            </w:r>
          </w:p>
        </w:tc>
      </w:tr>
      <w:tr w:rsidR="00A12DCA" w:rsidRPr="00100BF5" w:rsidTr="00E45B5D">
        <w:tblPrEx>
          <w:tblCellMar>
            <w:top w:w="0" w:type="dxa"/>
            <w:bottom w:w="0" w:type="dxa"/>
          </w:tblCellMar>
        </w:tblPrEx>
        <w:trPr>
          <w:trHeigh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sz w:val="16"/>
                <w:lang w:val="en-GB"/>
              </w:rPr>
              <w:t>Wholesale - banks</w:t>
            </w:r>
          </w:p>
        </w:tc>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D74F19">
            <w:pPr>
              <w:jc w:val="right"/>
              <w:rPr>
                <w:sz w:val="16"/>
                <w:lang w:val="en-GB"/>
              </w:rPr>
            </w:pPr>
            <w:r w:rsidRPr="00100BF5">
              <w:rPr>
                <w:sz w:val="16"/>
                <w:lang w:val="en-GB"/>
              </w:rPr>
              <w:t>48,8</w:t>
            </w:r>
            <w:r w:rsidR="00D74F19">
              <w:rPr>
                <w:sz w:val="16"/>
                <w:lang w:val="en-GB"/>
              </w:rPr>
              <w:t>29</w:t>
            </w:r>
            <w:r w:rsidRPr="00100BF5">
              <w:rPr>
                <w:sz w:val="16"/>
                <w:lang w:val="en-GB"/>
              </w:rPr>
              <w:t> </w:t>
            </w:r>
          </w:p>
        </w:tc>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52 </w:t>
            </w:r>
          </w:p>
        </w:tc>
        <w:tc>
          <w:tcPr>
            <w:tcW w:w="1155" w:type="dxa"/>
            <w:tcBorders>
              <w:top w:val="nil"/>
              <w:left w:val="nil"/>
              <w:bottom w:val="single" w:sz="6" w:space="0" w:color="A5A5A5"/>
              <w:right w:val="nil"/>
            </w:tcBorders>
            <w:shd w:val="clear" w:color="auto" w:fill="EAEAEA"/>
            <w:tcMar>
              <w:left w:w="36" w:type="dxa"/>
              <w:right w:w="36" w:type="dxa"/>
            </w:tcMar>
            <w:vAlign w:val="center"/>
          </w:tcPr>
          <w:p w:rsidR="00A12DCA" w:rsidRPr="00100BF5" w:rsidRDefault="00D74F19" w:rsidP="00E45B5D">
            <w:pPr>
              <w:jc w:val="right"/>
              <w:rPr>
                <w:sz w:val="16"/>
                <w:lang w:val="en-GB"/>
              </w:rPr>
            </w:pPr>
            <w:r>
              <w:rPr>
                <w:sz w:val="16"/>
                <w:lang w:val="en-GB"/>
              </w:rPr>
              <w:t>48,777</w:t>
            </w:r>
            <w:r w:rsidR="00A12DCA" w:rsidRPr="00100BF5">
              <w:rPr>
                <w:sz w:val="16"/>
                <w:lang w:val="en-GB"/>
              </w:rPr>
              <w:t> </w:t>
            </w:r>
          </w:p>
        </w:tc>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35 </w:t>
            </w:r>
            <w:r w:rsidRPr="00100BF5">
              <w:rPr>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0.1 </w:t>
            </w:r>
            <w:r w:rsidRPr="00100BF5">
              <w:rPr>
                <w:sz w:val="16"/>
                <w:vertAlign w:val="superscript"/>
                <w:lang w:val="en-GB"/>
              </w:rPr>
              <w:t xml:space="preserve"> </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2 </w:t>
            </w:r>
            <w:r w:rsidRPr="00100BF5">
              <w:rPr>
                <w:sz w:val="16"/>
                <w:vertAlign w:val="superscript"/>
                <w:lang w:val="en-GB"/>
              </w:rPr>
              <w:t xml:space="preserve"> </w:t>
            </w:r>
          </w:p>
        </w:tc>
        <w:tc>
          <w:tcPr>
            <w:tcW w:w="990"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1 </w:t>
            </w:r>
          </w:p>
        </w:tc>
      </w:tr>
      <w:tr w:rsidR="00A12DCA" w:rsidRPr="00100BF5" w:rsidTr="00E45B5D">
        <w:tblPrEx>
          <w:tblCellMar>
            <w:top w:w="0" w:type="dxa"/>
            <w:bottom w:w="0" w:type="dxa"/>
          </w:tblCellMar>
        </w:tblPrEx>
        <w:trPr>
          <w:trHeight w:val="240"/>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sz w:val="16"/>
                <w:lang w:val="en-GB"/>
              </w:rPr>
            </w:pPr>
            <w:r w:rsidRPr="00100BF5">
              <w:rPr>
                <w:b/>
                <w:sz w:val="16"/>
                <w:lang w:val="en-GB"/>
              </w:rPr>
              <w:t xml:space="preserve">Total wholesale </w:t>
            </w:r>
          </w:p>
        </w:tc>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272,54</w:t>
            </w:r>
            <w:r w:rsidR="00FA11E2" w:rsidRPr="00100BF5">
              <w:rPr>
                <w:b/>
                <w:sz w:val="16"/>
                <w:lang w:val="en-GB"/>
              </w:rPr>
              <w:t>8</w:t>
            </w:r>
            <w:r w:rsidRPr="00100BF5">
              <w:rPr>
                <w:b/>
                <w:sz w:val="16"/>
                <w:lang w:val="en-GB"/>
              </w:rPr>
              <w:t> </w:t>
            </w:r>
          </w:p>
        </w:tc>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4,925 </w:t>
            </w:r>
          </w:p>
        </w:tc>
        <w:tc>
          <w:tcPr>
            <w:tcW w:w="1155"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267,62</w:t>
            </w:r>
            <w:r w:rsidR="00FA11E2" w:rsidRPr="00100BF5">
              <w:rPr>
                <w:b/>
                <w:sz w:val="16"/>
                <w:lang w:val="en-GB"/>
              </w:rPr>
              <w:t>3</w:t>
            </w:r>
            <w:r w:rsidRPr="00100BF5">
              <w:rPr>
                <w:b/>
                <w:sz w:val="16"/>
                <w:lang w:val="en-GB"/>
              </w:rPr>
              <w:t> </w:t>
            </w:r>
          </w:p>
        </w:tc>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10,196 </w:t>
            </w:r>
            <w:r w:rsidRPr="00100BF5">
              <w:rPr>
                <w:b/>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3.7 </w:t>
            </w:r>
            <w:r w:rsidRPr="00100BF5">
              <w:rPr>
                <w:b/>
                <w:sz w:val="16"/>
                <w:vertAlign w:val="superscript"/>
                <w:lang w:val="en-GB"/>
              </w:rPr>
              <w:t xml:space="preserve"> </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844 </w:t>
            </w:r>
            <w:r w:rsidRPr="00100BF5">
              <w:rPr>
                <w:b/>
                <w:sz w:val="16"/>
                <w:vertAlign w:val="superscript"/>
                <w:lang w:val="en-GB"/>
              </w:rPr>
              <w:t xml:space="preserve"> </w:t>
            </w:r>
          </w:p>
        </w:tc>
        <w:tc>
          <w:tcPr>
            <w:tcW w:w="990"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62 </w:t>
            </w:r>
          </w:p>
        </w:tc>
      </w:tr>
      <w:tr w:rsidR="00A12DCA" w:rsidRPr="00100BF5" w:rsidTr="00E45B5D">
        <w:tblPrEx>
          <w:tblCellMar>
            <w:top w:w="0" w:type="dxa"/>
            <w:bottom w:w="0" w:type="dxa"/>
          </w:tblCellMar>
        </w:tblPrEx>
        <w:trPr>
          <w:trHeight w:hRule="exac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55"/>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Loans and advances at</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513,45</w:t>
            </w:r>
            <w:r w:rsidR="00FA11E2" w:rsidRPr="00100BF5">
              <w:rPr>
                <w:b/>
                <w:sz w:val="16"/>
                <w:lang w:val="en-GB"/>
              </w:rPr>
              <w:t>1</w:t>
            </w:r>
            <w:r w:rsidRPr="00100BF5">
              <w:rPr>
                <w:b/>
                <w:sz w:val="16"/>
                <w:lang w:val="en-GB"/>
              </w:rPr>
              <w:t>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9,946 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503,50</w:t>
            </w:r>
            <w:r w:rsidR="00FA11E2" w:rsidRPr="00100BF5">
              <w:rPr>
                <w:b/>
                <w:sz w:val="16"/>
                <w:lang w:val="en-GB"/>
              </w:rPr>
              <w:t>5</w:t>
            </w:r>
            <w:r w:rsidRPr="00100BF5">
              <w:rPr>
                <w:b/>
                <w:sz w:val="16"/>
                <w:lang w:val="en-GB"/>
              </w:rPr>
              <w:t>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19,741 </w:t>
            </w:r>
            <w:r w:rsidRPr="00100BF5">
              <w:rPr>
                <w:b/>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3.8 </w:t>
            </w:r>
            <w:r w:rsidRPr="00100BF5">
              <w:rPr>
                <w:b/>
                <w:sz w:val="16"/>
                <w:vertAlign w:val="superscript"/>
                <w:lang w:val="en-GB"/>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1,822 </w:t>
            </w:r>
            <w:r w:rsidRPr="00100BF5">
              <w:rPr>
                <w:b/>
                <w:sz w:val="16"/>
                <w:vertAlign w:val="superscript"/>
                <w:lang w:val="en-GB"/>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71 </w:t>
            </w:r>
          </w:p>
        </w:tc>
      </w:tr>
      <w:tr w:rsidR="00A12DCA" w:rsidRPr="00100BF5" w:rsidTr="00E45B5D">
        <w:tblPrEx>
          <w:tblCellMar>
            <w:top w:w="0" w:type="dxa"/>
            <w:bottom w:w="0" w:type="dxa"/>
          </w:tblCellMar>
        </w:tblPrEx>
        <w:trPr>
          <w:trHeight w:val="255"/>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amortised cost</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hRule="exact" w:val="240"/>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55"/>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sz w:val="16"/>
                <w:lang w:val="en-GB"/>
              </w:rPr>
              <w:t>Loans and advances held</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24,256 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na</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E45B5D">
            <w:pPr>
              <w:jc w:val="right"/>
              <w:rPr>
                <w:sz w:val="16"/>
                <w:lang w:val="en-GB"/>
              </w:rPr>
            </w:pPr>
            <w:r w:rsidRPr="00100BF5">
              <w:rPr>
                <w:sz w:val="16"/>
                <w:lang w:val="en-GB"/>
              </w:rPr>
              <w:t>24,256 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sz w:val="16"/>
                <w:lang w:val="en-GB"/>
              </w:rPr>
              <w:t>at fair value</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Total loans and advances</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537,7</w:t>
            </w:r>
            <w:r w:rsidR="00FA11E2" w:rsidRPr="00100BF5">
              <w:rPr>
                <w:b/>
                <w:sz w:val="16"/>
                <w:lang w:val="en-GB"/>
              </w:rPr>
              <w:t>07</w:t>
            </w:r>
            <w:r w:rsidRPr="00100BF5">
              <w:rPr>
                <w:b/>
                <w:sz w:val="16"/>
                <w:lang w:val="en-GB"/>
              </w:rPr>
              <w:t>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9,946 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527,</w:t>
            </w:r>
            <w:r w:rsidR="00FA11E2" w:rsidRPr="00100BF5">
              <w:rPr>
                <w:b/>
                <w:sz w:val="16"/>
                <w:lang w:val="en-GB"/>
              </w:rPr>
              <w:t>761</w:t>
            </w:r>
            <w:r w:rsidRPr="00100BF5">
              <w:rPr>
                <w:b/>
                <w:sz w:val="16"/>
                <w:lang w:val="en-GB"/>
              </w:rPr>
              <w:t>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hRule="exact" w:val="240"/>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rFonts w:ascii="Barclays Sans" w:eastAsia="Barclays Sans" w:hAnsi="Barclays Sans" w:cs="Barclays Sans"/>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rFonts w:ascii="Barclays Sans" w:eastAsia="Barclays Sans" w:hAnsi="Barclays Sans" w:cs="Barclays Sans"/>
                <w:sz w:val="16"/>
                <w:lang w:val="en-GB"/>
              </w:rPr>
            </w:pPr>
            <w:r w:rsidRPr="00100BF5">
              <w:rPr>
                <w:rFonts w:ascii="Barclays Sans" w:eastAsia="Barclays Sans" w:hAnsi="Barclays Sans" w:cs="Barclays Sans"/>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rFonts w:ascii="Barclays Sans" w:eastAsia="Barclays Sans" w:hAnsi="Barclays Sans" w:cs="Barclays Sans"/>
                <w:sz w:val="16"/>
                <w:lang w:val="en-GB"/>
              </w:rPr>
            </w:pPr>
            <w:r w:rsidRPr="00100BF5">
              <w:rPr>
                <w:rFonts w:ascii="Barclays Sans" w:eastAsia="Barclays Sans" w:hAnsi="Barclays Sans" w:cs="Barclays Sans"/>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rFonts w:ascii="Barclays Sans" w:eastAsia="Barclays Sans" w:hAnsi="Barclays Sans" w:cs="Barclays Sans"/>
                <w:sz w:val="16"/>
                <w:lang w:val="en-GB"/>
              </w:rPr>
            </w:pPr>
            <w:r w:rsidRPr="00100BF5">
              <w:rPr>
                <w:rFonts w:ascii="Barclays Sans" w:eastAsia="Barclays Sans" w:hAnsi="Barclays Sans" w:cs="Barclays Sans"/>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rFonts w:ascii="Barclays Sans" w:eastAsia="Barclays Sans" w:hAnsi="Barclays Sans" w:cs="Barclays Sans"/>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As at 31.12.11</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r w:rsidRPr="00100BF5">
              <w:rPr>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 xml:space="preserve"> </w:t>
            </w:r>
            <w:r w:rsidRPr="00100BF5">
              <w:rPr>
                <w:sz w:val="16"/>
                <w:vertAlign w:val="superscript"/>
                <w:lang w:val="en-GB"/>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 xml:space="preserve"> </w:t>
            </w:r>
          </w:p>
        </w:tc>
      </w:tr>
      <w:tr w:rsidR="00A12DCA" w:rsidRPr="00100BF5" w:rsidTr="00E45B5D">
        <w:tblPrEx>
          <w:tblCellMar>
            <w:top w:w="0" w:type="dxa"/>
            <w:bottom w:w="0" w:type="dxa"/>
          </w:tblCellMar>
        </w:tblPrEx>
        <w:trPr>
          <w:trHeight w:val="255"/>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sz w:val="16"/>
                <w:lang w:val="en-GB"/>
              </w:rPr>
            </w:pPr>
            <w:r w:rsidRPr="00100BF5">
              <w:rPr>
                <w:b/>
                <w:sz w:val="16"/>
                <w:lang w:val="en-GB"/>
              </w:rPr>
              <w:t>Total retail</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241,138 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5,374 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235,764 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10,416 </w:t>
            </w:r>
            <w:r w:rsidRPr="00100BF5">
              <w:rPr>
                <w:b/>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4.3 </w:t>
            </w:r>
            <w:r w:rsidRPr="00100BF5">
              <w:rPr>
                <w:b/>
                <w:sz w:val="16"/>
                <w:vertAlign w:val="superscript"/>
                <w:lang w:val="en-GB"/>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2,422 </w:t>
            </w:r>
            <w:r w:rsidRPr="00100BF5">
              <w:rPr>
                <w:b/>
                <w:sz w:val="16"/>
                <w:vertAlign w:val="superscript"/>
                <w:lang w:val="en-GB"/>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100 </w:t>
            </w:r>
          </w:p>
        </w:tc>
      </w:tr>
      <w:tr w:rsidR="00A12DCA" w:rsidRPr="00100BF5" w:rsidTr="00E45B5D">
        <w:tblPrEx>
          <w:tblCellMar>
            <w:top w:w="0" w:type="dxa"/>
            <w:bottom w:w="0" w:type="dxa"/>
          </w:tblCellMar>
        </w:tblPrEx>
        <w:trPr>
          <w:trHeight w:hRule="exac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rFonts w:ascii="Barclays Sans" w:eastAsia="Barclays Sans" w:hAnsi="Barclays Sans" w:cs="Barclays Sans"/>
                <w:sz w:val="16"/>
                <w:lang w:val="en-GB"/>
              </w:rPr>
              <w:t xml:space="preserve"> </w:t>
            </w:r>
            <w:r w:rsidRPr="00100BF5">
              <w:rPr>
                <w:b/>
                <w:sz w:val="16"/>
                <w:vertAlign w:val="superscript"/>
                <w:lang w:val="en-GB"/>
              </w:rPr>
              <w:t xml:space="preserve"> </w:t>
            </w:r>
          </w:p>
        </w:tc>
        <w:tc>
          <w:tcPr>
            <w:tcW w:w="990"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sz w:val="16"/>
                <w:lang w:val="en-GB"/>
              </w:rPr>
            </w:pPr>
            <w:r w:rsidRPr="00100BF5">
              <w:rPr>
                <w:sz w:val="16"/>
                <w:lang w:val="en-GB"/>
              </w:rPr>
              <w:t>Wholesale - customers</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201,348 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5,178 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sz w:val="16"/>
                <w:lang w:val="en-GB"/>
              </w:rPr>
            </w:pPr>
            <w:r w:rsidRPr="00100BF5">
              <w:rPr>
                <w:sz w:val="16"/>
                <w:lang w:val="en-GB"/>
              </w:rPr>
              <w:t>196,170 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10,892 </w:t>
            </w:r>
            <w:r w:rsidRPr="00100BF5">
              <w:rPr>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5.4 </w:t>
            </w:r>
            <w:r w:rsidRPr="00100BF5">
              <w:rPr>
                <w:sz w:val="16"/>
                <w:vertAlign w:val="superscript"/>
                <w:lang w:val="en-GB"/>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1,362 </w:t>
            </w:r>
            <w:r w:rsidRPr="00100BF5">
              <w:rPr>
                <w:sz w:val="16"/>
                <w:vertAlign w:val="superscript"/>
                <w:lang w:val="en-GB"/>
              </w:rPr>
              <w:t xml:space="preserve"> </w:t>
            </w:r>
          </w:p>
        </w:tc>
        <w:tc>
          <w:tcPr>
            <w:tcW w:w="990" w:type="dxa"/>
            <w:tcBorders>
              <w:top w:val="single" w:sz="6" w:space="0" w:color="A5A5A5"/>
              <w:left w:val="nil"/>
              <w:bottom w:val="nil"/>
              <w:right w:val="nil"/>
            </w:tcBorders>
            <w:shd w:val="clear" w:color="auto" w:fill="FFFFFF"/>
            <w:tcMar>
              <w:left w:w="36" w:type="dxa"/>
              <w:right w:w="36" w:type="dxa"/>
            </w:tcMar>
            <w:vAlign w:val="center"/>
          </w:tcPr>
          <w:p w:rsidR="00A12DCA" w:rsidRPr="00E95226" w:rsidRDefault="00A12DCA" w:rsidP="00E45B5D">
            <w:pPr>
              <w:jc w:val="right"/>
              <w:rPr>
                <w:sz w:val="16"/>
                <w:vertAlign w:val="superscript"/>
                <w:lang w:val="en-GB"/>
              </w:rPr>
            </w:pPr>
            <w:r w:rsidRPr="00E95226">
              <w:rPr>
                <w:sz w:val="16"/>
                <w:lang w:val="en-GB"/>
              </w:rPr>
              <w:t>68 </w:t>
            </w:r>
          </w:p>
        </w:tc>
      </w:tr>
      <w:tr w:rsidR="00A12DCA" w:rsidRPr="00100BF5" w:rsidTr="00E45B5D">
        <w:tblPrEx>
          <w:tblCellMar>
            <w:top w:w="0" w:type="dxa"/>
            <w:bottom w:w="0" w:type="dxa"/>
          </w:tblCellMar>
        </w:tblPrEx>
        <w:trPr>
          <w:trHeigh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sz w:val="16"/>
                <w:lang w:val="en-GB"/>
              </w:rPr>
              <w:t>Wholesale - banks</w:t>
            </w:r>
          </w:p>
        </w:tc>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47,491 </w:t>
            </w:r>
          </w:p>
        </w:tc>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45 </w:t>
            </w:r>
          </w:p>
        </w:tc>
        <w:tc>
          <w:tcPr>
            <w:tcW w:w="1155" w:type="dxa"/>
            <w:tcBorders>
              <w:top w:val="nil"/>
              <w:left w:val="nil"/>
              <w:bottom w:val="single" w:sz="6" w:space="0" w:color="A5A5A5"/>
              <w:right w:val="nil"/>
            </w:tcBorders>
            <w:shd w:val="clear" w:color="auto" w:fill="EAEAEA"/>
            <w:tcMar>
              <w:left w:w="36" w:type="dxa"/>
              <w:right w:w="36" w:type="dxa"/>
            </w:tcMar>
            <w:vAlign w:val="center"/>
          </w:tcPr>
          <w:p w:rsidR="00A12DCA" w:rsidRPr="00100BF5" w:rsidRDefault="00A12DCA" w:rsidP="00E45B5D">
            <w:pPr>
              <w:jc w:val="right"/>
              <w:rPr>
                <w:sz w:val="16"/>
                <w:lang w:val="en-GB"/>
              </w:rPr>
            </w:pPr>
            <w:r w:rsidRPr="00100BF5">
              <w:rPr>
                <w:sz w:val="16"/>
                <w:lang w:val="en-GB"/>
              </w:rPr>
              <w:t>47,446 </w:t>
            </w:r>
          </w:p>
        </w:tc>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34 </w:t>
            </w:r>
            <w:r w:rsidRPr="00100BF5">
              <w:rPr>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0.1 </w:t>
            </w:r>
            <w:r w:rsidRPr="00100BF5">
              <w:rPr>
                <w:sz w:val="16"/>
                <w:vertAlign w:val="superscript"/>
                <w:lang w:val="en-GB"/>
              </w:rPr>
              <w:t xml:space="preserve"> </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6 </w:t>
            </w:r>
            <w:r w:rsidRPr="00100BF5">
              <w:rPr>
                <w:sz w:val="16"/>
                <w:vertAlign w:val="superscript"/>
                <w:lang w:val="en-GB"/>
              </w:rPr>
              <w:t xml:space="preserve"> </w:t>
            </w:r>
          </w:p>
        </w:tc>
        <w:tc>
          <w:tcPr>
            <w:tcW w:w="990"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E45B5D">
            <w:pPr>
              <w:jc w:val="right"/>
              <w:rPr>
                <w:sz w:val="16"/>
                <w:vertAlign w:val="superscript"/>
                <w:lang w:val="en-GB"/>
              </w:rPr>
            </w:pPr>
            <w:r w:rsidRPr="00100BF5">
              <w:rPr>
                <w:sz w:val="16"/>
                <w:lang w:val="en-GB"/>
              </w:rPr>
              <w:t>1 </w:t>
            </w:r>
          </w:p>
        </w:tc>
      </w:tr>
      <w:tr w:rsidR="00A12DCA" w:rsidRPr="00100BF5" w:rsidTr="00E45B5D">
        <w:tblPrEx>
          <w:tblCellMar>
            <w:top w:w="0" w:type="dxa"/>
            <w:bottom w:w="0" w:type="dxa"/>
          </w:tblCellMar>
        </w:tblPrEx>
        <w:trPr>
          <w:trHeight w:val="255"/>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sz w:val="16"/>
                <w:lang w:val="en-GB"/>
              </w:rPr>
            </w:pPr>
            <w:r w:rsidRPr="00100BF5">
              <w:rPr>
                <w:b/>
                <w:sz w:val="16"/>
                <w:lang w:val="en-GB"/>
              </w:rPr>
              <w:t xml:space="preserve">Total wholesale </w:t>
            </w:r>
          </w:p>
        </w:tc>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248,839 </w:t>
            </w:r>
          </w:p>
        </w:tc>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5,223 </w:t>
            </w:r>
          </w:p>
        </w:tc>
        <w:tc>
          <w:tcPr>
            <w:tcW w:w="1155"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243,616 </w:t>
            </w:r>
          </w:p>
        </w:tc>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10,926 </w:t>
            </w:r>
            <w:r w:rsidRPr="00100BF5">
              <w:rPr>
                <w:b/>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4.4 </w:t>
            </w:r>
            <w:r w:rsidRPr="00100BF5">
              <w:rPr>
                <w:b/>
                <w:sz w:val="16"/>
                <w:vertAlign w:val="superscript"/>
                <w:lang w:val="en-GB"/>
              </w:rPr>
              <w:t xml:space="preserve"> </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1,368 </w:t>
            </w:r>
            <w:r w:rsidRPr="00100BF5">
              <w:rPr>
                <w:b/>
                <w:sz w:val="16"/>
                <w:vertAlign w:val="superscript"/>
                <w:lang w:val="en-GB"/>
              </w:rPr>
              <w:t xml:space="preserve"> </w:t>
            </w:r>
          </w:p>
        </w:tc>
        <w:tc>
          <w:tcPr>
            <w:tcW w:w="990"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55 </w:t>
            </w:r>
          </w:p>
        </w:tc>
      </w:tr>
      <w:tr w:rsidR="00A12DCA" w:rsidRPr="00100BF5" w:rsidTr="00E45B5D">
        <w:tblPrEx>
          <w:tblCellMar>
            <w:top w:w="0" w:type="dxa"/>
            <w:bottom w:w="0" w:type="dxa"/>
          </w:tblCellMar>
        </w:tblPrEx>
        <w:trPr>
          <w:trHeight w:hRule="exact" w:val="255"/>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55"/>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Loans and advances at</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489,977 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10,597 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479,380 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21,342 </w:t>
            </w:r>
            <w:r w:rsidRPr="00100BF5">
              <w:rPr>
                <w:b/>
                <w:sz w:val="16"/>
                <w:vertAlign w:val="superscript"/>
                <w:lang w:val="en-GB"/>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4.4 </w:t>
            </w:r>
            <w:r w:rsidRPr="00100BF5">
              <w:rPr>
                <w:b/>
                <w:sz w:val="16"/>
                <w:vertAlign w:val="superscript"/>
                <w:lang w:val="en-GB"/>
              </w:rPr>
              <w:t xml:space="preserve">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3,790 </w:t>
            </w:r>
            <w:r w:rsidRPr="00100BF5">
              <w:rPr>
                <w:b/>
                <w:sz w:val="16"/>
                <w:vertAlign w:val="superscript"/>
                <w:lang w:val="en-GB"/>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77 </w:t>
            </w:r>
          </w:p>
        </w:tc>
      </w:tr>
      <w:tr w:rsidR="00A12DCA" w:rsidRPr="00100BF5" w:rsidTr="00E45B5D">
        <w:tblPrEx>
          <w:tblCellMar>
            <w:top w:w="0" w:type="dxa"/>
            <w:bottom w:w="0" w:type="dxa"/>
          </w:tblCellMar>
        </w:tblPrEx>
        <w:trPr>
          <w:trHeight w:val="255"/>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amortised cost</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hRule="exact" w:val="240"/>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55"/>
        </w:trPr>
        <w:tc>
          <w:tcPr>
            <w:tcW w:w="204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sz w:val="16"/>
                <w:lang w:val="en-GB"/>
              </w:rPr>
              <w:t>Loans and advances held</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23,334 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na</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E45B5D">
            <w:pPr>
              <w:jc w:val="right"/>
              <w:rPr>
                <w:sz w:val="16"/>
                <w:lang w:val="en-GB"/>
              </w:rPr>
            </w:pPr>
            <w:r w:rsidRPr="00100BF5">
              <w:rPr>
                <w:sz w:val="16"/>
                <w:lang w:val="en-GB"/>
              </w:rPr>
              <w:t>23,334 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sz w:val="16"/>
                <w:lang w:val="en-GB"/>
              </w:rPr>
              <w:t>at fair value</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sz w:val="16"/>
                <w:lang w:val="en-GB"/>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r w:rsidR="00A12DCA" w:rsidRPr="00100BF5" w:rsidTr="00E45B5D">
        <w:tblPrEx>
          <w:tblCellMar>
            <w:top w:w="0" w:type="dxa"/>
            <w:bottom w:w="0" w:type="dxa"/>
          </w:tblCellMar>
        </w:tblPrEx>
        <w:trPr>
          <w:trHeight w:val="240"/>
        </w:trPr>
        <w:tc>
          <w:tcPr>
            <w:tcW w:w="204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rPr>
                <w:b/>
                <w:sz w:val="16"/>
                <w:lang w:val="en-GB"/>
              </w:rPr>
            </w:pPr>
            <w:r w:rsidRPr="00100BF5">
              <w:rPr>
                <w:b/>
                <w:sz w:val="16"/>
                <w:lang w:val="en-GB"/>
              </w:rPr>
              <w:t>Total loans and advances</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513,311 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10,597 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45B5D">
            <w:pPr>
              <w:jc w:val="right"/>
              <w:rPr>
                <w:b/>
                <w:sz w:val="16"/>
                <w:lang w:val="en-GB"/>
              </w:rPr>
            </w:pPr>
            <w:r w:rsidRPr="00100BF5">
              <w:rPr>
                <w:b/>
                <w:sz w:val="16"/>
                <w:lang w:val="en-GB"/>
              </w:rPr>
              <w:t>502,714 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lang w:val="en-GB"/>
              </w:rPr>
            </w:pPr>
            <w:r w:rsidRPr="00100BF5">
              <w:rPr>
                <w:b/>
                <w:sz w:val="16"/>
                <w:lang w:val="en-GB"/>
              </w:rPr>
              <w:t xml:space="preserve"> </w:t>
            </w:r>
            <w:r w:rsidRPr="00100BF5">
              <w:rPr>
                <w:b/>
                <w:sz w:val="16"/>
                <w:vertAlign w:val="superscript"/>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r w:rsidRPr="00100BF5">
              <w:rPr>
                <w:b/>
                <w:sz w:val="16"/>
                <w:vertAlign w:val="superscript"/>
                <w:lang w:val="en-GB"/>
              </w:rPr>
              <w:t xml:space="preserve"> </w:t>
            </w:r>
          </w:p>
        </w:tc>
        <w:tc>
          <w:tcPr>
            <w:tcW w:w="990" w:type="dxa"/>
            <w:tcBorders>
              <w:top w:val="nil"/>
              <w:left w:val="nil"/>
              <w:bottom w:val="nil"/>
              <w:right w:val="nil"/>
            </w:tcBorders>
            <w:shd w:val="clear" w:color="auto" w:fill="FFFFFF"/>
            <w:tcMar>
              <w:left w:w="36" w:type="dxa"/>
              <w:right w:w="36" w:type="dxa"/>
            </w:tcMar>
            <w:vAlign w:val="center"/>
          </w:tcPr>
          <w:p w:rsidR="00A12DCA" w:rsidRPr="00100BF5" w:rsidRDefault="00A12DCA" w:rsidP="00E45B5D">
            <w:pPr>
              <w:jc w:val="right"/>
              <w:rPr>
                <w:b/>
                <w:sz w:val="16"/>
                <w:vertAlign w:val="superscript"/>
                <w:lang w:val="en-GB"/>
              </w:rPr>
            </w:pPr>
            <w:r w:rsidRPr="00100BF5">
              <w:rPr>
                <w:b/>
                <w:sz w:val="16"/>
                <w:lang w:val="en-GB"/>
              </w:rPr>
              <w:t xml:space="preserve"> </w:t>
            </w:r>
          </w:p>
        </w:tc>
      </w:tr>
    </w:tbl>
    <w:p w:rsidR="00A12DCA" w:rsidRPr="00100BF5" w:rsidRDefault="00A12DCA">
      <w:pPr>
        <w:rPr>
          <w:lang w:val="en-GB"/>
        </w:rPr>
      </w:pPr>
    </w:p>
    <w:p w:rsidR="00A12DCA" w:rsidRPr="00100BF5" w:rsidRDefault="00A12DCA" w:rsidP="009D2B95">
      <w:pPr>
        <w:pStyle w:val="Level1Bullet-BarcRA03"/>
        <w:rPr>
          <w:lang w:val="en-GB"/>
        </w:rPr>
      </w:pPr>
      <w:r w:rsidRPr="00100BF5">
        <w:rPr>
          <w:lang w:val="en-GB"/>
        </w:rPr>
        <w:t>Gross loans and advances to customers and banks at amortised cost increased 5% principally reflecting an increase in settlement balances</w:t>
      </w:r>
    </w:p>
    <w:p w:rsidR="00A12DCA" w:rsidRPr="00100BF5" w:rsidRDefault="00A12DCA" w:rsidP="009D2B95">
      <w:pPr>
        <w:pStyle w:val="Level1Bullet-BarcRA03"/>
        <w:rPr>
          <w:lang w:val="en-GB"/>
        </w:rPr>
      </w:pPr>
      <w:r w:rsidRPr="00100BF5">
        <w:rPr>
          <w:lang w:val="en-GB"/>
        </w:rPr>
        <w:t xml:space="preserve">This growth, combined with lower impairment charges on loans and advances resulted in a lower annualised loan loss rate of 71bps (2011 Full Year: 77bps) </w:t>
      </w:r>
    </w:p>
    <w:p w:rsidR="00A12DCA" w:rsidRPr="00100BF5" w:rsidRDefault="00A12DCA" w:rsidP="009D2B95">
      <w:pPr>
        <w:pStyle w:val="Level1Bullet-BarcRA03"/>
        <w:rPr>
          <w:lang w:val="en-GB"/>
        </w:rPr>
      </w:pPr>
      <w:r w:rsidRPr="00100BF5">
        <w:rPr>
          <w:lang w:val="en-GB"/>
        </w:rPr>
        <w:t xml:space="preserve">Further detail can be found in the Retail Credit Risk and Wholesale Credit Risk sections on pages </w:t>
      </w:r>
      <w:r w:rsidR="0098086E">
        <w:rPr>
          <w:lang w:val="en-GB"/>
        </w:rPr>
        <w:t>51 to 57</w:t>
      </w:r>
    </w:p>
    <w:p w:rsidR="00A12DCA" w:rsidRPr="00100BF5" w:rsidRDefault="00A12DCA" w:rsidP="00A12DCA">
      <w:pPr>
        <w:pStyle w:val="BodyText-BarcRA291"/>
      </w:pPr>
    </w:p>
    <w:p w:rsidR="00A12DCA" w:rsidRPr="00100BF5" w:rsidRDefault="00A12DCA" w:rsidP="00A12DCA">
      <w:pPr>
        <w:pStyle w:val="BodyText-BarcRA291"/>
      </w:pPr>
    </w:p>
    <w:p w:rsidR="00A12DCA" w:rsidRPr="00100BF5" w:rsidRDefault="00A12DCA" w:rsidP="00A12DCA">
      <w:pPr>
        <w:pStyle w:val="BodyText-BarcRA291"/>
      </w:pPr>
    </w:p>
    <w:p w:rsidR="00A12DCA" w:rsidRPr="00100BF5" w:rsidRDefault="00A12DCA" w:rsidP="00A12DCA">
      <w:pPr>
        <w:pStyle w:val="BodyText-BarcRA291"/>
      </w:pPr>
    </w:p>
    <w:p w:rsidR="00A12DCA" w:rsidRPr="00100BF5" w:rsidRDefault="00A12DCA" w:rsidP="00A12DCA">
      <w:pPr>
        <w:pStyle w:val="BodyText-BarcRA291"/>
      </w:pPr>
    </w:p>
    <w:p w:rsidR="00A12DCA" w:rsidRPr="00100BF5" w:rsidRDefault="00A12DCA" w:rsidP="00A12DCA">
      <w:pPr>
        <w:pStyle w:val="BodyText-BarcRA291"/>
      </w:pPr>
    </w:p>
    <w:p w:rsidR="00A12DCA" w:rsidRPr="00100BF5" w:rsidRDefault="00A12DCA" w:rsidP="00A12DCA">
      <w:pPr>
        <w:pStyle w:val="BodyText-BarcRA291"/>
      </w:pPr>
    </w:p>
    <w:p w:rsidR="00A12DCA" w:rsidRPr="00100BF5" w:rsidRDefault="00A12DCA" w:rsidP="00A12DCA">
      <w:pPr>
        <w:pStyle w:val="BodyText-BarcRA291"/>
      </w:pPr>
    </w:p>
    <w:p w:rsidR="006A49F3" w:rsidRPr="00100BF5" w:rsidRDefault="006A49F3" w:rsidP="006A49F3">
      <w:pPr>
        <w:pStyle w:val="NoteandSourceText-BarcRA6"/>
        <w:numPr>
          <w:ilvl w:val="0"/>
          <w:numId w:val="0"/>
        </w:numPr>
        <w:tabs>
          <w:tab w:val="clear" w:pos="284"/>
        </w:tabs>
        <w:ind w:left="284"/>
        <w:rPr>
          <w:sz w:val="2"/>
          <w:szCs w:val="2"/>
        </w:rPr>
      </w:pPr>
    </w:p>
    <w:p w:rsidR="00AF72CF" w:rsidRPr="00100BF5" w:rsidRDefault="00AF72CF" w:rsidP="006A49F3">
      <w:pPr>
        <w:pStyle w:val="NoteandSourceText-BarcRA6"/>
        <w:numPr>
          <w:ilvl w:val="0"/>
          <w:numId w:val="0"/>
        </w:numPr>
        <w:tabs>
          <w:tab w:val="clear" w:pos="284"/>
        </w:tabs>
        <w:ind w:left="284"/>
        <w:rPr>
          <w:sz w:val="2"/>
          <w:szCs w:val="2"/>
        </w:rPr>
      </w:pPr>
    </w:p>
    <w:p w:rsidR="00AF72CF" w:rsidRPr="00100BF5" w:rsidRDefault="00AF72CF" w:rsidP="006A49F3">
      <w:pPr>
        <w:pStyle w:val="NoteandSourceText-BarcRA6"/>
        <w:numPr>
          <w:ilvl w:val="0"/>
          <w:numId w:val="0"/>
        </w:numPr>
        <w:tabs>
          <w:tab w:val="clear" w:pos="284"/>
        </w:tabs>
        <w:ind w:left="284"/>
        <w:rPr>
          <w:sz w:val="2"/>
          <w:szCs w:val="2"/>
        </w:rPr>
      </w:pPr>
    </w:p>
    <w:p w:rsidR="00AF72CF" w:rsidRPr="00100BF5" w:rsidRDefault="00AF72CF" w:rsidP="006A49F3">
      <w:pPr>
        <w:pStyle w:val="NoteandSourceText-BarcRA6"/>
        <w:numPr>
          <w:ilvl w:val="0"/>
          <w:numId w:val="0"/>
        </w:numPr>
        <w:tabs>
          <w:tab w:val="clear" w:pos="284"/>
        </w:tabs>
        <w:ind w:left="284"/>
        <w:rPr>
          <w:sz w:val="2"/>
          <w:szCs w:val="2"/>
        </w:rPr>
      </w:pPr>
    </w:p>
    <w:p w:rsidR="00AF72CF" w:rsidRPr="00100BF5" w:rsidRDefault="00AF72CF" w:rsidP="006A49F3">
      <w:pPr>
        <w:pStyle w:val="NoteandSourceText-BarcRA6"/>
        <w:numPr>
          <w:ilvl w:val="0"/>
          <w:numId w:val="0"/>
        </w:numPr>
        <w:tabs>
          <w:tab w:val="clear" w:pos="284"/>
        </w:tabs>
        <w:ind w:left="284"/>
        <w:rPr>
          <w:sz w:val="2"/>
          <w:szCs w:val="2"/>
        </w:rPr>
      </w:pPr>
    </w:p>
    <w:p w:rsidR="00AF72CF" w:rsidRPr="00100BF5" w:rsidRDefault="00AF72CF" w:rsidP="006A49F3">
      <w:pPr>
        <w:pStyle w:val="NoteandSourceText-BarcRA6"/>
        <w:numPr>
          <w:ilvl w:val="0"/>
          <w:numId w:val="0"/>
        </w:numPr>
        <w:tabs>
          <w:tab w:val="clear" w:pos="284"/>
        </w:tabs>
        <w:ind w:left="284"/>
        <w:rPr>
          <w:sz w:val="2"/>
          <w:szCs w:val="2"/>
        </w:rPr>
      </w:pPr>
    </w:p>
    <w:p w:rsidR="00A12DCA" w:rsidRPr="00100BF5" w:rsidRDefault="00A12DCA" w:rsidP="00A12DCA">
      <w:pPr>
        <w:pStyle w:val="NoteandSourceText-BarcRA6"/>
        <w:tabs>
          <w:tab w:val="clear" w:pos="284"/>
        </w:tabs>
        <w:ind w:left="284" w:hanging="284"/>
      </w:pPr>
      <w:r w:rsidRPr="00100BF5">
        <w:t xml:space="preserve">Total credit impairment, comprising impairment on loans and advances and charges in respect of undrawn facilities and guarantees, see page </w:t>
      </w:r>
      <w:r w:rsidR="005F1542">
        <w:t>48</w:t>
      </w:r>
      <w:r w:rsidRPr="00100BF5">
        <w:t>.</w:t>
      </w:r>
    </w:p>
    <w:p w:rsidR="00A12DCA" w:rsidRPr="00100BF5" w:rsidRDefault="008C1856" w:rsidP="00A12DCA">
      <w:pPr>
        <w:pStyle w:val="NoteandSourceText-BarcRA6"/>
        <w:tabs>
          <w:tab w:val="clear" w:pos="284"/>
        </w:tabs>
        <w:ind w:left="284" w:hanging="284"/>
      </w:pPr>
      <w:r>
        <w:t>The loan loss rates for 30 June 2012</w:t>
      </w:r>
      <w:r w:rsidR="00A12DCA" w:rsidRPr="00100BF5">
        <w:t xml:space="preserve"> have been calculated on an annualised basis. The loan loss rates for 31</w:t>
      </w:r>
      <w:r>
        <w:t xml:space="preserve"> December 2011</w:t>
      </w:r>
      <w:r w:rsidR="00A12DCA" w:rsidRPr="00100BF5">
        <w:t xml:space="preserve"> have been calculated on the </w:t>
      </w:r>
      <w:r w:rsidR="00FA11E2" w:rsidRPr="00100BF5">
        <w:t xml:space="preserve">twelve </w:t>
      </w:r>
      <w:r>
        <w:t>months ended 31 December 2011</w:t>
      </w:r>
      <w:r w:rsidR="00A12DCA" w:rsidRPr="00100BF5">
        <w:t>.</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t>Credit Risk</w:t>
      </w:r>
    </w:p>
    <w:tbl>
      <w:tblPr>
        <w:tblW w:w="0" w:type="auto"/>
        <w:tblLayout w:type="fixed"/>
        <w:tblLook w:val="0000" w:firstRow="0" w:lastRow="0" w:firstColumn="0" w:lastColumn="0" w:noHBand="0" w:noVBand="0"/>
      </w:tblPr>
      <w:tblGrid>
        <w:gridCol w:w="1815"/>
        <w:gridCol w:w="1125"/>
        <w:gridCol w:w="1125"/>
        <w:gridCol w:w="1125"/>
        <w:gridCol w:w="1125"/>
        <w:gridCol w:w="1125"/>
        <w:gridCol w:w="1125"/>
        <w:gridCol w:w="1125"/>
      </w:tblGrid>
      <w:tr w:rsidR="00A12DCA" w:rsidRPr="00100BF5" w:rsidTr="005F437E">
        <w:tblPrEx>
          <w:tblCellMar>
            <w:top w:w="0" w:type="dxa"/>
            <w:bottom w:w="0" w:type="dxa"/>
          </w:tblCellMar>
        </w:tblPrEx>
        <w:trPr>
          <w:trHeight w:val="238"/>
        </w:trPr>
        <w:tc>
          <w:tcPr>
            <w:tcW w:w="519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rsidP="000C3F6A">
            <w:r w:rsidRPr="00100BF5">
              <w:rPr>
                <w:b/>
                <w:sz w:val="24"/>
              </w:rPr>
              <w:t>Retail Credit Risk</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r>
      <w:tr w:rsidR="00A12DCA" w:rsidRPr="00100BF5" w:rsidTr="006A49F3">
        <w:tblPrEx>
          <w:tblCellMar>
            <w:top w:w="0" w:type="dxa"/>
            <w:bottom w:w="0" w:type="dxa"/>
          </w:tblCellMar>
        </w:tblPrEx>
        <w:trPr>
          <w:trHeight w:hRule="exact" w:val="193"/>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r>
      <w:tr w:rsidR="00A12DCA" w:rsidRPr="00100BF5" w:rsidTr="005F437E">
        <w:tblPrEx>
          <w:tblCellMar>
            <w:top w:w="0" w:type="dxa"/>
            <w:bottom w:w="0" w:type="dxa"/>
          </w:tblCellMar>
        </w:tblPrEx>
        <w:trPr>
          <w:trHeight w:val="240"/>
        </w:trPr>
        <w:tc>
          <w:tcPr>
            <w:tcW w:w="7440" w:type="dxa"/>
            <w:gridSpan w:val="6"/>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vertAlign w:val="superscript"/>
              </w:rPr>
            </w:pPr>
            <w:r w:rsidRPr="00100BF5">
              <w:rPr>
                <w:b/>
                <w:sz w:val="20"/>
              </w:rPr>
              <w:t>Retail Loans and Advances at Amortised Cost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rFonts w:ascii="Barclays Sans" w:eastAsia="Barclays Sans" w:hAnsi="Barclays Sans" w:cs="Barclays Sans"/>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r>
      <w:tr w:rsidR="00A12DCA" w:rsidRPr="00100BF5" w:rsidTr="006A49F3">
        <w:tblPrEx>
          <w:tblCellMar>
            <w:top w:w="0" w:type="dxa"/>
            <w:bottom w:w="0" w:type="dxa"/>
          </w:tblCellMar>
        </w:tblPrEx>
        <w:trPr>
          <w:trHeight w:hRule="exact" w:val="624"/>
        </w:trPr>
        <w:tc>
          <w:tcPr>
            <w:tcW w:w="18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rPr>
            </w:pPr>
            <w:r w:rsidRPr="00100BF5">
              <w:rPr>
                <w:b/>
                <w:sz w:val="16"/>
              </w:rPr>
              <w:t>As at 30.06.12</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Gross L&amp;A</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Impairment Allowance</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L&amp;A Net of Impairment</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Credit Risk Loans</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CRLs % of Gross L&amp;A</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 Impairment Charges</w:t>
            </w:r>
            <w:r w:rsidR="003C7F05" w:rsidRPr="00100BF5">
              <w:rPr>
                <w:b/>
                <w:sz w:val="16"/>
                <w:vertAlign w:val="superscript"/>
              </w:rPr>
              <w:t>3</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 Loss  Rates</w:t>
            </w:r>
            <w:r w:rsidRPr="00100BF5">
              <w:rPr>
                <w:b/>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bps</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UK RBB</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122,284 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1,403 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120,881 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2,713 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2.2 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100 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16 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Europe RBB</w:t>
            </w:r>
            <w:r w:rsidRPr="00100BF5">
              <w:rPr>
                <w:sz w:val="16"/>
                <w:vertAlign w:val="superscript"/>
              </w:rPr>
              <w:t>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42,198 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721 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41,477 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1,833 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4.3 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157 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75 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Africa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25,591 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770 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24,821 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2,087 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8.2 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257 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202 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Barclaycard</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31,908 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1,890 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30,018 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2,321 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7.3 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446 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281 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Corporate Banking</w:t>
            </w:r>
            <w:r w:rsidRPr="00100BF5">
              <w:rPr>
                <w:sz w:val="16"/>
                <w:vertAlign w:val="superscript"/>
              </w:rPr>
              <w:t>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1,207 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145 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1,062 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12.0 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17 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Wealth and Investment Management</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17,715 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92 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17,623 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446 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2.5 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17 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19 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240,903 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5,021 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235,882 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9,545 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4.0 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978 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82 </w:t>
            </w:r>
            <w:r w:rsidRPr="00100BF5">
              <w:rPr>
                <w:b/>
                <w:sz w:val="16"/>
                <w:vertAlign w:val="superscript"/>
              </w:rPr>
              <w:t xml:space="preserve"> </w:t>
            </w:r>
          </w:p>
        </w:tc>
      </w:tr>
      <w:tr w:rsidR="00A12DCA" w:rsidRPr="00100BF5" w:rsidTr="006A49F3">
        <w:tblPrEx>
          <w:tblCellMar>
            <w:top w:w="0" w:type="dxa"/>
            <w:bottom w:w="0" w:type="dxa"/>
          </w:tblCellMar>
        </w:tblPrEx>
        <w:trPr>
          <w:trHeight w:hRule="exact" w:val="193"/>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r>
      <w:tr w:rsidR="00A12DCA" w:rsidRPr="00100BF5">
        <w:tblPrEx>
          <w:tblCellMar>
            <w:top w:w="0" w:type="dxa"/>
            <w:bottom w:w="0" w:type="dxa"/>
          </w:tblCellMar>
        </w:tblPrEx>
        <w:trPr>
          <w:trHeight w:val="255"/>
        </w:trPr>
        <w:tc>
          <w:tcPr>
            <w:tcW w:w="181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As at 31.12.11</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UK RBB</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120,312 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1,623 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118,689 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3,014 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2.5 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491 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41 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Europe RBB</w:t>
            </w:r>
            <w:r w:rsidRPr="00100BF5">
              <w:rPr>
                <w:sz w:val="16"/>
                <w:vertAlign w:val="superscript"/>
              </w:rPr>
              <w:t>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44,488 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684 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43,804 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1,708 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241 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54 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Africa RBB</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26,363 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731 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25,632 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2,362 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9.0 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386 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146 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Barclaycard</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31,738 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2,069 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29,669 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2,821 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8.9 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1,232 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388 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Corporate Banking</w:t>
            </w:r>
            <w:r w:rsidRPr="00100BF5">
              <w:rPr>
                <w:sz w:val="16"/>
                <w:vertAlign w:val="superscript"/>
              </w:rPr>
              <w:t>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1,453 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188 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1,265 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337 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Wealth and Investment Management</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16,784 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79 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16,705 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329 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14 </w:t>
            </w:r>
            <w:r w:rsidRPr="00100BF5">
              <w:rPr>
                <w:sz w:val="16"/>
                <w:vertAlign w:val="superscript"/>
              </w:rPr>
              <w:t xml:space="preserve"> </w:t>
            </w:r>
          </w:p>
        </w:tc>
      </w:tr>
      <w:tr w:rsidR="00A12DCA" w:rsidRPr="00100BF5">
        <w:tblPrEx>
          <w:tblCellMar>
            <w:top w:w="0" w:type="dxa"/>
            <w:bottom w:w="0" w:type="dxa"/>
          </w:tblCellMar>
        </w:tblPrEx>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3C7F05">
            <w:pPr>
              <w:rPr>
                <w:sz w:val="16"/>
                <w:vertAlign w:val="superscript"/>
              </w:rPr>
            </w:pPr>
            <w:r w:rsidRPr="00100BF5">
              <w:rPr>
                <w:b/>
                <w:sz w:val="16"/>
              </w:rPr>
              <w:t>Total</w:t>
            </w:r>
            <w:r w:rsidRPr="00100BF5">
              <w:rPr>
                <w:b/>
                <w:sz w:val="16"/>
                <w:vertAlign w:val="superscript"/>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241,138 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5,374 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235,764 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10,416 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4.3 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2,422 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100 </w:t>
            </w:r>
            <w:r w:rsidRPr="00100BF5">
              <w:rPr>
                <w:b/>
                <w:sz w:val="16"/>
                <w:vertAlign w:val="superscript"/>
              </w:rPr>
              <w:t xml:space="preserve"> </w:t>
            </w:r>
          </w:p>
        </w:tc>
      </w:tr>
    </w:tbl>
    <w:p w:rsidR="00A12DCA" w:rsidRPr="00100BF5" w:rsidRDefault="00A12DCA"/>
    <w:p w:rsidR="00A12DCA" w:rsidRPr="00100BF5" w:rsidRDefault="00A12DCA" w:rsidP="009D2B95">
      <w:pPr>
        <w:pStyle w:val="Level1Bullet-BarcRA03"/>
      </w:pPr>
      <w:r w:rsidRPr="00100BF5">
        <w:t xml:space="preserve">Overall, gross loans and advances to customers in the retail portfolios remained broadly stable during the first half of 2012 reflecting movements in: </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UK RBB, where a 2% increase primarily reflected growth in home loan balances</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 xml:space="preserve">Europe RBB, where a 5% decrease was mainly due to the depreciation in the value of the Euro against Sterling and a strategy to reduce the net funding </w:t>
      </w:r>
      <w:r w:rsidR="00CF29F5" w:rsidRPr="00100BF5">
        <w:rPr>
          <w:lang w:val="en-GB"/>
        </w:rPr>
        <w:t>mismatches</w:t>
      </w:r>
      <w:r w:rsidRPr="00100BF5">
        <w:rPr>
          <w:lang w:val="en-GB"/>
        </w:rPr>
        <w:t xml:space="preserve"> to the higher risk Eurozone countries</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Wealth and Investment Management</w:t>
      </w:r>
      <w:r w:rsidR="003C7F05" w:rsidRPr="00100BF5">
        <w:rPr>
          <w:lang w:val="en-GB"/>
        </w:rPr>
        <w:t>, where a 6</w:t>
      </w:r>
      <w:r w:rsidRPr="00100BF5">
        <w:rPr>
          <w:lang w:val="en-GB"/>
        </w:rPr>
        <w:t>% increase mainly reflected growth in collateralised lending to High Net Worth individuals</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Balances in Barclaycard and Africa RBB remained broadly flat</w:t>
      </w:r>
    </w:p>
    <w:p w:rsidR="00A12DCA" w:rsidRPr="00100BF5" w:rsidRDefault="00A12DCA" w:rsidP="009D2B95">
      <w:pPr>
        <w:pStyle w:val="Level1Bullet-BarcRA03"/>
        <w:rPr>
          <w:lang w:val="en-GB"/>
        </w:rPr>
      </w:pPr>
      <w:r w:rsidRPr="00100BF5">
        <w:rPr>
          <w:lang w:val="en-GB"/>
        </w:rPr>
        <w:t xml:space="preserve">The loan impairment charge improved </w:t>
      </w:r>
      <w:r w:rsidR="00882E4A">
        <w:rPr>
          <w:lang w:val="en-GB"/>
        </w:rPr>
        <w:t xml:space="preserve">22% to £978m compared with H1 </w:t>
      </w:r>
      <w:r w:rsidRPr="00100BF5">
        <w:rPr>
          <w:lang w:val="en-GB"/>
        </w:rPr>
        <w:t>11, mainly as a result of lower charges across UK RBB and Barclaycard businesses with the principal drivers being:</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 xml:space="preserve">UK RBB, </w:t>
      </w:r>
      <w:r w:rsidR="001A1BB5" w:rsidRPr="00100BF5">
        <w:rPr>
          <w:lang w:val="en-GB"/>
        </w:rPr>
        <w:t>primarily due to an improvement in recoveries in Consumer Lending, a one time benefit from refunds of payment protection insurance that increased recoveries in Consumer Lending, and a release of a provision booked in a prior period in home loans for backlogs in litigation, which have now been resolved</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 xml:space="preserve">Barclaycard, principally reflecting improved delinquency rates in consumer cards </w:t>
      </w:r>
    </w:p>
    <w:p w:rsidR="00A12DCA" w:rsidRPr="00100BF5" w:rsidRDefault="00A12DCA" w:rsidP="006A49F3">
      <w:pPr>
        <w:pStyle w:val="Level2Bullet-BarcRA8"/>
        <w:numPr>
          <w:ilvl w:val="0"/>
          <w:numId w:val="0"/>
        </w:numPr>
        <w:spacing w:before="140" w:after="140"/>
        <w:ind w:left="284"/>
      </w:pPr>
      <w:r w:rsidRPr="00100BF5">
        <w:rPr>
          <w:lang w:val="en-GB"/>
        </w:rPr>
        <w:t>This was partially offset by higher charges in:</w:t>
      </w:r>
    </w:p>
    <w:p w:rsidR="002461E7" w:rsidRPr="00100BF5" w:rsidRDefault="008D7F32" w:rsidP="009D2B95">
      <w:pPr>
        <w:pStyle w:val="Level2Bullet-BarcRA2"/>
        <w:numPr>
          <w:ilvl w:val="2"/>
          <w:numId w:val="9"/>
        </w:numPr>
        <w:tabs>
          <w:tab w:val="num" w:pos="567"/>
        </w:tabs>
        <w:ind w:left="567" w:hanging="283"/>
        <w:rPr>
          <w:lang w:val="en-GB"/>
        </w:rPr>
      </w:pPr>
      <w:r w:rsidRPr="00100BF5">
        <w:rPr>
          <w:lang w:val="en-GB"/>
        </w:rPr>
        <w:t>Europe RBB where c</w:t>
      </w:r>
      <w:r w:rsidR="002461E7" w:rsidRPr="00100BF5">
        <w:rPr>
          <w:lang w:val="en-GB"/>
        </w:rPr>
        <w:t>redit impairment charges increased 35% to £157m reflecting deterioration in credit performance in Spain and Portugal as economic</w:t>
      </w:r>
      <w:r w:rsidR="00D74F19">
        <w:rPr>
          <w:lang w:val="en-GB"/>
        </w:rPr>
        <w:t xml:space="preserve"> conditions continued to worsen</w:t>
      </w:r>
    </w:p>
    <w:p w:rsidR="00A12DCA" w:rsidRPr="00100BF5" w:rsidRDefault="00A12DCA" w:rsidP="009D2B95">
      <w:pPr>
        <w:pStyle w:val="Level2Bullet-BarcRA2"/>
        <w:numPr>
          <w:ilvl w:val="2"/>
          <w:numId w:val="9"/>
        </w:numPr>
        <w:tabs>
          <w:tab w:val="num" w:pos="567"/>
        </w:tabs>
        <w:ind w:left="567" w:hanging="283"/>
        <w:rPr>
          <w:lang w:val="en-GB"/>
        </w:rPr>
      </w:pPr>
      <w:r w:rsidRPr="00100BF5">
        <w:rPr>
          <w:lang w:val="en-GB"/>
        </w:rPr>
        <w:t>Africa RBB, where a 17% increase principally resulted from higher impairment charges in the South African home loan recoveries book. Increased focus on reducing the r</w:t>
      </w:r>
      <w:r w:rsidR="00882E4A">
        <w:rPr>
          <w:lang w:val="en-GB"/>
        </w:rPr>
        <w:t xml:space="preserve">ecoveries portfolio during H1 </w:t>
      </w:r>
      <w:r w:rsidRPr="00100BF5">
        <w:rPr>
          <w:lang w:val="en-GB"/>
        </w:rPr>
        <w:t>12 resulted in higher write-offs. Coverage was also increased to account for the lower recoverability of insolvencies, which take longer to foreclose and have a higher cost of foreclosure</w:t>
      </w:r>
    </w:p>
    <w:p w:rsidR="00A12DCA" w:rsidRPr="00100BF5" w:rsidRDefault="00A12DCA" w:rsidP="00E94A8E">
      <w:pPr>
        <w:pStyle w:val="Level1Bullet-BarcRA03"/>
        <w:spacing w:after="120"/>
        <w:rPr>
          <w:lang w:val="en-GB"/>
        </w:rPr>
      </w:pPr>
      <w:r w:rsidRPr="00100BF5">
        <w:rPr>
          <w:lang w:val="en-GB"/>
        </w:rPr>
        <w:t>Lower overall impairment charges coupled with stable loan balances led to a fall in the annualised loan loss rate to 82bps (FY 11: 100bps)</w:t>
      </w:r>
    </w:p>
    <w:p w:rsidR="00A12DCA" w:rsidRPr="00100BF5" w:rsidRDefault="00A12DCA" w:rsidP="00A12DCA">
      <w:pPr>
        <w:pStyle w:val="NoteSourceText-BarcRA3"/>
        <w:ind w:left="0" w:firstLine="0"/>
      </w:pPr>
      <w:r w:rsidRPr="00100BF5">
        <w:t>1</w:t>
      </w:r>
      <w:r w:rsidRPr="00100BF5">
        <w:tab/>
        <w:t>Europe RBB includes loans and advances to business customers at amortised cost.</w:t>
      </w:r>
    </w:p>
    <w:p w:rsidR="00A12DCA" w:rsidRPr="00100BF5" w:rsidRDefault="00A12DCA" w:rsidP="00A12DCA">
      <w:pPr>
        <w:pStyle w:val="NoteSourceText-BarcRA3"/>
      </w:pPr>
      <w:r w:rsidRPr="00100BF5">
        <w:t>2</w:t>
      </w:r>
      <w:r w:rsidRPr="00100BF5">
        <w:tab/>
        <w:t>Corporate Banking primarily includes retail portfolios in India and UAE.</w:t>
      </w:r>
    </w:p>
    <w:p w:rsidR="00A12DCA" w:rsidRPr="00100BF5" w:rsidRDefault="00A12DCA" w:rsidP="00A12DCA">
      <w:pPr>
        <w:pStyle w:val="NoteSourceText-BarcRA3"/>
      </w:pPr>
      <w:r w:rsidRPr="00100BF5">
        <w:t>3      Loan impairment charge as at December 20</w:t>
      </w:r>
      <w:r w:rsidR="003C7F05" w:rsidRPr="00100BF5">
        <w:t>1</w:t>
      </w:r>
      <w:r w:rsidRPr="00100BF5">
        <w:t>1 is the charge incurred over the period of 12 months.</w:t>
      </w:r>
    </w:p>
    <w:p w:rsidR="00A12DCA" w:rsidRPr="00100BF5" w:rsidRDefault="00A12DCA" w:rsidP="005F437E">
      <w:pPr>
        <w:pStyle w:val="HeadingLevel1-BarcRA"/>
      </w:pPr>
      <w:r w:rsidRPr="00100BF5">
        <w:br w:type="page"/>
      </w:r>
      <w:r w:rsidR="005F437E">
        <w:t>Credit Risk</w:t>
      </w:r>
      <w:r w:rsidRPr="00100BF5">
        <w:t xml:space="preserve"> </w:t>
      </w:r>
    </w:p>
    <w:tbl>
      <w:tblPr>
        <w:tblW w:w="0" w:type="auto"/>
        <w:tblLayout w:type="fixed"/>
        <w:tblLook w:val="0000" w:firstRow="0" w:lastRow="0" w:firstColumn="0" w:lastColumn="0" w:noHBand="0" w:noVBand="0"/>
      </w:tblPr>
      <w:tblGrid>
        <w:gridCol w:w="1800"/>
        <w:gridCol w:w="1575"/>
        <w:gridCol w:w="1575"/>
        <w:gridCol w:w="1575"/>
        <w:gridCol w:w="1575"/>
        <w:gridCol w:w="1575"/>
      </w:tblGrid>
      <w:tr w:rsidR="00A12DCA" w:rsidRPr="00100BF5" w:rsidTr="00AB70EA">
        <w:tblPrEx>
          <w:tblCellMar>
            <w:top w:w="0" w:type="dxa"/>
            <w:bottom w:w="0" w:type="dxa"/>
          </w:tblCellMar>
        </w:tblPrEx>
        <w:trPr>
          <w:trHeight w:val="300"/>
        </w:trPr>
        <w:tc>
          <w:tcPr>
            <w:tcW w:w="1800" w:type="dxa"/>
            <w:gridSpan w:val="5"/>
            <w:tcBorders>
              <w:top w:val="nil"/>
              <w:left w:val="nil"/>
              <w:bottom w:val="nil"/>
              <w:right w:val="nil"/>
            </w:tcBorders>
            <w:shd w:val="clear" w:color="auto" w:fill="FFFFFF"/>
            <w:tcMar>
              <w:left w:w="36" w:type="dxa"/>
              <w:right w:w="36" w:type="dxa"/>
            </w:tcMar>
            <w:vAlign w:val="center"/>
          </w:tcPr>
          <w:p w:rsidR="00A12DCA" w:rsidRPr="00100BF5" w:rsidRDefault="00A12DCA" w:rsidP="000C3F6A">
            <w:r w:rsidRPr="00100BF5">
              <w:rPr>
                <w:b/>
                <w:sz w:val="20"/>
              </w:rPr>
              <w:t xml:space="preserve">Analysis of Retail Gross Loans &amp; Advances to Customers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sz w:val="16"/>
              </w:rPr>
              <w:t xml:space="preserve"> </w:t>
            </w:r>
          </w:p>
        </w:tc>
      </w:tr>
      <w:tr w:rsidR="00A12DCA" w:rsidRPr="00100BF5">
        <w:tblPrEx>
          <w:tblCellMar>
            <w:top w:w="0" w:type="dxa"/>
            <w:bottom w:w="0" w:type="dxa"/>
          </w:tblCellMar>
        </w:tblPrEx>
        <w:trPr>
          <w:trHeight w:hRule="exact" w:val="255"/>
        </w:trPr>
        <w:tc>
          <w:tcPr>
            <w:tcW w:w="18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rsidTr="006A49F3">
        <w:tblPrEx>
          <w:tblCellMar>
            <w:top w:w="0" w:type="dxa"/>
            <w:bottom w:w="0" w:type="dxa"/>
          </w:tblCellMar>
        </w:tblPrEx>
        <w:trPr>
          <w:trHeight w:val="680"/>
        </w:trPr>
        <w:tc>
          <w:tcPr>
            <w:tcW w:w="18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b/>
                <w:sz w:val="16"/>
              </w:rPr>
              <w:t>As at 30.06.12</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Secured Home Loans</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Credit Cards,</w:t>
            </w:r>
          </w:p>
          <w:p w:rsidR="00A12DCA" w:rsidRPr="00100BF5" w:rsidRDefault="00A12DCA">
            <w:pPr>
              <w:jc w:val="right"/>
              <w:rPr>
                <w:b/>
                <w:sz w:val="16"/>
              </w:rPr>
            </w:pPr>
            <w:r w:rsidRPr="00100BF5">
              <w:rPr>
                <w:b/>
                <w:sz w:val="16"/>
              </w:rPr>
              <w:t>Overdrafts and</w:t>
            </w:r>
          </w:p>
          <w:p w:rsidR="00A12DCA" w:rsidRPr="00100BF5" w:rsidRDefault="00A12DCA">
            <w:pPr>
              <w:jc w:val="right"/>
              <w:rPr>
                <w:b/>
                <w:sz w:val="16"/>
              </w:rPr>
            </w:pPr>
            <w:r w:rsidRPr="00100BF5">
              <w:rPr>
                <w:b/>
                <w:sz w:val="16"/>
              </w:rPr>
              <w:t>Unsecured Loans</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Other Secured Retail</w:t>
            </w:r>
          </w:p>
          <w:p w:rsidR="00A12DCA" w:rsidRPr="00100BF5" w:rsidRDefault="00A12DCA">
            <w:pPr>
              <w:jc w:val="right"/>
              <w:rPr>
                <w:b/>
                <w:sz w:val="16"/>
              </w:rPr>
            </w:pPr>
            <w:r w:rsidRPr="00100BF5">
              <w:rPr>
                <w:b/>
                <w:sz w:val="16"/>
              </w:rPr>
              <w:t>Lending</w:t>
            </w:r>
            <w:r w:rsidRPr="00100BF5">
              <w:rPr>
                <w:b/>
                <w:sz w:val="16"/>
                <w:vertAlign w:val="superscript"/>
              </w:rPr>
              <w:t>1 </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Business Lending</w:t>
            </w:r>
          </w:p>
        </w:tc>
        <w:tc>
          <w:tcPr>
            <w:tcW w:w="157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 Retail</w:t>
            </w:r>
          </w:p>
        </w:tc>
      </w:tr>
      <w:tr w:rsidR="00A12DCA" w:rsidRPr="00100BF5" w:rsidTr="00AB70EA">
        <w:tblPrEx>
          <w:tblCellMar>
            <w:top w:w="0" w:type="dxa"/>
            <w:bottom w:w="0" w:type="dxa"/>
          </w:tblCellMar>
        </w:tblPrEx>
        <w:trPr>
          <w:trHeight w:val="240"/>
        </w:trPr>
        <w:tc>
          <w:tcPr>
            <w:tcW w:w="18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sz w:val="16"/>
              </w:rPr>
              <w:t>£m</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£m</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£m</w:t>
            </w:r>
            <w:r w:rsidRPr="00100BF5">
              <w:rPr>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£m</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£m</w:t>
            </w:r>
          </w:p>
        </w:tc>
      </w:tr>
      <w:tr w:rsidR="00A12DCA" w:rsidRPr="00100BF5" w:rsidTr="001573DF">
        <w:tblPrEx>
          <w:tblCellMar>
            <w:top w:w="0" w:type="dxa"/>
            <w:bottom w:w="0" w:type="dxa"/>
          </w:tblCellMar>
        </w:tblPrEx>
        <w:trPr>
          <w:trHeight w:val="240"/>
        </w:trPr>
        <w:tc>
          <w:tcPr>
            <w:tcW w:w="18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UK RBB</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110,004 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7,054 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 </w:t>
            </w:r>
            <w:r w:rsidRPr="00100BF5">
              <w:rPr>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5,226 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122,284 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Europe RBB</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35,227 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4,663 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2,308 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42,198 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Africa RBB</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18,938 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2,671 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3,244 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738 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25,591 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Barclaycard</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28,956 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2,952 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31,908 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Corporate Banking</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377 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555 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259 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16 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1,207 </w:t>
            </w:r>
          </w:p>
        </w:tc>
      </w:tr>
      <w:tr w:rsidR="00A12DCA" w:rsidRPr="00100BF5" w:rsidTr="001573DF">
        <w:tblPrEx>
          <w:tblCellMar>
            <w:top w:w="0" w:type="dxa"/>
            <w:bottom w:w="0" w:type="dxa"/>
          </w:tblCellMar>
        </w:tblPrEx>
        <w:trPr>
          <w:trHeight w:val="240"/>
        </w:trPr>
        <w:tc>
          <w:tcPr>
            <w:tcW w:w="18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Wealth and Investment Management</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7,554 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1,794 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8,367 </w:t>
            </w:r>
            <w:r w:rsidRPr="00100BF5">
              <w:rPr>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 </w:t>
            </w:r>
          </w:p>
        </w:tc>
        <w:tc>
          <w:tcPr>
            <w:tcW w:w="157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17,715 </w:t>
            </w:r>
          </w:p>
        </w:tc>
      </w:tr>
      <w:tr w:rsidR="00A12DCA" w:rsidRPr="00100BF5" w:rsidTr="001573DF">
        <w:tblPrEx>
          <w:tblCellMar>
            <w:top w:w="0" w:type="dxa"/>
            <w:bottom w:w="0" w:type="dxa"/>
          </w:tblCellMar>
        </w:tblPrEx>
        <w:trPr>
          <w:trHeight w:val="240"/>
        </w:trPr>
        <w:tc>
          <w:tcPr>
            <w:tcW w:w="18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b/>
                <w:sz w:val="16"/>
              </w:rPr>
              <w:t>Total</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rPr>
            </w:pPr>
            <w:r w:rsidRPr="00100BF5">
              <w:rPr>
                <w:b/>
                <w:sz w:val="16"/>
              </w:rPr>
              <w:t xml:space="preserve"> 172,100 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rPr>
            </w:pPr>
            <w:r w:rsidRPr="00100BF5">
              <w:rPr>
                <w:b/>
                <w:sz w:val="16"/>
              </w:rPr>
              <w:t xml:space="preserve"> 45,693 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rPr>
            </w:pPr>
            <w:r w:rsidRPr="00100BF5">
              <w:rPr>
                <w:b/>
                <w:sz w:val="16"/>
              </w:rPr>
              <w:t xml:space="preserve"> 14,822 </w:t>
            </w:r>
            <w:r w:rsidRPr="00100BF5">
              <w:rPr>
                <w:b/>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vertAlign w:val="superscript"/>
              </w:rPr>
            </w:pPr>
            <w:r w:rsidRPr="00100BF5">
              <w:rPr>
                <w:b/>
                <w:sz w:val="16"/>
              </w:rPr>
              <w:t xml:space="preserve"> 8,288 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573DF">
            <w:pPr>
              <w:jc w:val="right"/>
              <w:rPr>
                <w:b/>
                <w:sz w:val="16"/>
              </w:rPr>
            </w:pPr>
            <w:r w:rsidRPr="00100BF5">
              <w:rPr>
                <w:b/>
                <w:sz w:val="16"/>
              </w:rPr>
              <w:t>240,903 </w:t>
            </w:r>
          </w:p>
        </w:tc>
      </w:tr>
      <w:tr w:rsidR="00A12DCA" w:rsidRPr="00100BF5" w:rsidTr="00AB70EA">
        <w:tblPrEx>
          <w:tblCellMar>
            <w:top w:w="0" w:type="dxa"/>
            <w:bottom w:w="0" w:type="dxa"/>
          </w:tblCellMar>
        </w:tblPrEx>
        <w:trPr>
          <w:trHeight w:hRule="exac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b/>
                <w:sz w:val="16"/>
              </w:rPr>
            </w:pPr>
            <w:r w:rsidRPr="00100BF5">
              <w:rPr>
                <w:b/>
                <w:sz w:val="16"/>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r w:rsidRPr="00100BF5">
              <w:rPr>
                <w:b/>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vertAlign w:val="superscript"/>
              </w:rPr>
            </w:pPr>
            <w:r w:rsidRPr="00100BF5">
              <w:rPr>
                <w:b/>
                <w:sz w:val="16"/>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p>
        </w:tc>
      </w:tr>
      <w:tr w:rsidR="00A12DCA" w:rsidRPr="00100BF5" w:rsidTr="00AB70EA">
        <w:tblPrEx>
          <w:tblCellMar>
            <w:top w:w="0" w:type="dxa"/>
            <w:bottom w:w="0" w:type="dxa"/>
          </w:tblCellMar>
        </w:tblPrEx>
        <w:trPr>
          <w:trHeight w:val="240"/>
        </w:trPr>
        <w:tc>
          <w:tcPr>
            <w:tcW w:w="18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rPr>
                <w:b/>
                <w:sz w:val="16"/>
              </w:rPr>
            </w:pPr>
            <w:r w:rsidRPr="00100BF5">
              <w:rPr>
                <w:b/>
                <w:sz w:val="16"/>
              </w:rPr>
              <w:t>As at 31.12.11</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sz w:val="16"/>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r w:rsidRPr="00100BF5">
              <w:rPr>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r>
      <w:tr w:rsidR="00A12DCA" w:rsidRPr="00100BF5" w:rsidTr="001573DF">
        <w:tblPrEx>
          <w:tblCellMar>
            <w:top w:w="0" w:type="dxa"/>
            <w:bottom w:w="0" w:type="dxa"/>
          </w:tblCellMar>
        </w:tblPrEx>
        <w:trPr>
          <w:trHeight w:val="240"/>
        </w:trPr>
        <w:tc>
          <w:tcPr>
            <w:tcW w:w="18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UK RBB</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107,775 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7,351 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 </w:t>
            </w:r>
            <w:r w:rsidRPr="00100BF5">
              <w:rPr>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5,186 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120,312 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Europe RBB</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37,099 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4,994 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2,395 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44,488 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Africa RBB</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19,691 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2,715 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3,405 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552 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26,363 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Barclaycard</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28,557 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3,181 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31,738 </w:t>
            </w:r>
          </w:p>
        </w:tc>
      </w:tr>
      <w:tr w:rsidR="00A12DCA" w:rsidRPr="00100BF5" w:rsidTr="001573DF">
        <w:tblPrEx>
          <w:tblCellMar>
            <w:top w:w="0" w:type="dxa"/>
            <w:bottom w:w="0" w:type="dxa"/>
          </w:tblCellMar>
        </w:tblPrEx>
        <w:trPr>
          <w:trHeight w:val="240"/>
        </w:trPr>
        <w:tc>
          <w:tcPr>
            <w:tcW w:w="1800"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Corporate Banking</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421 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728 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284 </w:t>
            </w:r>
            <w:r w:rsidRPr="00100BF5">
              <w:rPr>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20 </w:t>
            </w:r>
          </w:p>
        </w:tc>
        <w:tc>
          <w:tcPr>
            <w:tcW w:w="1575" w:type="dxa"/>
            <w:tcBorders>
              <w:top w:val="nil"/>
              <w:left w:val="nil"/>
              <w:bottom w:val="nil"/>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1,453 </w:t>
            </w:r>
          </w:p>
        </w:tc>
      </w:tr>
      <w:tr w:rsidR="00A12DCA" w:rsidRPr="00100BF5" w:rsidTr="001573DF">
        <w:tblPrEx>
          <w:tblCellMar>
            <w:top w:w="0" w:type="dxa"/>
            <w:bottom w:w="0" w:type="dxa"/>
          </w:tblCellMar>
        </w:tblPrEx>
        <w:trPr>
          <w:trHeight w:val="240"/>
        </w:trPr>
        <w:tc>
          <w:tcPr>
            <w:tcW w:w="18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rPr>
                <w:sz w:val="16"/>
              </w:rPr>
            </w:pPr>
            <w:r w:rsidRPr="00100BF5">
              <w:rPr>
                <w:sz w:val="16"/>
              </w:rPr>
              <w:t>Wealth and Investment Management</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7,120 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1,860 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rPr>
            </w:pPr>
            <w:r w:rsidRPr="00100BF5">
              <w:rPr>
                <w:sz w:val="16"/>
              </w:rPr>
              <w:t xml:space="preserve"> 7,804 </w:t>
            </w:r>
            <w:r w:rsidRPr="00100BF5">
              <w:rPr>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1573DF">
            <w:pPr>
              <w:jc w:val="right"/>
              <w:rPr>
                <w:sz w:val="16"/>
                <w:vertAlign w:val="superscript"/>
              </w:rPr>
            </w:pPr>
            <w:r w:rsidRPr="00100BF5">
              <w:rPr>
                <w:sz w:val="16"/>
              </w:rPr>
              <w:t xml:space="preserve"> - </w:t>
            </w:r>
          </w:p>
        </w:tc>
        <w:tc>
          <w:tcPr>
            <w:tcW w:w="157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1573DF">
            <w:pPr>
              <w:jc w:val="right"/>
              <w:rPr>
                <w:sz w:val="16"/>
              </w:rPr>
            </w:pPr>
            <w:r w:rsidRPr="00100BF5">
              <w:rPr>
                <w:sz w:val="16"/>
              </w:rPr>
              <w:t>16,784 </w:t>
            </w:r>
          </w:p>
        </w:tc>
      </w:tr>
      <w:tr w:rsidR="00A12DCA" w:rsidRPr="00100BF5" w:rsidTr="001573DF">
        <w:tblPrEx>
          <w:tblCellMar>
            <w:top w:w="0" w:type="dxa"/>
            <w:bottom w:w="0" w:type="dxa"/>
          </w:tblCellMar>
        </w:tblPrEx>
        <w:trPr>
          <w:trHeight w:val="240"/>
        </w:trPr>
        <w:tc>
          <w:tcPr>
            <w:tcW w:w="18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rPr>
                <w:sz w:val="16"/>
              </w:rPr>
            </w:pPr>
            <w:r w:rsidRPr="00100BF5">
              <w:rPr>
                <w:b/>
                <w:sz w:val="16"/>
              </w:rPr>
              <w:t>Total</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rPr>
            </w:pPr>
            <w:r w:rsidRPr="00100BF5">
              <w:rPr>
                <w:b/>
                <w:sz w:val="16"/>
              </w:rPr>
              <w:t xml:space="preserve"> 172,106 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rPr>
            </w:pPr>
            <w:r w:rsidRPr="00100BF5">
              <w:rPr>
                <w:b/>
                <w:sz w:val="16"/>
              </w:rPr>
              <w:t xml:space="preserve"> 46,205 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rPr>
            </w:pPr>
            <w:r w:rsidRPr="00100BF5">
              <w:rPr>
                <w:b/>
                <w:sz w:val="16"/>
              </w:rPr>
              <w:t xml:space="preserve"> 14,674 </w:t>
            </w:r>
            <w:r w:rsidRPr="00100BF5">
              <w:rPr>
                <w:b/>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1573DF">
            <w:pPr>
              <w:jc w:val="right"/>
              <w:rPr>
                <w:b/>
                <w:sz w:val="16"/>
                <w:vertAlign w:val="superscript"/>
              </w:rPr>
            </w:pPr>
            <w:r w:rsidRPr="00100BF5">
              <w:rPr>
                <w:b/>
                <w:sz w:val="16"/>
              </w:rPr>
              <w:t xml:space="preserve"> 8,153 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1573DF">
            <w:pPr>
              <w:jc w:val="right"/>
              <w:rPr>
                <w:b/>
                <w:sz w:val="16"/>
              </w:rPr>
            </w:pPr>
            <w:r w:rsidRPr="00100BF5">
              <w:rPr>
                <w:b/>
                <w:sz w:val="16"/>
              </w:rPr>
              <w:t>241,138 </w:t>
            </w:r>
          </w:p>
        </w:tc>
      </w:tr>
    </w:tbl>
    <w:p w:rsidR="00A12DCA" w:rsidRPr="00100BF5" w:rsidRDefault="00A12DCA"/>
    <w:p w:rsidR="00A12DCA" w:rsidRPr="00100BF5" w:rsidRDefault="00A12DCA" w:rsidP="00217B6A">
      <w:pPr>
        <w:pStyle w:val="Level1Bullet-BarcRA03"/>
        <w:rPr>
          <w:lang w:val="en-GB"/>
        </w:rPr>
      </w:pPr>
      <w:r w:rsidRPr="00100BF5">
        <w:rPr>
          <w:lang w:val="en-GB"/>
        </w:rPr>
        <w:t xml:space="preserve">Secured home loans and credit cards, overdrafts and unsecured loans are analysed on pages </w:t>
      </w:r>
      <w:r w:rsidR="0079534F">
        <w:rPr>
          <w:lang w:val="en-GB"/>
        </w:rPr>
        <w:t>52</w:t>
      </w:r>
      <w:r w:rsidRPr="00100BF5">
        <w:rPr>
          <w:lang w:val="en-GB"/>
        </w:rPr>
        <w:t xml:space="preserve"> and </w:t>
      </w:r>
      <w:r w:rsidR="0079534F">
        <w:rPr>
          <w:lang w:val="en-GB"/>
        </w:rPr>
        <w:t>54</w:t>
      </w:r>
      <w:r w:rsidRPr="00100BF5">
        <w:rPr>
          <w:lang w:val="en-GB"/>
        </w:rPr>
        <w:t xml:space="preserve">, respectively </w:t>
      </w:r>
    </w:p>
    <w:p w:rsidR="00A12DCA" w:rsidRPr="00100BF5" w:rsidRDefault="00A12DCA" w:rsidP="00A12DCA">
      <w:pPr>
        <w:pStyle w:val="HeadingLevel2-BarcRA12"/>
        <w:rPr>
          <w:color w:val="auto"/>
        </w:rPr>
      </w:pPr>
      <w:r w:rsidRPr="00100BF5">
        <w:rPr>
          <w:color w:val="auto"/>
          <w:lang w:val="en-GB"/>
        </w:rPr>
        <w:t xml:space="preserve">Secured </w:t>
      </w:r>
      <w:r w:rsidRPr="00100BF5">
        <w:rPr>
          <w:color w:val="auto"/>
        </w:rPr>
        <w:t>Home Loans</w:t>
      </w:r>
    </w:p>
    <w:p w:rsidR="00A12DCA" w:rsidRPr="00100BF5" w:rsidRDefault="001A77E4" w:rsidP="00217B6A">
      <w:pPr>
        <w:pStyle w:val="Level1Bullet-BarcRA03"/>
      </w:pPr>
      <w:r w:rsidRPr="00100BF5">
        <w:t>The principal home l</w:t>
      </w:r>
      <w:r w:rsidR="00A12DCA" w:rsidRPr="00100BF5">
        <w:t>oan portfolios listed below account for 93% (December 2011: 93%)</w:t>
      </w:r>
      <w:r w:rsidRPr="00100BF5">
        <w:t xml:space="preserve"> of total home l</w:t>
      </w:r>
      <w:r w:rsidR="00A12DCA" w:rsidRPr="00100BF5">
        <w:t xml:space="preserve">oans in the Group’s retail portfolios </w:t>
      </w:r>
    </w:p>
    <w:p w:rsidR="00A12DCA" w:rsidRPr="00100BF5" w:rsidRDefault="001A77E4" w:rsidP="00217B6A">
      <w:pPr>
        <w:pStyle w:val="Level1Bullet-BarcRA03"/>
      </w:pPr>
      <w:r w:rsidRPr="00100BF5">
        <w:t>Total home l</w:t>
      </w:r>
      <w:r w:rsidR="00A12DCA" w:rsidRPr="00100BF5">
        <w:t>oans to retail customers remained stable</w:t>
      </w:r>
      <w:r w:rsidR="009C5A7D" w:rsidRPr="009C5A7D">
        <w:rPr>
          <w:lang w:val="en-GB"/>
        </w:rPr>
        <w:t>.</w:t>
      </w:r>
      <w:r w:rsidR="009C5A7D">
        <w:rPr>
          <w:lang w:val="en-GB"/>
        </w:rPr>
        <w:t xml:space="preserve"> </w:t>
      </w:r>
      <w:r w:rsidR="00A12DCA" w:rsidRPr="00100BF5">
        <w:t>New lending was also stable to meet customer demand whilst maintaining a broadly stable risk appetite</w:t>
      </w:r>
    </w:p>
    <w:p w:rsidR="00A12DCA" w:rsidRPr="00100BF5" w:rsidRDefault="00A12DCA" w:rsidP="00217B6A">
      <w:pPr>
        <w:pStyle w:val="Level1Bullet-BarcRA03"/>
      </w:pPr>
      <w:r w:rsidRPr="00100BF5">
        <w:t xml:space="preserve">Home </w:t>
      </w:r>
      <w:r w:rsidR="001A77E4" w:rsidRPr="00100BF5">
        <w:t>l</w:t>
      </w:r>
      <w:r w:rsidRPr="00100BF5">
        <w:t>oans as a proportion of retail gross loans and advances remained broadly unchanged at 71%</w:t>
      </w:r>
    </w:p>
    <w:p w:rsidR="00A12DCA" w:rsidRPr="00100BF5" w:rsidRDefault="00A12DCA"/>
    <w:tbl>
      <w:tblPr>
        <w:tblW w:w="0" w:type="auto"/>
        <w:tblLayout w:type="fixed"/>
        <w:tblLook w:val="0000" w:firstRow="0" w:lastRow="0" w:firstColumn="0" w:lastColumn="0" w:noHBand="0" w:noVBand="0"/>
      </w:tblPr>
      <w:tblGrid>
        <w:gridCol w:w="1200"/>
        <w:gridCol w:w="1695"/>
        <w:gridCol w:w="1695"/>
        <w:gridCol w:w="1695"/>
        <w:gridCol w:w="1695"/>
        <w:gridCol w:w="1695"/>
      </w:tblGrid>
      <w:tr w:rsidR="00A12DCA" w:rsidRPr="00100BF5" w:rsidTr="00AB70EA">
        <w:tblPrEx>
          <w:tblCellMar>
            <w:top w:w="0" w:type="dxa"/>
            <w:bottom w:w="0" w:type="dxa"/>
          </w:tblCellMar>
        </w:tblPrEx>
        <w:trPr>
          <w:trHeight w:val="240"/>
        </w:trPr>
        <w:tc>
          <w:tcPr>
            <w:tcW w:w="120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AB70EA">
            <w:r w:rsidRPr="00100BF5">
              <w:rPr>
                <w:b/>
                <w:sz w:val="18"/>
              </w:rPr>
              <w:t>Home Loans Principal Portfolios</w:t>
            </w:r>
            <w:r w:rsidRPr="00100BF5">
              <w:rPr>
                <w:b/>
                <w:sz w:val="16"/>
                <w:vertAlign w:val="superscript"/>
              </w:rPr>
              <w:t>2 </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sz w:val="16"/>
              </w:rPr>
              <w:t xml:space="preserve"> </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720"/>
        </w:trPr>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b/>
                <w:sz w:val="16"/>
              </w:rPr>
              <w:t>As at 30.06.12</w:t>
            </w:r>
            <w:r w:rsidRPr="00100BF5">
              <w:rPr>
                <w:b/>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Gross Loans and Advances</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&gt; 90 Day</w:t>
            </w:r>
          </w:p>
          <w:p w:rsidR="00A12DCA" w:rsidRPr="00100BF5" w:rsidRDefault="00A12DCA">
            <w:pPr>
              <w:jc w:val="right"/>
              <w:rPr>
                <w:b/>
                <w:sz w:val="16"/>
              </w:rPr>
            </w:pPr>
            <w:r w:rsidRPr="00100BF5">
              <w:rPr>
                <w:b/>
                <w:sz w:val="16"/>
              </w:rPr>
              <w:t>Arrears</w:t>
            </w:r>
            <w:r w:rsidRPr="00100BF5">
              <w:rPr>
                <w:b/>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Gross</w:t>
            </w:r>
          </w:p>
          <w:p w:rsidR="00A12DCA" w:rsidRPr="00100BF5" w:rsidRDefault="00A12DCA">
            <w:pPr>
              <w:jc w:val="right"/>
              <w:rPr>
                <w:b/>
                <w:sz w:val="16"/>
              </w:rPr>
            </w:pPr>
            <w:r w:rsidRPr="00100BF5">
              <w:rPr>
                <w:b/>
                <w:sz w:val="16"/>
              </w:rPr>
              <w:t xml:space="preserve">Charge-off </w:t>
            </w:r>
          </w:p>
          <w:p w:rsidR="00A12DCA" w:rsidRPr="00100BF5" w:rsidRDefault="00A12DCA">
            <w:pPr>
              <w:jc w:val="right"/>
              <w:rPr>
                <w:b/>
                <w:sz w:val="16"/>
              </w:rPr>
            </w:pPr>
            <w:r w:rsidRPr="00100BF5">
              <w:rPr>
                <w:b/>
                <w:sz w:val="16"/>
              </w:rPr>
              <w:t>Rates</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Recoveries </w:t>
            </w:r>
          </w:p>
          <w:p w:rsidR="00A12DCA" w:rsidRPr="00100BF5" w:rsidRDefault="00A12DCA">
            <w:pPr>
              <w:jc w:val="right"/>
              <w:rPr>
                <w:b/>
                <w:sz w:val="16"/>
              </w:rPr>
            </w:pPr>
            <w:r w:rsidRPr="00100BF5">
              <w:rPr>
                <w:b/>
                <w:sz w:val="16"/>
              </w:rPr>
              <w:t xml:space="preserve">Proportion of </w:t>
            </w:r>
          </w:p>
          <w:p w:rsidR="00A12DCA" w:rsidRPr="00100BF5" w:rsidRDefault="00A12DCA">
            <w:pPr>
              <w:jc w:val="right"/>
              <w:rPr>
                <w:b/>
                <w:sz w:val="16"/>
              </w:rPr>
            </w:pPr>
            <w:r w:rsidRPr="00100BF5">
              <w:rPr>
                <w:b/>
                <w:sz w:val="16"/>
              </w:rPr>
              <w:t>Outstanding Balances</w:t>
            </w:r>
          </w:p>
        </w:tc>
        <w:tc>
          <w:tcPr>
            <w:tcW w:w="16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Recoveries</w:t>
            </w:r>
          </w:p>
          <w:p w:rsidR="00A12DCA" w:rsidRPr="00100BF5" w:rsidRDefault="00A12DCA">
            <w:pPr>
              <w:jc w:val="right"/>
              <w:rPr>
                <w:b/>
                <w:sz w:val="16"/>
              </w:rPr>
            </w:pPr>
            <w:r w:rsidRPr="00100BF5">
              <w:rPr>
                <w:b/>
                <w:sz w:val="16"/>
              </w:rPr>
              <w:t>Impairment</w:t>
            </w:r>
          </w:p>
          <w:p w:rsidR="00A12DCA" w:rsidRPr="00100BF5" w:rsidRDefault="00A12DCA">
            <w:pPr>
              <w:jc w:val="right"/>
              <w:rPr>
                <w:b/>
                <w:sz w:val="16"/>
              </w:rPr>
            </w:pPr>
            <w:r w:rsidRPr="00100BF5">
              <w:rPr>
                <w:b/>
                <w:sz w:val="16"/>
              </w:rPr>
              <w:t>Coverage Ratio</w:t>
            </w:r>
            <w:r w:rsidRPr="00100BF5">
              <w:rPr>
                <w:b/>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vertAlign w:val="superscript"/>
              </w:rPr>
            </w:pPr>
            <w:r w:rsidRPr="00100BF5">
              <w:rPr>
                <w:sz w:val="16"/>
              </w:rPr>
              <w:t>£m</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r w:rsidRPr="00100BF5">
              <w:rPr>
                <w:sz w:val="16"/>
                <w:vertAlign w:val="superscript"/>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UK</w:t>
            </w:r>
            <w:r w:rsidRPr="00100BF5">
              <w:rPr>
                <w:sz w:val="16"/>
                <w:vertAlign w:val="superscript"/>
              </w:rPr>
              <w:t xml:space="preserve">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110,004 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0.3 </w:t>
            </w:r>
            <w:r w:rsidRPr="00100BF5">
              <w:rPr>
                <w:sz w:val="16"/>
                <w:vertAlign w:val="superscript"/>
              </w:rPr>
              <w:t xml:space="preserve">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0.5 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0.5 </w:t>
            </w:r>
          </w:p>
        </w:tc>
        <w:tc>
          <w:tcPr>
            <w:tcW w:w="169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14.2 </w:t>
            </w:r>
            <w:r w:rsidRPr="00100BF5">
              <w:rPr>
                <w:b/>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South Africa</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16,752 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2.8 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3.2 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6.7 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28.9 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Spain</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13,886 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0.7 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1.0 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1.7 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28.7 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Italy</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15,450 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1.0 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0.7 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1.6 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27.5 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Portugal</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3,747 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0.6 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1.4 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2.4 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23.0 </w:t>
            </w:r>
            <w:r w:rsidRPr="00100BF5">
              <w:rPr>
                <w:sz w:val="16"/>
                <w:vertAlign w:val="superscript"/>
              </w:rPr>
              <w:t xml:space="preserve"> </w:t>
            </w:r>
          </w:p>
        </w:tc>
      </w:tr>
      <w:tr w:rsidR="00A12DCA" w:rsidRPr="00100BF5" w:rsidTr="00AB70EA">
        <w:tblPrEx>
          <w:tblCellMar>
            <w:top w:w="0" w:type="dxa"/>
            <w:bottom w:w="0" w:type="dxa"/>
          </w:tblCellMar>
        </w:tblPrEx>
        <w:trPr>
          <w:trHeight w:hRule="exac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As at 31.12.11</w:t>
            </w:r>
            <w:r w:rsidRPr="00100BF5">
              <w:rPr>
                <w:b/>
                <w:sz w:val="16"/>
                <w:vertAlign w:val="superscript"/>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vertAlign w:val="superscript"/>
              </w:rPr>
            </w:pPr>
            <w:r w:rsidRPr="00100BF5">
              <w:rPr>
                <w:b/>
                <w:sz w:val="16"/>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r w:rsidRPr="00100BF5">
              <w:rPr>
                <w:b/>
                <w:sz w:val="16"/>
                <w:vertAlign w:val="superscript"/>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vertAlign w:val="superscript"/>
              </w:rPr>
            </w:pPr>
            <w:r w:rsidRPr="00100BF5">
              <w:rPr>
                <w:b/>
                <w:sz w:val="16"/>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p>
        </w:tc>
        <w:tc>
          <w:tcPr>
            <w:tcW w:w="16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r w:rsidRPr="00100BF5">
              <w:rPr>
                <w:b/>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UK</w:t>
            </w:r>
            <w:r w:rsidRPr="00100BF5">
              <w:rPr>
                <w:sz w:val="16"/>
                <w:vertAlign w:val="superscript"/>
              </w:rPr>
              <w:t xml:space="preserve">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107,775 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0.3 </w:t>
            </w:r>
            <w:r w:rsidRPr="00100BF5">
              <w:rPr>
                <w:sz w:val="16"/>
                <w:vertAlign w:val="superscript"/>
              </w:rPr>
              <w:t xml:space="preserve">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0.6 </w:t>
            </w:r>
          </w:p>
        </w:tc>
        <w:tc>
          <w:tcPr>
            <w:tcW w:w="16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0.6 </w:t>
            </w:r>
          </w:p>
        </w:tc>
        <w:tc>
          <w:tcPr>
            <w:tcW w:w="169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15.3 </w:t>
            </w:r>
            <w:r w:rsidRPr="00100BF5">
              <w:rPr>
                <w:b/>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South Africa</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17,585 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3.2 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3.7 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6.9 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19.4 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Spain</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14,918 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0.5 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0.6 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1.6 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32.5 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Italy</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15,935 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1.0 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0.5 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1.3 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29.3 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Portugal</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3,891 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0.6 </w:t>
            </w:r>
            <w:r w:rsidRPr="00100BF5">
              <w:rPr>
                <w:sz w:val="16"/>
                <w:vertAlign w:val="superscript"/>
              </w:rPr>
              <w:t xml:space="preserve">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1.1 </w:t>
            </w:r>
          </w:p>
        </w:tc>
        <w:tc>
          <w:tcPr>
            <w:tcW w:w="169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2.0 </w:t>
            </w:r>
          </w:p>
        </w:tc>
        <w:tc>
          <w:tcPr>
            <w:tcW w:w="1695"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15.0 </w:t>
            </w:r>
            <w:r w:rsidRPr="00100BF5">
              <w:rPr>
                <w:sz w:val="16"/>
                <w:vertAlign w:val="superscript"/>
              </w:rPr>
              <w:t xml:space="preserve"> </w:t>
            </w:r>
          </w:p>
        </w:tc>
      </w:tr>
    </w:tbl>
    <w:p w:rsidR="00A12DCA" w:rsidRPr="00100BF5" w:rsidRDefault="00A12DCA"/>
    <w:p w:rsidR="00A12DCA" w:rsidRPr="00100BF5" w:rsidRDefault="00A12DCA"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Default="00AF72CF" w:rsidP="00A12DCA">
      <w:pPr>
        <w:pStyle w:val="Normal49"/>
        <w:rPr>
          <w:sz w:val="2"/>
          <w:szCs w:val="2"/>
        </w:rPr>
      </w:pPr>
    </w:p>
    <w:p w:rsidR="009C5A7D" w:rsidRDefault="009C5A7D" w:rsidP="00A12DCA">
      <w:pPr>
        <w:pStyle w:val="Normal49"/>
        <w:rPr>
          <w:sz w:val="2"/>
          <w:szCs w:val="2"/>
        </w:rPr>
      </w:pPr>
    </w:p>
    <w:p w:rsidR="009C5A7D" w:rsidRDefault="009C5A7D" w:rsidP="00A12DCA">
      <w:pPr>
        <w:pStyle w:val="Normal49"/>
        <w:rPr>
          <w:sz w:val="2"/>
          <w:szCs w:val="2"/>
        </w:rPr>
      </w:pPr>
    </w:p>
    <w:p w:rsidR="009C5A7D" w:rsidRDefault="009C5A7D" w:rsidP="00A12DCA">
      <w:pPr>
        <w:pStyle w:val="Normal49"/>
        <w:rPr>
          <w:sz w:val="2"/>
          <w:szCs w:val="2"/>
        </w:rPr>
      </w:pPr>
    </w:p>
    <w:p w:rsidR="009C5A7D" w:rsidRDefault="009C5A7D" w:rsidP="00A12DCA">
      <w:pPr>
        <w:pStyle w:val="Normal49"/>
        <w:rPr>
          <w:sz w:val="2"/>
          <w:szCs w:val="2"/>
        </w:rPr>
      </w:pPr>
    </w:p>
    <w:p w:rsidR="009C5A7D" w:rsidRDefault="009C5A7D" w:rsidP="00A12DCA">
      <w:pPr>
        <w:pStyle w:val="Normal49"/>
        <w:rPr>
          <w:sz w:val="2"/>
          <w:szCs w:val="2"/>
        </w:rPr>
      </w:pPr>
    </w:p>
    <w:p w:rsidR="009C5A7D" w:rsidRDefault="009C5A7D" w:rsidP="00A12DCA">
      <w:pPr>
        <w:pStyle w:val="Normal49"/>
        <w:rPr>
          <w:sz w:val="2"/>
          <w:szCs w:val="2"/>
        </w:rPr>
      </w:pPr>
    </w:p>
    <w:p w:rsidR="009C5A7D" w:rsidRPr="00100BF5" w:rsidRDefault="009C5A7D"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F72CF" w:rsidRPr="00100BF5" w:rsidRDefault="00AF72CF" w:rsidP="00A12DCA">
      <w:pPr>
        <w:pStyle w:val="Normal49"/>
        <w:rPr>
          <w:sz w:val="2"/>
          <w:szCs w:val="2"/>
        </w:rPr>
      </w:pPr>
    </w:p>
    <w:p w:rsidR="00A12DCA" w:rsidRPr="00100BF5" w:rsidRDefault="00A12DCA" w:rsidP="00A12DCA">
      <w:pPr>
        <w:pStyle w:val="NoteandSourceText-BarcRA7"/>
        <w:ind w:left="284" w:hanging="284"/>
      </w:pPr>
      <w:r w:rsidRPr="00100BF5">
        <w:t>Other Secured Retail Lending includes Absa Vehicle and Auto Finance in Africa RBB, FirstPlus in Barclaycard and I</w:t>
      </w:r>
      <w:r w:rsidR="009C5A7D">
        <w:t>nvestment Leverage portfolio in</w:t>
      </w:r>
      <w:r w:rsidRPr="00100BF5">
        <w:t xml:space="preserve"> Wealth and Investment Management.</w:t>
      </w:r>
    </w:p>
    <w:p w:rsidR="00A12DCA" w:rsidRPr="00100BF5" w:rsidRDefault="00A12DCA" w:rsidP="00A12DCA">
      <w:pPr>
        <w:pStyle w:val="NoteSourceText-BarcRA9"/>
      </w:pPr>
      <w:r w:rsidRPr="00100BF5">
        <w:t>2</w:t>
      </w:r>
      <w:r w:rsidRPr="00100BF5">
        <w:tab/>
        <w:t xml:space="preserve">Excluded from </w:t>
      </w:r>
      <w:r w:rsidR="001A77E4" w:rsidRPr="00100BF5">
        <w:t>the above analysis are: Wealth h</w:t>
      </w:r>
      <w:r w:rsidRPr="00100BF5">
        <w:t xml:space="preserve">ome </w:t>
      </w:r>
      <w:r w:rsidR="001A77E4" w:rsidRPr="00100BF5">
        <w:t>l</w:t>
      </w:r>
      <w:r w:rsidRPr="00100BF5">
        <w:t>oans, which are managed on an individual c</w:t>
      </w:r>
      <w:r w:rsidR="001A77E4" w:rsidRPr="00100BF5">
        <w:t>ustomer exposure basis, France h</w:t>
      </w:r>
      <w:r w:rsidRPr="00100BF5">
        <w:t xml:space="preserve">ome </w:t>
      </w:r>
      <w:r w:rsidR="001A77E4" w:rsidRPr="00100BF5">
        <w:t>l</w:t>
      </w:r>
      <w:r w:rsidRPr="00100BF5">
        <w:t xml:space="preserve">oans and other small </w:t>
      </w:r>
      <w:r w:rsidR="001A77E4" w:rsidRPr="00100BF5">
        <w:t>h</w:t>
      </w:r>
      <w:r w:rsidRPr="00100BF5">
        <w:t xml:space="preserve">ome </w:t>
      </w:r>
      <w:r w:rsidR="001A77E4" w:rsidRPr="00100BF5">
        <w:t>l</w:t>
      </w:r>
      <w:r w:rsidRPr="00100BF5">
        <w:t>oans portfolios.</w:t>
      </w:r>
    </w:p>
    <w:p w:rsidR="005F437E" w:rsidRDefault="00A12DCA" w:rsidP="005F437E">
      <w:pPr>
        <w:pStyle w:val="HeadingLevel1-BarcRA"/>
      </w:pPr>
      <w:r w:rsidRPr="00100BF5">
        <w:br w:type="page"/>
      </w:r>
      <w:r w:rsidR="005F437E">
        <w:t>Credit Risk</w:t>
      </w:r>
    </w:p>
    <w:p w:rsidR="00A12DCA" w:rsidRPr="00100BF5" w:rsidRDefault="00A12DCA" w:rsidP="000C3F6A">
      <w:pPr>
        <w:pStyle w:val="Level1Bullet-BarcRA03"/>
        <w:spacing w:before="0"/>
        <w:rPr>
          <w:lang w:val="en-GB"/>
        </w:rPr>
      </w:pPr>
      <w:r w:rsidRPr="00100BF5">
        <w:rPr>
          <w:lang w:val="en-GB"/>
        </w:rPr>
        <w:t>Arrears rates remained steady in the UK as targeted balance growth and better customer affordability continued to be supported by the low base rate environment</w:t>
      </w:r>
    </w:p>
    <w:p w:rsidR="00A12DCA" w:rsidRPr="00100BF5" w:rsidRDefault="00A12DCA" w:rsidP="00217B6A">
      <w:pPr>
        <w:pStyle w:val="Level1Bullet-BarcRA03"/>
        <w:rPr>
          <w:lang w:val="en-GB"/>
        </w:rPr>
      </w:pPr>
      <w:r w:rsidRPr="00100BF5">
        <w:rPr>
          <w:lang w:val="en-GB"/>
        </w:rPr>
        <w:t>Arrears rates and gross cha</w:t>
      </w:r>
      <w:r w:rsidR="001A77E4" w:rsidRPr="00100BF5">
        <w:rPr>
          <w:lang w:val="en-GB"/>
        </w:rPr>
        <w:t>rge-off rates for South Africa home l</w:t>
      </w:r>
      <w:r w:rsidRPr="00100BF5">
        <w:rPr>
          <w:lang w:val="en-GB"/>
        </w:rPr>
        <w:t>oans decreased reflecting improvements in portfolio performance. However, increased focus on reducing the recoveries portfolio during H1 12 resulted in higher write-offs. Coverage was also increased to account for the lower recoverability of insolvencies, which take longer to foreclose and ha</w:t>
      </w:r>
      <w:r w:rsidR="000F3AC9" w:rsidRPr="00100BF5">
        <w:rPr>
          <w:lang w:val="en-GB"/>
        </w:rPr>
        <w:t>ve a higher cost of foreclosure</w:t>
      </w:r>
      <w:r w:rsidRPr="00100BF5">
        <w:rPr>
          <w:lang w:val="en-GB"/>
        </w:rPr>
        <w:t xml:space="preserve"> </w:t>
      </w:r>
    </w:p>
    <w:p w:rsidR="00A12DCA" w:rsidRPr="00100BF5" w:rsidRDefault="00CF29F5" w:rsidP="00217B6A">
      <w:pPr>
        <w:pStyle w:val="Level1Bullet-BarcRA03"/>
        <w:rPr>
          <w:lang w:val="en-GB"/>
        </w:rPr>
      </w:pPr>
      <w:r w:rsidRPr="00100BF5">
        <w:rPr>
          <w:lang w:val="en-GB"/>
        </w:rPr>
        <w:t xml:space="preserve">Credit performance of </w:t>
      </w:r>
      <w:r w:rsidR="003C7F05" w:rsidRPr="00100BF5">
        <w:rPr>
          <w:lang w:val="en-GB"/>
        </w:rPr>
        <w:t>home loans</w:t>
      </w:r>
      <w:r w:rsidR="00A12DCA" w:rsidRPr="00100BF5">
        <w:rPr>
          <w:lang w:val="en-GB"/>
        </w:rPr>
        <w:t xml:space="preserve"> in Europe continued to worsen as economic conditions</w:t>
      </w:r>
      <w:r w:rsidRPr="00100BF5">
        <w:rPr>
          <w:lang w:val="en-GB"/>
        </w:rPr>
        <w:t xml:space="preserve"> deteriorated further</w:t>
      </w:r>
      <w:r w:rsidR="002461E7" w:rsidRPr="00100BF5">
        <w:rPr>
          <w:lang w:val="en-GB"/>
        </w:rPr>
        <w:t>. In Spain Home Loans, the recoveries impairment coverage ratio decreased partly due to completion of a higher number of foreclosures in process. The overall impairment allowance for the whole book increased by 8% with overall coverage increasing from 63bps to 73bps since December 2011</w:t>
      </w:r>
    </w:p>
    <w:p w:rsidR="00A12DCA" w:rsidRPr="00100BF5" w:rsidRDefault="00A12DCA"/>
    <w:tbl>
      <w:tblPr>
        <w:tblW w:w="0" w:type="auto"/>
        <w:tblLayout w:type="fixed"/>
        <w:tblLook w:val="0000" w:firstRow="0" w:lastRow="0" w:firstColumn="0" w:lastColumn="0" w:noHBand="0" w:noVBand="0"/>
      </w:tblPr>
      <w:tblGrid>
        <w:gridCol w:w="1875"/>
        <w:gridCol w:w="750"/>
        <w:gridCol w:w="750"/>
        <w:gridCol w:w="750"/>
        <w:gridCol w:w="750"/>
        <w:gridCol w:w="300"/>
        <w:gridCol w:w="750"/>
        <w:gridCol w:w="750"/>
        <w:gridCol w:w="750"/>
        <w:gridCol w:w="750"/>
        <w:gridCol w:w="750"/>
        <w:gridCol w:w="750"/>
      </w:tblGrid>
      <w:tr w:rsidR="00A12DCA" w:rsidRPr="00100BF5" w:rsidTr="001573DF">
        <w:tblPrEx>
          <w:tblCellMar>
            <w:top w:w="0" w:type="dxa"/>
            <w:bottom w:w="0" w:type="dxa"/>
          </w:tblCellMar>
        </w:tblPrEx>
        <w:trPr>
          <w:trHeight w:val="270"/>
        </w:trPr>
        <w:tc>
          <w:tcPr>
            <w:tcW w:w="9675" w:type="dxa"/>
            <w:gridSpan w:val="12"/>
            <w:tcBorders>
              <w:top w:val="nil"/>
              <w:left w:val="nil"/>
              <w:bottom w:val="nil"/>
              <w:right w:val="nil"/>
            </w:tcBorders>
            <w:shd w:val="clear" w:color="auto" w:fill="FFFFFF"/>
            <w:tcMar>
              <w:left w:w="36" w:type="dxa"/>
              <w:right w:w="36" w:type="dxa"/>
            </w:tcMar>
            <w:vAlign w:val="center"/>
          </w:tcPr>
          <w:p w:rsidR="00A12DCA" w:rsidRPr="00100BF5" w:rsidRDefault="00A12DCA" w:rsidP="00AB70EA">
            <w:r w:rsidRPr="00100BF5">
              <w:rPr>
                <w:b/>
                <w:sz w:val="18"/>
              </w:rPr>
              <w:t>Home Loans - Distribution of Balances by LTV (Updated Valuations)</w:t>
            </w:r>
            <w:r w:rsidRPr="00100BF5">
              <w:rPr>
                <w:b/>
                <w:sz w:val="18"/>
                <w:vertAlign w:val="superscript"/>
              </w:rPr>
              <w:t>1 </w:t>
            </w:r>
          </w:p>
        </w:tc>
      </w:tr>
      <w:tr w:rsidR="00A12DCA" w:rsidRPr="00100BF5">
        <w:tblPrEx>
          <w:tblCellMar>
            <w:top w:w="0" w:type="dxa"/>
            <w:bottom w:w="0" w:type="dxa"/>
          </w:tblCellMar>
        </w:tblPrEx>
        <w:trPr>
          <w:trHeight w:hRule="exact" w:val="270"/>
        </w:trPr>
        <w:tc>
          <w:tcPr>
            <w:tcW w:w="187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vertAlign w:val="superscript"/>
              </w:rPr>
            </w:pPr>
            <w:r w:rsidRPr="00100BF5">
              <w:rPr>
                <w:b/>
                <w:sz w:val="18"/>
              </w:rPr>
              <w:t xml:space="preserve"> </w:t>
            </w:r>
            <w:r w:rsidRPr="00100BF5">
              <w:rPr>
                <w:b/>
                <w:sz w:val="18"/>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vertAlign w:val="superscript"/>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30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r w:rsidRPr="00100BF5">
              <w:rPr>
                <w:b/>
                <w:sz w:val="18"/>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vertAlign w:val="superscript"/>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rPr>
            </w:pPr>
            <w:r w:rsidRPr="00100BF5">
              <w:rPr>
                <w:b/>
                <w:sz w:val="18"/>
              </w:rPr>
              <w:t xml:space="preserve"> </w:t>
            </w:r>
            <w:r w:rsidRPr="00100BF5">
              <w:rPr>
                <w:b/>
                <w:sz w:val="18"/>
                <w:vertAlign w:val="superscript"/>
              </w:rPr>
              <w:t xml:space="preserve"> </w:t>
            </w:r>
          </w:p>
        </w:tc>
      </w:tr>
      <w:tr w:rsidR="00A12DCA" w:rsidRPr="00100BF5" w:rsidTr="001573DF">
        <w:tblPrEx>
          <w:tblCellMar>
            <w:top w:w="0" w:type="dxa"/>
            <w:bottom w:w="0" w:type="dxa"/>
          </w:tblCellMar>
        </w:tblPrEx>
        <w:trPr>
          <w:trHeight w:val="255"/>
        </w:trPr>
        <w:tc>
          <w:tcPr>
            <w:tcW w:w="187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8"/>
                <w:vertAlign w:val="superscript"/>
              </w:rPr>
            </w:pPr>
            <w:r w:rsidRPr="00100BF5">
              <w:rPr>
                <w:b/>
                <w:sz w:val="16"/>
              </w:rPr>
              <w:t xml:space="preserve"> </w:t>
            </w:r>
            <w:r w:rsidRPr="00100BF5">
              <w:rPr>
                <w:b/>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center"/>
              <w:rPr>
                <w:b/>
                <w:sz w:val="16"/>
                <w:vertAlign w:val="superscript"/>
              </w:rPr>
            </w:pPr>
            <w:r w:rsidRPr="00100BF5">
              <w:rPr>
                <w:b/>
                <w:sz w:val="16"/>
              </w:rPr>
              <w:t>UK</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center"/>
              <w:rPr>
                <w:b/>
                <w:sz w:val="16"/>
              </w:rPr>
            </w:pPr>
            <w:r w:rsidRPr="00100BF5">
              <w:rPr>
                <w:b/>
                <w:sz w:val="16"/>
              </w:rPr>
              <w:t>South Africa</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center"/>
              <w:rPr>
                <w:b/>
                <w:sz w:val="16"/>
              </w:rPr>
            </w:pP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center"/>
              <w:rPr>
                <w:b/>
                <w:sz w:val="16"/>
              </w:rPr>
            </w:pPr>
            <w:r w:rsidRPr="00100BF5">
              <w:rPr>
                <w:b/>
                <w:sz w:val="16"/>
              </w:rPr>
              <w:t>Spain</w:t>
            </w:r>
            <w:r w:rsidRPr="00100BF5">
              <w:rPr>
                <w:b/>
                <w:sz w:val="16"/>
                <w:vertAlign w:val="superscript"/>
              </w:rPr>
              <w:t>2</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center"/>
              <w:rPr>
                <w:b/>
                <w:sz w:val="16"/>
                <w:vertAlign w:val="superscript"/>
              </w:rPr>
            </w:pPr>
            <w:r w:rsidRPr="00100BF5">
              <w:rPr>
                <w:b/>
                <w:sz w:val="16"/>
              </w:rPr>
              <w:t>Italy</w:t>
            </w:r>
          </w:p>
        </w:tc>
        <w:tc>
          <w:tcPr>
            <w:tcW w:w="150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center"/>
              <w:rPr>
                <w:b/>
                <w:sz w:val="16"/>
              </w:rPr>
            </w:pPr>
            <w:r w:rsidRPr="00100BF5">
              <w:rPr>
                <w:b/>
                <w:sz w:val="16"/>
              </w:rPr>
              <w:t>Portugal</w:t>
            </w:r>
            <w:r w:rsidRPr="00100BF5">
              <w:rPr>
                <w:b/>
                <w:sz w:val="16"/>
                <w:vertAlign w:val="superscript"/>
              </w:rPr>
              <w:t>2</w:t>
            </w:r>
          </w:p>
        </w:tc>
      </w:tr>
      <w:tr w:rsidR="00A12DCA" w:rsidRPr="00100BF5" w:rsidTr="00AB70EA">
        <w:tblPrEx>
          <w:tblCellMar>
            <w:top w:w="0" w:type="dxa"/>
            <w:bottom w:w="0" w:type="dxa"/>
          </w:tblCellMar>
        </w:tblPrEx>
        <w:trPr>
          <w:trHeight w:val="255"/>
        </w:trPr>
        <w:tc>
          <w:tcPr>
            <w:tcW w:w="187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vertAlign w:val="superscript"/>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31.12.11</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31.12.11</w:t>
            </w:r>
            <w:r w:rsidRPr="00100BF5">
              <w:rPr>
                <w:b/>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vertAlign w:val="superscript"/>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31.12.11</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30.06.12</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b/>
                <w:sz w:val="16"/>
              </w:rPr>
            </w:pPr>
            <w:r w:rsidRPr="00100BF5">
              <w:rPr>
                <w:b/>
                <w:sz w:val="16"/>
              </w:rPr>
              <w:t>31.12.11</w:t>
            </w:r>
            <w:r w:rsidRPr="00100BF5">
              <w:rPr>
                <w:b/>
                <w:sz w:val="16"/>
                <w:vertAlign w:val="superscript"/>
              </w:rPr>
              <w:t xml:space="preserve"> </w:t>
            </w:r>
          </w:p>
        </w:tc>
      </w:tr>
      <w:tr w:rsidR="00A12DCA" w:rsidRPr="00100BF5" w:rsidTr="001573DF">
        <w:tblPrEx>
          <w:tblCellMar>
            <w:top w:w="0" w:type="dxa"/>
            <w:bottom w:w="0" w:type="dxa"/>
          </w:tblCellMar>
        </w:tblPrEx>
        <w:trPr>
          <w:trHeight w:val="240"/>
        </w:trPr>
        <w:tc>
          <w:tcPr>
            <w:tcW w:w="187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3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w:t>
            </w:r>
            <w:r w:rsidRPr="00100BF5">
              <w:rPr>
                <w:sz w:val="16"/>
                <w:vertAlign w:val="superscript"/>
              </w:rPr>
              <w:t xml:space="preserve"> </w:t>
            </w:r>
          </w:p>
        </w:tc>
      </w:tr>
      <w:tr w:rsidR="00A12DCA" w:rsidRPr="00100BF5" w:rsidTr="001573DF">
        <w:tblPrEx>
          <w:tblCellMar>
            <w:top w:w="0" w:type="dxa"/>
            <w:bottom w:w="0" w:type="dxa"/>
          </w:tblCellMar>
        </w:tblPrEx>
        <w:trPr>
          <w:trHeight w:val="240"/>
        </w:trPr>
        <w:tc>
          <w:tcPr>
            <w:tcW w:w="18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&lt;=75%</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78.3 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77.6 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60.3 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58.8 </w:t>
            </w:r>
          </w:p>
        </w:tc>
        <w:tc>
          <w:tcPr>
            <w:tcW w:w="3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67.7 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72.1 </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73.1 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70.7 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44.1 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49.0 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&gt;75% and &lt;=80%</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7.8 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7.5 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8.8 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8.7 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6.6 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17.3 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16.8 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8.8 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11.4 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&gt;80% and &lt;=85%</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5.2 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5.3 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8.3 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8.3 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5.7 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7.7 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10.2 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12.4 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13.7 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&gt;85% and &lt;=90%</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3.2 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3.6 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7.2 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5.0 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4.0 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1.1 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1.3 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11.6 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9.4 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&gt;90% and &lt;=95%</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2.2 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2.4 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4.7 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5.3 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3.6 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2.6 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0.4 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0.5 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8.7 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8.8 </w:t>
            </w:r>
            <w:r w:rsidRPr="00100BF5">
              <w:rPr>
                <w:sz w:val="16"/>
                <w:vertAlign w:val="superscript"/>
              </w:rPr>
              <w:t xml:space="preserve"> </w:t>
            </w:r>
          </w:p>
        </w:tc>
      </w:tr>
      <w:tr w:rsidR="00A12DCA" w:rsidRPr="00100BF5" w:rsidTr="00AB70EA">
        <w:tblPrEx>
          <w:tblCellMar>
            <w:top w:w="0" w:type="dxa"/>
            <w:bottom w:w="0" w:type="dxa"/>
          </w:tblCellMar>
        </w:tblPrEx>
        <w:trPr>
          <w:trHeight w:val="240"/>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&gt;95%</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3.4 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3.6 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10.9 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11.7 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11.1 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9.0 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0.5 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0.5 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14.4 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7.7 </w:t>
            </w:r>
            <w:r w:rsidRPr="00100BF5">
              <w:rPr>
                <w:sz w:val="16"/>
                <w:vertAlign w:val="superscript"/>
              </w:rPr>
              <w:t xml:space="preserve"> </w:t>
            </w:r>
          </w:p>
        </w:tc>
      </w:tr>
      <w:tr w:rsidR="00A12DCA" w:rsidRPr="00100BF5" w:rsidTr="001573DF">
        <w:tblPrEx>
          <w:tblCellMar>
            <w:top w:w="0" w:type="dxa"/>
            <w:bottom w:w="0" w:type="dxa"/>
          </w:tblCellMar>
        </w:tblPrEx>
        <w:trPr>
          <w:trHeight w:hRule="exact" w:val="240"/>
        </w:trPr>
        <w:tc>
          <w:tcPr>
            <w:tcW w:w="18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3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r>
      <w:tr w:rsidR="00A12DCA" w:rsidRPr="00100BF5" w:rsidTr="001573DF">
        <w:tblPrEx>
          <w:tblCellMar>
            <w:top w:w="0" w:type="dxa"/>
            <w:bottom w:w="0" w:type="dxa"/>
          </w:tblCellMar>
        </w:tblPrEx>
        <w:trPr>
          <w:trHeight w:val="240"/>
        </w:trPr>
        <w:tc>
          <w:tcPr>
            <w:tcW w:w="18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Marked to market LTV %</w:t>
            </w:r>
            <w:r w:rsidR="003C7F05" w:rsidRPr="00100BF5">
              <w:rPr>
                <w:b/>
                <w:sz w:val="16"/>
                <w:vertAlign w:val="superscript"/>
              </w:rPr>
              <w:t>3</w:t>
            </w:r>
            <w:r w:rsidRPr="00100BF5">
              <w:rPr>
                <w:b/>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b/>
                <w:sz w:val="16"/>
                <w:vertAlign w:val="superscript"/>
              </w:rPr>
            </w:pPr>
            <w:r w:rsidRPr="00100BF5">
              <w:rPr>
                <w:rFonts w:ascii="Arial" w:eastAsia="Arial" w:hAnsi="Arial" w:cs="Arial"/>
                <w:sz w:val="16"/>
              </w:rPr>
              <w:t>44.3 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rFonts w:ascii="Arial" w:eastAsia="Arial" w:hAnsi="Arial" w:cs="Arial"/>
                <w:sz w:val="16"/>
              </w:rPr>
            </w:pPr>
            <w:r w:rsidRPr="00100BF5">
              <w:rPr>
                <w:sz w:val="16"/>
              </w:rPr>
              <w:t>44.3 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45.0 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45.2 </w:t>
            </w:r>
          </w:p>
        </w:tc>
        <w:tc>
          <w:tcPr>
            <w:tcW w:w="3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62.7 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60.1 </w:t>
            </w:r>
            <w:r w:rsidRPr="00100BF5">
              <w:rPr>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46.5 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46.9 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73.1 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69.6 </w:t>
            </w:r>
            <w:r w:rsidRPr="00100BF5">
              <w:rPr>
                <w:sz w:val="16"/>
                <w:vertAlign w:val="superscript"/>
              </w:rPr>
              <w:t xml:space="preserve"> </w:t>
            </w:r>
          </w:p>
        </w:tc>
      </w:tr>
      <w:tr w:rsidR="00A12DCA" w:rsidRPr="00100BF5" w:rsidTr="00AB70EA">
        <w:tblPrEx>
          <w:tblCellMar>
            <w:top w:w="0" w:type="dxa"/>
            <w:bottom w:w="0" w:type="dxa"/>
          </w:tblCellMar>
        </w:tblPrEx>
        <w:trPr>
          <w:trHeight w:val="525"/>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Average LTV on new mortgages</w:t>
            </w:r>
            <w:r w:rsidRPr="00100BF5">
              <w:rPr>
                <w:sz w:val="16"/>
                <w:vertAlign w:val="superscript"/>
              </w:rPr>
              <w:t>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55.3 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54.0 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62.9 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61.2 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62.5 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61.3 </w:t>
            </w:r>
            <w:r w:rsidRPr="00100BF5">
              <w:rPr>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56.2 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59.6 </w:t>
            </w:r>
          </w:p>
        </w:tc>
        <w:tc>
          <w:tcPr>
            <w:tcW w:w="750" w:type="dxa"/>
            <w:tcBorders>
              <w:top w:val="nil"/>
              <w:left w:val="nil"/>
              <w:bottom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60.6 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67.7 </w:t>
            </w:r>
            <w:r w:rsidRPr="00100BF5">
              <w:rPr>
                <w:sz w:val="16"/>
                <w:vertAlign w:val="superscript"/>
              </w:rPr>
              <w:t xml:space="preserve"> </w:t>
            </w:r>
          </w:p>
        </w:tc>
      </w:tr>
      <w:tr w:rsidR="00A12DCA" w:rsidRPr="00100BF5" w:rsidTr="001573DF">
        <w:tblPrEx>
          <w:tblCellMar>
            <w:top w:w="0" w:type="dxa"/>
            <w:bottom w:w="0" w:type="dxa"/>
          </w:tblCellMar>
        </w:tblPrEx>
        <w:trPr>
          <w:trHeight w:val="540"/>
        </w:trPr>
        <w:tc>
          <w:tcPr>
            <w:tcW w:w="1875" w:type="dxa"/>
            <w:tcBorders>
              <w:top w:val="nil"/>
              <w:left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New mortgages proportion above 85% LTV</w:t>
            </w:r>
            <w:r w:rsidRPr="00100BF5">
              <w:rPr>
                <w:sz w:val="16"/>
                <w:vertAlign w:val="superscript"/>
              </w:rPr>
              <w:t> </w:t>
            </w:r>
          </w:p>
        </w:tc>
        <w:tc>
          <w:tcPr>
            <w:tcW w:w="750" w:type="dxa"/>
            <w:tcBorders>
              <w:top w:val="nil"/>
              <w:left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4.8 </w:t>
            </w:r>
          </w:p>
        </w:tc>
        <w:tc>
          <w:tcPr>
            <w:tcW w:w="750" w:type="dxa"/>
            <w:tcBorders>
              <w:top w:val="nil"/>
              <w:left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0.8 </w:t>
            </w:r>
          </w:p>
        </w:tc>
        <w:tc>
          <w:tcPr>
            <w:tcW w:w="750" w:type="dxa"/>
            <w:tcBorders>
              <w:top w:val="nil"/>
              <w:left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33.3 </w:t>
            </w:r>
          </w:p>
        </w:tc>
        <w:tc>
          <w:tcPr>
            <w:tcW w:w="750" w:type="dxa"/>
            <w:tcBorders>
              <w:top w:val="nil"/>
              <w:left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29.9 </w:t>
            </w:r>
          </w:p>
        </w:tc>
        <w:tc>
          <w:tcPr>
            <w:tcW w:w="300" w:type="dxa"/>
            <w:tcBorders>
              <w:top w:val="nil"/>
              <w:left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5.2 </w:t>
            </w:r>
          </w:p>
        </w:tc>
        <w:tc>
          <w:tcPr>
            <w:tcW w:w="750" w:type="dxa"/>
            <w:tcBorders>
              <w:top w:val="nil"/>
              <w:left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1.3 </w:t>
            </w:r>
            <w:r w:rsidRPr="00100BF5">
              <w:rPr>
                <w:sz w:val="16"/>
                <w:vertAlign w:val="superscript"/>
              </w:rPr>
              <w:t xml:space="preserve"> </w:t>
            </w:r>
          </w:p>
        </w:tc>
        <w:tc>
          <w:tcPr>
            <w:tcW w:w="750" w:type="dxa"/>
            <w:tcBorders>
              <w:top w:val="nil"/>
              <w:left w:val="nil"/>
              <w:right w:val="nil"/>
            </w:tcBorders>
            <w:shd w:val="clear" w:color="auto" w:fill="EAEAEA"/>
            <w:tcMar>
              <w:left w:w="36" w:type="dxa"/>
              <w:right w:w="36" w:type="dxa"/>
            </w:tcMar>
            <w:vAlign w:val="center"/>
          </w:tcPr>
          <w:p w:rsidR="00A12DCA" w:rsidRPr="00100BF5" w:rsidRDefault="00A12DCA" w:rsidP="00AB70EA">
            <w:pPr>
              <w:jc w:val="right"/>
              <w:rPr>
                <w:sz w:val="16"/>
                <w:vertAlign w:val="superscript"/>
              </w:rPr>
            </w:pPr>
            <w:r w:rsidRPr="00100BF5">
              <w:rPr>
                <w:sz w:val="16"/>
              </w:rPr>
              <w:t>-</w:t>
            </w:r>
          </w:p>
        </w:tc>
        <w:tc>
          <w:tcPr>
            <w:tcW w:w="750" w:type="dxa"/>
            <w:tcBorders>
              <w:top w:val="nil"/>
              <w:left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w:t>
            </w:r>
          </w:p>
        </w:tc>
        <w:tc>
          <w:tcPr>
            <w:tcW w:w="750" w:type="dxa"/>
            <w:tcBorders>
              <w:top w:val="nil"/>
              <w:left w:val="nil"/>
              <w:right w:val="nil"/>
            </w:tcBorders>
            <w:shd w:val="clear" w:color="auto" w:fill="EAEAEA"/>
            <w:tcMar>
              <w:left w:w="36" w:type="dxa"/>
              <w:right w:w="36" w:type="dxa"/>
            </w:tcMar>
            <w:vAlign w:val="center"/>
          </w:tcPr>
          <w:p w:rsidR="00A12DCA" w:rsidRPr="00100BF5" w:rsidRDefault="00A12DCA" w:rsidP="00AB70EA">
            <w:pPr>
              <w:jc w:val="right"/>
              <w:rPr>
                <w:sz w:val="16"/>
              </w:rPr>
            </w:pPr>
            <w:r w:rsidRPr="00100BF5">
              <w:rPr>
                <w:sz w:val="16"/>
              </w:rPr>
              <w:t>4.6 </w:t>
            </w:r>
          </w:p>
        </w:tc>
        <w:tc>
          <w:tcPr>
            <w:tcW w:w="750" w:type="dxa"/>
            <w:tcBorders>
              <w:top w:val="nil"/>
              <w:left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5.5 </w:t>
            </w:r>
            <w:r w:rsidRPr="00100BF5">
              <w:rPr>
                <w:sz w:val="16"/>
                <w:vertAlign w:val="superscript"/>
              </w:rPr>
              <w:t xml:space="preserve"> </w:t>
            </w:r>
          </w:p>
        </w:tc>
      </w:tr>
      <w:tr w:rsidR="00A12DCA" w:rsidRPr="00100BF5" w:rsidTr="001573DF">
        <w:tblPrEx>
          <w:tblCellMar>
            <w:top w:w="0" w:type="dxa"/>
            <w:bottom w:w="0" w:type="dxa"/>
          </w:tblCellMar>
        </w:tblPrEx>
        <w:trPr>
          <w:trHeight w:hRule="exact" w:val="240"/>
        </w:trPr>
        <w:tc>
          <w:tcPr>
            <w:tcW w:w="1875"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rPr>
                <w:sz w:val="16"/>
                <w:vertAlign w:val="superscript"/>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30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r w:rsidRPr="00100BF5">
              <w:rPr>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vertAlign w:val="superscript"/>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AB70EA">
            <w:pPr>
              <w:jc w:val="right"/>
              <w:rPr>
                <w:sz w:val="16"/>
              </w:rPr>
            </w:pPr>
            <w:r w:rsidRPr="00100BF5">
              <w:rPr>
                <w:sz w:val="16"/>
              </w:rPr>
              <w:t xml:space="preserve"> </w:t>
            </w:r>
            <w:r w:rsidRPr="00100BF5">
              <w:rPr>
                <w:sz w:val="16"/>
                <w:vertAlign w:val="superscript"/>
              </w:rPr>
              <w:t xml:space="preserve"> </w:t>
            </w:r>
          </w:p>
        </w:tc>
      </w:tr>
      <w:tr w:rsidR="006918CE" w:rsidRPr="00100BF5" w:rsidTr="006918CE">
        <w:tblPrEx>
          <w:tblCellMar>
            <w:top w:w="0" w:type="dxa"/>
            <w:bottom w:w="0" w:type="dxa"/>
          </w:tblCellMar>
        </w:tblPrEx>
        <w:trPr>
          <w:trHeight w:val="240"/>
        </w:trPr>
        <w:tc>
          <w:tcPr>
            <w:tcW w:w="1875" w:type="dxa"/>
            <w:tcBorders>
              <w:top w:val="nil"/>
              <w:left w:val="nil"/>
              <w:bottom w:val="single" w:sz="4" w:space="0" w:color="969696"/>
              <w:right w:val="nil"/>
            </w:tcBorders>
            <w:shd w:val="clear" w:color="auto" w:fill="FFFFFF"/>
            <w:tcMar>
              <w:left w:w="36" w:type="dxa"/>
              <w:right w:w="36" w:type="dxa"/>
            </w:tcMar>
            <w:vAlign w:val="center"/>
          </w:tcPr>
          <w:p w:rsidR="006918CE" w:rsidRPr="00100BF5" w:rsidRDefault="006918CE" w:rsidP="00AB70EA">
            <w:pPr>
              <w:rPr>
                <w:sz w:val="16"/>
              </w:rPr>
            </w:pPr>
          </w:p>
        </w:tc>
        <w:tc>
          <w:tcPr>
            <w:tcW w:w="750" w:type="dxa"/>
            <w:tcBorders>
              <w:top w:val="nil"/>
              <w:left w:val="nil"/>
              <w:bottom w:val="single" w:sz="4" w:space="0" w:color="969696"/>
              <w:right w:val="nil"/>
            </w:tcBorders>
            <w:shd w:val="clear" w:color="auto" w:fill="EAEAEA"/>
            <w:tcMar>
              <w:left w:w="36" w:type="dxa"/>
              <w:right w:w="36" w:type="dxa"/>
            </w:tcMar>
            <w:vAlign w:val="center"/>
          </w:tcPr>
          <w:p w:rsidR="006918CE" w:rsidRDefault="006918CE" w:rsidP="00F26CB3">
            <w:pPr>
              <w:jc w:val="right"/>
              <w:rPr>
                <w:color w:val="000000"/>
                <w:sz w:val="16"/>
                <w:vertAlign w:val="superscript"/>
              </w:rPr>
            </w:pPr>
            <w:r>
              <w:rPr>
                <w:b/>
                <w:color w:val="000000"/>
                <w:sz w:val="16"/>
              </w:rPr>
              <w:t>30.06.12</w:t>
            </w:r>
          </w:p>
        </w:tc>
        <w:tc>
          <w:tcPr>
            <w:tcW w:w="750" w:type="dxa"/>
            <w:tcBorders>
              <w:top w:val="nil"/>
              <w:left w:val="nil"/>
              <w:bottom w:val="single" w:sz="4" w:space="0" w:color="969696"/>
              <w:right w:val="nil"/>
            </w:tcBorders>
            <w:shd w:val="clear" w:color="auto" w:fill="FFFFFF"/>
            <w:tcMar>
              <w:left w:w="36" w:type="dxa"/>
              <w:right w:w="36" w:type="dxa"/>
            </w:tcMar>
            <w:vAlign w:val="center"/>
          </w:tcPr>
          <w:p w:rsidR="006918CE" w:rsidRDefault="006918CE" w:rsidP="00F26CB3">
            <w:pPr>
              <w:jc w:val="right"/>
              <w:rPr>
                <w:b/>
                <w:color w:val="000000"/>
                <w:sz w:val="16"/>
              </w:rPr>
            </w:pPr>
            <w:r>
              <w:rPr>
                <w:b/>
                <w:color w:val="000000"/>
                <w:sz w:val="16"/>
              </w:rPr>
              <w:t>30.06.11</w:t>
            </w:r>
          </w:p>
        </w:tc>
        <w:tc>
          <w:tcPr>
            <w:tcW w:w="750" w:type="dxa"/>
            <w:tcBorders>
              <w:top w:val="nil"/>
              <w:left w:val="nil"/>
              <w:bottom w:val="single" w:sz="4" w:space="0" w:color="969696"/>
              <w:right w:val="nil"/>
            </w:tcBorders>
            <w:shd w:val="clear" w:color="auto" w:fill="EAEAEA"/>
            <w:tcMar>
              <w:left w:w="36" w:type="dxa"/>
              <w:right w:w="36" w:type="dxa"/>
            </w:tcMar>
            <w:vAlign w:val="center"/>
          </w:tcPr>
          <w:p w:rsidR="006918CE" w:rsidRDefault="006918CE" w:rsidP="00F26CB3">
            <w:pPr>
              <w:jc w:val="right"/>
              <w:rPr>
                <w:b/>
                <w:color w:val="000000"/>
                <w:sz w:val="16"/>
              </w:rPr>
            </w:pPr>
            <w:r>
              <w:rPr>
                <w:b/>
                <w:color w:val="000000"/>
                <w:sz w:val="16"/>
              </w:rPr>
              <w:t>30.06.12</w:t>
            </w:r>
          </w:p>
        </w:tc>
        <w:tc>
          <w:tcPr>
            <w:tcW w:w="750" w:type="dxa"/>
            <w:tcBorders>
              <w:top w:val="nil"/>
              <w:left w:val="nil"/>
              <w:bottom w:val="single" w:sz="4" w:space="0" w:color="969696"/>
              <w:right w:val="nil"/>
            </w:tcBorders>
            <w:shd w:val="clear" w:color="auto" w:fill="FFFFFF"/>
            <w:tcMar>
              <w:left w:w="36" w:type="dxa"/>
              <w:right w:w="36" w:type="dxa"/>
            </w:tcMar>
            <w:vAlign w:val="center"/>
          </w:tcPr>
          <w:p w:rsidR="006918CE" w:rsidRDefault="006918CE" w:rsidP="00F26CB3">
            <w:pPr>
              <w:jc w:val="right"/>
              <w:rPr>
                <w:b/>
                <w:color w:val="000000"/>
                <w:sz w:val="16"/>
              </w:rPr>
            </w:pPr>
            <w:r>
              <w:rPr>
                <w:b/>
                <w:color w:val="000000"/>
                <w:sz w:val="16"/>
              </w:rPr>
              <w:t>30.06.11</w:t>
            </w:r>
          </w:p>
        </w:tc>
        <w:tc>
          <w:tcPr>
            <w:tcW w:w="300" w:type="dxa"/>
            <w:tcBorders>
              <w:top w:val="nil"/>
              <w:left w:val="nil"/>
              <w:bottom w:val="single" w:sz="4" w:space="0" w:color="969696"/>
              <w:right w:val="nil"/>
            </w:tcBorders>
            <w:shd w:val="clear" w:color="auto" w:fill="FFFFFF"/>
            <w:tcMar>
              <w:left w:w="36" w:type="dxa"/>
              <w:right w:w="36" w:type="dxa"/>
            </w:tcMar>
            <w:vAlign w:val="center"/>
          </w:tcPr>
          <w:p w:rsidR="006918CE" w:rsidRDefault="006918CE" w:rsidP="00F26CB3">
            <w:pPr>
              <w:jc w:val="right"/>
              <w:rPr>
                <w:b/>
                <w:color w:val="000000"/>
                <w:sz w:val="16"/>
              </w:rPr>
            </w:pPr>
            <w:r>
              <w:rPr>
                <w:b/>
                <w:color w:val="000000"/>
                <w:sz w:val="16"/>
              </w:rPr>
              <w:t xml:space="preserve"> </w:t>
            </w:r>
          </w:p>
        </w:tc>
        <w:tc>
          <w:tcPr>
            <w:tcW w:w="750" w:type="dxa"/>
            <w:tcBorders>
              <w:top w:val="nil"/>
              <w:left w:val="nil"/>
              <w:bottom w:val="single" w:sz="4" w:space="0" w:color="969696"/>
              <w:right w:val="nil"/>
            </w:tcBorders>
            <w:shd w:val="clear" w:color="auto" w:fill="EAEAEA"/>
            <w:tcMar>
              <w:left w:w="36" w:type="dxa"/>
              <w:right w:w="36" w:type="dxa"/>
            </w:tcMar>
            <w:vAlign w:val="center"/>
          </w:tcPr>
          <w:p w:rsidR="006918CE" w:rsidRDefault="006918CE" w:rsidP="00F26CB3">
            <w:pPr>
              <w:jc w:val="right"/>
              <w:rPr>
                <w:b/>
                <w:color w:val="000000"/>
                <w:sz w:val="16"/>
              </w:rPr>
            </w:pPr>
            <w:r>
              <w:rPr>
                <w:b/>
                <w:color w:val="000000"/>
                <w:sz w:val="16"/>
              </w:rPr>
              <w:t>30.06.12</w:t>
            </w:r>
          </w:p>
        </w:tc>
        <w:tc>
          <w:tcPr>
            <w:tcW w:w="750" w:type="dxa"/>
            <w:tcBorders>
              <w:top w:val="nil"/>
              <w:left w:val="nil"/>
              <w:bottom w:val="single" w:sz="4" w:space="0" w:color="969696"/>
              <w:right w:val="nil"/>
            </w:tcBorders>
            <w:shd w:val="clear" w:color="auto" w:fill="FFFFFF"/>
            <w:tcMar>
              <w:left w:w="36" w:type="dxa"/>
              <w:right w:w="36" w:type="dxa"/>
            </w:tcMar>
            <w:vAlign w:val="center"/>
          </w:tcPr>
          <w:p w:rsidR="006918CE" w:rsidRDefault="006918CE" w:rsidP="00F26CB3">
            <w:pPr>
              <w:jc w:val="right"/>
              <w:rPr>
                <w:b/>
                <w:color w:val="000000"/>
                <w:sz w:val="16"/>
              </w:rPr>
            </w:pPr>
            <w:r>
              <w:rPr>
                <w:b/>
                <w:color w:val="000000"/>
                <w:sz w:val="16"/>
              </w:rPr>
              <w:t>30.06.11</w:t>
            </w:r>
            <w:r>
              <w:rPr>
                <w:b/>
                <w:color w:val="000000"/>
                <w:sz w:val="16"/>
                <w:vertAlign w:val="superscript"/>
              </w:rPr>
              <w:t xml:space="preserve"> </w:t>
            </w:r>
          </w:p>
        </w:tc>
        <w:tc>
          <w:tcPr>
            <w:tcW w:w="750" w:type="dxa"/>
            <w:tcBorders>
              <w:top w:val="nil"/>
              <w:left w:val="nil"/>
              <w:bottom w:val="single" w:sz="4" w:space="0" w:color="969696"/>
              <w:right w:val="nil"/>
            </w:tcBorders>
            <w:shd w:val="clear" w:color="auto" w:fill="EAEAEA"/>
            <w:tcMar>
              <w:left w:w="36" w:type="dxa"/>
              <w:right w:w="36" w:type="dxa"/>
            </w:tcMar>
            <w:vAlign w:val="center"/>
          </w:tcPr>
          <w:p w:rsidR="006918CE" w:rsidRDefault="006918CE" w:rsidP="00F26CB3">
            <w:pPr>
              <w:jc w:val="right"/>
              <w:rPr>
                <w:b/>
                <w:color w:val="000000"/>
                <w:sz w:val="16"/>
                <w:vertAlign w:val="superscript"/>
              </w:rPr>
            </w:pPr>
            <w:r>
              <w:rPr>
                <w:b/>
                <w:color w:val="000000"/>
                <w:sz w:val="16"/>
              </w:rPr>
              <w:t>30.06.12</w:t>
            </w:r>
          </w:p>
        </w:tc>
        <w:tc>
          <w:tcPr>
            <w:tcW w:w="750" w:type="dxa"/>
            <w:tcBorders>
              <w:top w:val="nil"/>
              <w:left w:val="nil"/>
              <w:bottom w:val="single" w:sz="4" w:space="0" w:color="969696"/>
              <w:right w:val="nil"/>
            </w:tcBorders>
            <w:shd w:val="clear" w:color="auto" w:fill="FFFFFF"/>
            <w:tcMar>
              <w:left w:w="36" w:type="dxa"/>
              <w:right w:w="36" w:type="dxa"/>
            </w:tcMar>
            <w:vAlign w:val="center"/>
          </w:tcPr>
          <w:p w:rsidR="006918CE" w:rsidRDefault="006918CE" w:rsidP="00F26CB3">
            <w:pPr>
              <w:jc w:val="right"/>
              <w:rPr>
                <w:b/>
                <w:color w:val="000000"/>
                <w:sz w:val="16"/>
              </w:rPr>
            </w:pPr>
            <w:r>
              <w:rPr>
                <w:b/>
                <w:color w:val="000000"/>
                <w:sz w:val="16"/>
              </w:rPr>
              <w:t>30.06.11</w:t>
            </w:r>
          </w:p>
        </w:tc>
        <w:tc>
          <w:tcPr>
            <w:tcW w:w="750" w:type="dxa"/>
            <w:tcBorders>
              <w:top w:val="nil"/>
              <w:left w:val="nil"/>
              <w:bottom w:val="single" w:sz="4" w:space="0" w:color="969696"/>
              <w:right w:val="nil"/>
            </w:tcBorders>
            <w:shd w:val="clear" w:color="auto" w:fill="EAEAEA"/>
            <w:tcMar>
              <w:left w:w="36" w:type="dxa"/>
              <w:right w:w="36" w:type="dxa"/>
            </w:tcMar>
            <w:vAlign w:val="center"/>
          </w:tcPr>
          <w:p w:rsidR="006918CE" w:rsidRDefault="006918CE" w:rsidP="00F26CB3">
            <w:pPr>
              <w:jc w:val="right"/>
              <w:rPr>
                <w:b/>
                <w:color w:val="000000"/>
                <w:sz w:val="16"/>
              </w:rPr>
            </w:pPr>
            <w:r>
              <w:rPr>
                <w:b/>
                <w:color w:val="000000"/>
                <w:sz w:val="16"/>
              </w:rPr>
              <w:t>30.06.12</w:t>
            </w:r>
          </w:p>
        </w:tc>
        <w:tc>
          <w:tcPr>
            <w:tcW w:w="750" w:type="dxa"/>
            <w:tcBorders>
              <w:top w:val="nil"/>
              <w:left w:val="nil"/>
              <w:bottom w:val="single" w:sz="4" w:space="0" w:color="969696"/>
              <w:right w:val="nil"/>
            </w:tcBorders>
            <w:shd w:val="clear" w:color="auto" w:fill="FFFFFF"/>
            <w:tcMar>
              <w:left w:w="36" w:type="dxa"/>
              <w:right w:w="36" w:type="dxa"/>
            </w:tcMar>
            <w:vAlign w:val="center"/>
          </w:tcPr>
          <w:p w:rsidR="006918CE" w:rsidRDefault="006918CE" w:rsidP="00F26CB3">
            <w:pPr>
              <w:jc w:val="right"/>
              <w:rPr>
                <w:b/>
                <w:color w:val="000000"/>
                <w:sz w:val="16"/>
              </w:rPr>
            </w:pPr>
            <w:r>
              <w:rPr>
                <w:b/>
                <w:color w:val="000000"/>
                <w:sz w:val="16"/>
              </w:rPr>
              <w:t>30.06.11</w:t>
            </w:r>
            <w:r>
              <w:rPr>
                <w:color w:val="000000"/>
                <w:sz w:val="16"/>
                <w:vertAlign w:val="superscript"/>
              </w:rPr>
              <w:t xml:space="preserve"> </w:t>
            </w:r>
          </w:p>
        </w:tc>
      </w:tr>
      <w:tr w:rsidR="006918CE" w:rsidRPr="00100BF5" w:rsidTr="006918CE">
        <w:tblPrEx>
          <w:tblCellMar>
            <w:top w:w="0" w:type="dxa"/>
            <w:bottom w:w="0" w:type="dxa"/>
          </w:tblCellMar>
        </w:tblPrEx>
        <w:trPr>
          <w:trHeight w:val="240"/>
        </w:trPr>
        <w:tc>
          <w:tcPr>
            <w:tcW w:w="1875"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rPr>
                <w:sz w:val="16"/>
                <w:vertAlign w:val="superscript"/>
              </w:rPr>
            </w:pPr>
            <w:r w:rsidRPr="00100BF5">
              <w:rPr>
                <w:sz w:val="16"/>
              </w:rPr>
              <w:t>New mortgages (£m)</w:t>
            </w:r>
            <w:r w:rsidRPr="00100BF5">
              <w:rPr>
                <w:sz w:val="16"/>
                <w:vertAlign w:val="superscript"/>
              </w:rPr>
              <w:t xml:space="preserve"> </w:t>
            </w:r>
          </w:p>
        </w:tc>
        <w:tc>
          <w:tcPr>
            <w:tcW w:w="750" w:type="dxa"/>
            <w:tcBorders>
              <w:top w:val="single" w:sz="4" w:space="0" w:color="969696"/>
              <w:left w:val="nil"/>
              <w:bottom w:val="nil"/>
              <w:right w:val="nil"/>
            </w:tcBorders>
            <w:shd w:val="clear" w:color="auto" w:fill="EAEAEA"/>
            <w:tcMar>
              <w:left w:w="36" w:type="dxa"/>
              <w:right w:w="36" w:type="dxa"/>
            </w:tcMar>
            <w:vAlign w:val="center"/>
          </w:tcPr>
          <w:p w:rsidR="006918CE" w:rsidRPr="00100BF5" w:rsidRDefault="006918CE" w:rsidP="00AB70EA">
            <w:pPr>
              <w:jc w:val="right"/>
              <w:rPr>
                <w:sz w:val="16"/>
                <w:vertAlign w:val="superscript"/>
              </w:rPr>
            </w:pPr>
            <w:r w:rsidRPr="00100BF5">
              <w:rPr>
                <w:sz w:val="16"/>
              </w:rPr>
              <w:t>7,800 </w:t>
            </w:r>
          </w:p>
        </w:tc>
        <w:tc>
          <w:tcPr>
            <w:tcW w:w="750"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jc w:val="right"/>
              <w:rPr>
                <w:sz w:val="16"/>
              </w:rPr>
            </w:pPr>
            <w:r w:rsidRPr="00100BF5">
              <w:rPr>
                <w:sz w:val="16"/>
              </w:rPr>
              <w:t>7,600 </w:t>
            </w:r>
          </w:p>
        </w:tc>
        <w:tc>
          <w:tcPr>
            <w:tcW w:w="750" w:type="dxa"/>
            <w:tcBorders>
              <w:top w:val="single" w:sz="4" w:space="0" w:color="969696"/>
              <w:left w:val="nil"/>
              <w:bottom w:val="nil"/>
              <w:right w:val="nil"/>
            </w:tcBorders>
            <w:shd w:val="clear" w:color="auto" w:fill="EAEAEA"/>
            <w:tcMar>
              <w:left w:w="36" w:type="dxa"/>
              <w:right w:w="36" w:type="dxa"/>
            </w:tcMar>
            <w:vAlign w:val="center"/>
          </w:tcPr>
          <w:p w:rsidR="006918CE" w:rsidRPr="00100BF5" w:rsidRDefault="006918CE" w:rsidP="00AB70EA">
            <w:pPr>
              <w:jc w:val="right"/>
              <w:rPr>
                <w:sz w:val="16"/>
              </w:rPr>
            </w:pPr>
            <w:r w:rsidRPr="00100BF5">
              <w:rPr>
                <w:sz w:val="16"/>
              </w:rPr>
              <w:t>504 </w:t>
            </w:r>
          </w:p>
        </w:tc>
        <w:tc>
          <w:tcPr>
            <w:tcW w:w="750"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jc w:val="right"/>
              <w:rPr>
                <w:sz w:val="16"/>
              </w:rPr>
            </w:pPr>
            <w:r w:rsidRPr="00100BF5">
              <w:rPr>
                <w:sz w:val="16"/>
              </w:rPr>
              <w:t>725 </w:t>
            </w:r>
          </w:p>
        </w:tc>
        <w:tc>
          <w:tcPr>
            <w:tcW w:w="300"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jc w:val="right"/>
              <w:rPr>
                <w:sz w:val="16"/>
              </w:rPr>
            </w:pPr>
            <w:r w:rsidRPr="00100BF5">
              <w:rPr>
                <w:sz w:val="16"/>
              </w:rPr>
              <w:t xml:space="preserve"> </w:t>
            </w:r>
          </w:p>
        </w:tc>
        <w:tc>
          <w:tcPr>
            <w:tcW w:w="750" w:type="dxa"/>
            <w:tcBorders>
              <w:top w:val="single" w:sz="4" w:space="0" w:color="969696"/>
              <w:left w:val="nil"/>
              <w:bottom w:val="nil"/>
              <w:right w:val="nil"/>
            </w:tcBorders>
            <w:shd w:val="clear" w:color="auto" w:fill="EAEAEA"/>
            <w:tcMar>
              <w:left w:w="36" w:type="dxa"/>
              <w:right w:w="36" w:type="dxa"/>
            </w:tcMar>
            <w:vAlign w:val="center"/>
          </w:tcPr>
          <w:p w:rsidR="006918CE" w:rsidRPr="00100BF5" w:rsidRDefault="006918CE" w:rsidP="00AB70EA">
            <w:pPr>
              <w:jc w:val="right"/>
              <w:rPr>
                <w:sz w:val="16"/>
              </w:rPr>
            </w:pPr>
            <w:r w:rsidRPr="00100BF5">
              <w:rPr>
                <w:sz w:val="16"/>
              </w:rPr>
              <w:t>115 </w:t>
            </w:r>
          </w:p>
        </w:tc>
        <w:tc>
          <w:tcPr>
            <w:tcW w:w="750"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jc w:val="right"/>
              <w:rPr>
                <w:sz w:val="16"/>
              </w:rPr>
            </w:pPr>
            <w:r w:rsidRPr="00100BF5">
              <w:rPr>
                <w:sz w:val="16"/>
              </w:rPr>
              <w:t>343 </w:t>
            </w:r>
            <w:r w:rsidRPr="00100BF5">
              <w:rPr>
                <w:sz w:val="16"/>
                <w:vertAlign w:val="superscript"/>
              </w:rPr>
              <w:t xml:space="preserve"> </w:t>
            </w:r>
          </w:p>
        </w:tc>
        <w:tc>
          <w:tcPr>
            <w:tcW w:w="750" w:type="dxa"/>
            <w:tcBorders>
              <w:top w:val="single" w:sz="4" w:space="0" w:color="969696"/>
              <w:left w:val="nil"/>
              <w:bottom w:val="nil"/>
              <w:right w:val="nil"/>
            </w:tcBorders>
            <w:shd w:val="clear" w:color="auto" w:fill="EAEAEA"/>
            <w:tcMar>
              <w:left w:w="36" w:type="dxa"/>
              <w:right w:w="36" w:type="dxa"/>
            </w:tcMar>
            <w:vAlign w:val="center"/>
          </w:tcPr>
          <w:p w:rsidR="006918CE" w:rsidRPr="00100BF5" w:rsidRDefault="006918CE" w:rsidP="00AB70EA">
            <w:pPr>
              <w:jc w:val="right"/>
              <w:rPr>
                <w:sz w:val="16"/>
                <w:vertAlign w:val="superscript"/>
              </w:rPr>
            </w:pPr>
            <w:r w:rsidRPr="00100BF5">
              <w:rPr>
                <w:sz w:val="16"/>
              </w:rPr>
              <w:t>516 </w:t>
            </w:r>
          </w:p>
        </w:tc>
        <w:tc>
          <w:tcPr>
            <w:tcW w:w="750"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jc w:val="right"/>
              <w:rPr>
                <w:sz w:val="16"/>
              </w:rPr>
            </w:pPr>
            <w:r w:rsidRPr="00100BF5">
              <w:rPr>
                <w:sz w:val="16"/>
              </w:rPr>
              <w:t>1,750 </w:t>
            </w:r>
          </w:p>
        </w:tc>
        <w:tc>
          <w:tcPr>
            <w:tcW w:w="750" w:type="dxa"/>
            <w:tcBorders>
              <w:top w:val="single" w:sz="4" w:space="0" w:color="969696"/>
              <w:left w:val="nil"/>
              <w:bottom w:val="nil"/>
              <w:right w:val="nil"/>
            </w:tcBorders>
            <w:shd w:val="clear" w:color="auto" w:fill="EAEAEA"/>
            <w:tcMar>
              <w:left w:w="36" w:type="dxa"/>
              <w:right w:w="36" w:type="dxa"/>
            </w:tcMar>
            <w:vAlign w:val="center"/>
          </w:tcPr>
          <w:p w:rsidR="006918CE" w:rsidRPr="00100BF5" w:rsidRDefault="006918CE" w:rsidP="00AB70EA">
            <w:pPr>
              <w:jc w:val="right"/>
              <w:rPr>
                <w:sz w:val="16"/>
              </w:rPr>
            </w:pPr>
            <w:r w:rsidRPr="00100BF5">
              <w:rPr>
                <w:sz w:val="16"/>
              </w:rPr>
              <w:t>68 </w:t>
            </w:r>
          </w:p>
        </w:tc>
        <w:tc>
          <w:tcPr>
            <w:tcW w:w="750" w:type="dxa"/>
            <w:tcBorders>
              <w:top w:val="single" w:sz="4" w:space="0" w:color="969696"/>
              <w:left w:val="nil"/>
              <w:bottom w:val="nil"/>
              <w:right w:val="nil"/>
            </w:tcBorders>
            <w:shd w:val="clear" w:color="auto" w:fill="FFFFFF"/>
            <w:tcMar>
              <w:left w:w="36" w:type="dxa"/>
              <w:right w:w="36" w:type="dxa"/>
            </w:tcMar>
            <w:vAlign w:val="center"/>
          </w:tcPr>
          <w:p w:rsidR="006918CE" w:rsidRPr="00100BF5" w:rsidRDefault="006918CE" w:rsidP="00AB70EA">
            <w:pPr>
              <w:jc w:val="right"/>
              <w:rPr>
                <w:sz w:val="16"/>
              </w:rPr>
            </w:pPr>
            <w:r w:rsidRPr="00100BF5">
              <w:rPr>
                <w:sz w:val="16"/>
              </w:rPr>
              <w:t>275 </w:t>
            </w:r>
            <w:r w:rsidRPr="00100BF5">
              <w:rPr>
                <w:sz w:val="16"/>
                <w:vertAlign w:val="superscript"/>
              </w:rPr>
              <w:t xml:space="preserve"> </w:t>
            </w:r>
          </w:p>
        </w:tc>
      </w:tr>
    </w:tbl>
    <w:p w:rsidR="00A12DCA" w:rsidRPr="00100BF5" w:rsidRDefault="00A12DCA"/>
    <w:p w:rsidR="00A12DCA" w:rsidRPr="00100BF5" w:rsidRDefault="00A12DCA" w:rsidP="00217B6A">
      <w:pPr>
        <w:pStyle w:val="Level1Bullet-BarcRA03"/>
        <w:rPr>
          <w:lang w:val="en-GB"/>
        </w:rPr>
      </w:pPr>
      <w:r w:rsidRPr="00100BF5">
        <w:rPr>
          <w:lang w:val="en-GB"/>
        </w:rPr>
        <w:t>Credit quality of the principal home loan portfolios reflected relatively conservative levels of high LTV lending and moderate LTV on existing portfolios</w:t>
      </w:r>
    </w:p>
    <w:p w:rsidR="00A12DCA" w:rsidRPr="00100BF5" w:rsidRDefault="00A12DCA" w:rsidP="00217B6A">
      <w:pPr>
        <w:pStyle w:val="Level1Bullet-BarcRA03"/>
        <w:rPr>
          <w:lang w:val="en-GB"/>
        </w:rPr>
      </w:pPr>
      <w:r w:rsidRPr="00100BF5">
        <w:rPr>
          <w:lang w:val="en-GB"/>
        </w:rPr>
        <w:t>During the first half of 2012, using current valuations, the average LTV of principal home loans portfolios remained broadly stable in UK, South Africa and Italy. However, they increased in Spain and Portugal as a result of continued decline in the current value of residential property</w:t>
      </w:r>
    </w:p>
    <w:p w:rsidR="00A12DCA" w:rsidRPr="00100BF5" w:rsidRDefault="00A12DCA" w:rsidP="00217B6A">
      <w:pPr>
        <w:pStyle w:val="Level1Bullet-BarcRA03"/>
        <w:rPr>
          <w:lang w:val="en-GB"/>
        </w:rPr>
      </w:pPr>
      <w:r w:rsidRPr="00100BF5">
        <w:rPr>
          <w:lang w:val="en-GB"/>
        </w:rPr>
        <w:t>The increase in average LTV for new mortgage business in the UK was driven by the launch of a 90% LTV product, reflecting an increase in risk appetite on higher LTV lending. The volume in this sector is constrained by risk limits</w:t>
      </w:r>
    </w:p>
    <w:p w:rsidR="00A12DCA" w:rsidRPr="00100BF5" w:rsidRDefault="00A12DCA" w:rsidP="00217B6A">
      <w:pPr>
        <w:pStyle w:val="Level1Bullet-BarcRA03"/>
        <w:rPr>
          <w:lang w:val="en-GB"/>
        </w:rPr>
      </w:pPr>
      <w:r w:rsidRPr="00100BF5">
        <w:rPr>
          <w:lang w:val="en-GB"/>
        </w:rPr>
        <w:t>In line with expectations, new lending significantly reduced in the first half of 2012 across Europe home loan portfolios due to lending policy tightening. The average LTV on new mortgages for Spain increased moderately and was within Group approved risk profile. While new mortgages proportion above 85% LTV increased in the first half of 2012, they remain br</w:t>
      </w:r>
      <w:r w:rsidR="000F3AC9" w:rsidRPr="00100BF5">
        <w:rPr>
          <w:lang w:val="en-GB"/>
        </w:rPr>
        <w:t>oadly flat on an absolute basis</w:t>
      </w:r>
    </w:p>
    <w:p w:rsidR="00A12DCA" w:rsidRPr="00100BF5" w:rsidRDefault="00A12DCA" w:rsidP="00217B6A">
      <w:pPr>
        <w:pStyle w:val="Level1Bullet-BarcRA03"/>
        <w:rPr>
          <w:lang w:val="en-GB"/>
        </w:rPr>
      </w:pPr>
      <w:r w:rsidRPr="00100BF5">
        <w:rPr>
          <w:lang w:val="en-GB"/>
        </w:rPr>
        <w:t xml:space="preserve">In the </w:t>
      </w:r>
      <w:smartTag w:uri="urn:schemas-microsoft-com:office:smarttags" w:element="country-region">
        <w:smartTag w:uri="urn:schemas-microsoft-com:office:smarttags" w:element="place">
          <w:r w:rsidRPr="00100BF5">
            <w:rPr>
              <w:lang w:val="en-GB"/>
            </w:rPr>
            <w:t>UK</w:t>
          </w:r>
        </w:smartTag>
      </w:smartTag>
      <w:r w:rsidRPr="00100BF5">
        <w:rPr>
          <w:lang w:val="en-GB"/>
        </w:rPr>
        <w:t>, buy to let mortgages comprised 6% of the total stock (2011: 6%)</w:t>
      </w:r>
    </w:p>
    <w:p w:rsidR="00CF29F5" w:rsidRPr="00100BF5" w:rsidRDefault="00CF29F5" w:rsidP="00A12DCA">
      <w:pPr>
        <w:pStyle w:val="NoteSourceText-BarcRA90"/>
      </w:pPr>
    </w:p>
    <w:p w:rsidR="00EA010D" w:rsidRPr="00100BF5" w:rsidRDefault="00EA010D" w:rsidP="00A12DCA">
      <w:pPr>
        <w:pStyle w:val="NoteSourceText-BarcRA90"/>
      </w:pPr>
    </w:p>
    <w:p w:rsidR="001573DF" w:rsidRPr="00100BF5" w:rsidRDefault="001573DF" w:rsidP="00A12DCA">
      <w:pPr>
        <w:pStyle w:val="NoteSourceText-BarcRA90"/>
      </w:pPr>
    </w:p>
    <w:p w:rsidR="00217B6A" w:rsidRPr="00100BF5" w:rsidRDefault="00217B6A" w:rsidP="00A12DCA">
      <w:pPr>
        <w:pStyle w:val="NoteSourceText-BarcRA90"/>
      </w:pPr>
    </w:p>
    <w:p w:rsidR="001573DF" w:rsidRPr="00100BF5" w:rsidRDefault="001573DF" w:rsidP="00A12DCA">
      <w:pPr>
        <w:pStyle w:val="NoteSourceText-BarcRA90"/>
      </w:pPr>
    </w:p>
    <w:p w:rsidR="00AF72CF" w:rsidRDefault="00AF72CF" w:rsidP="00A12DCA">
      <w:pPr>
        <w:pStyle w:val="NoteSourceText-BarcRA90"/>
        <w:rPr>
          <w:sz w:val="2"/>
          <w:szCs w:val="2"/>
        </w:rPr>
      </w:pPr>
    </w:p>
    <w:p w:rsidR="000C3F6A" w:rsidRDefault="000C3F6A" w:rsidP="00A12DCA">
      <w:pPr>
        <w:pStyle w:val="NoteSourceText-BarcRA90"/>
        <w:rPr>
          <w:sz w:val="2"/>
          <w:szCs w:val="2"/>
        </w:rPr>
      </w:pPr>
    </w:p>
    <w:p w:rsidR="000C3F6A" w:rsidRDefault="000C3F6A" w:rsidP="00A12DCA">
      <w:pPr>
        <w:pStyle w:val="NoteSourceText-BarcRA90"/>
        <w:rPr>
          <w:sz w:val="2"/>
          <w:szCs w:val="2"/>
        </w:rPr>
      </w:pPr>
    </w:p>
    <w:p w:rsidR="000C3F6A" w:rsidRPr="00100BF5" w:rsidRDefault="000C3F6A" w:rsidP="00A12DCA">
      <w:pPr>
        <w:pStyle w:val="NoteSourceText-BarcRA90"/>
        <w:rPr>
          <w:sz w:val="2"/>
          <w:szCs w:val="2"/>
        </w:rPr>
      </w:pPr>
    </w:p>
    <w:p w:rsidR="00AF72CF" w:rsidRPr="00100BF5" w:rsidRDefault="00AF72CF" w:rsidP="00A12DCA">
      <w:pPr>
        <w:pStyle w:val="NoteSourceText-BarcRA90"/>
        <w:rPr>
          <w:sz w:val="2"/>
          <w:szCs w:val="2"/>
        </w:rPr>
      </w:pPr>
    </w:p>
    <w:p w:rsidR="00A12DCA" w:rsidRPr="00100BF5" w:rsidRDefault="00A12DCA" w:rsidP="00A12DCA">
      <w:pPr>
        <w:pStyle w:val="NoteSourceText-BarcRA90"/>
      </w:pPr>
      <w:r w:rsidRPr="00100BF5">
        <w:t>1</w:t>
      </w:r>
      <w:r w:rsidRPr="00100BF5">
        <w:tab/>
        <w:t xml:space="preserve">Excluded from the above analysis are: Wealth </w:t>
      </w:r>
      <w:r w:rsidR="001A77E4" w:rsidRPr="00100BF5">
        <w:t>h</w:t>
      </w:r>
      <w:r w:rsidRPr="00100BF5">
        <w:t xml:space="preserve">ome </w:t>
      </w:r>
      <w:r w:rsidR="001A77E4" w:rsidRPr="00100BF5">
        <w:t>l</w:t>
      </w:r>
      <w:r w:rsidRPr="00100BF5">
        <w:t xml:space="preserve">oans, which are managed on an individual customer exposure basis, France </w:t>
      </w:r>
      <w:r w:rsidR="001A77E4" w:rsidRPr="00100BF5">
        <w:t>h</w:t>
      </w:r>
      <w:r w:rsidRPr="00100BF5">
        <w:t xml:space="preserve">ome </w:t>
      </w:r>
      <w:r w:rsidR="001A77E4" w:rsidRPr="00100BF5">
        <w:t>l</w:t>
      </w:r>
      <w:r w:rsidRPr="00100BF5">
        <w:t xml:space="preserve">oans and other small </w:t>
      </w:r>
      <w:r w:rsidR="001A77E4" w:rsidRPr="00100BF5">
        <w:t>h</w:t>
      </w:r>
      <w:r w:rsidRPr="00100BF5">
        <w:t>ome</w:t>
      </w:r>
      <w:r w:rsidR="001A77E4" w:rsidRPr="00100BF5">
        <w:t xml:space="preserve"> l</w:t>
      </w:r>
      <w:r w:rsidRPr="00100BF5">
        <w:t>oans portfolios.</w:t>
      </w:r>
    </w:p>
    <w:p w:rsidR="00A12DCA" w:rsidRPr="00100BF5" w:rsidRDefault="00A12DCA" w:rsidP="00A12DCA">
      <w:pPr>
        <w:pStyle w:val="NoteSourceText-BarcRA1000"/>
      </w:pPr>
      <w:r w:rsidRPr="00100BF5">
        <w:t>2</w:t>
      </w:r>
      <w:r w:rsidRPr="00100BF5">
        <w:tab/>
      </w:r>
      <w:smartTag w:uri="urn:schemas-microsoft-com:office:smarttags" w:element="country-region">
        <w:r w:rsidRPr="00100BF5">
          <w:t>Spain</w:t>
        </w:r>
      </w:smartTag>
      <w:r w:rsidRPr="00100BF5">
        <w:t xml:space="preserve"> and </w:t>
      </w:r>
      <w:smartTag w:uri="urn:schemas-microsoft-com:office:smarttags" w:element="country-region">
        <w:smartTag w:uri="urn:schemas-microsoft-com:office:smarttags" w:element="place">
          <w:r w:rsidRPr="00100BF5">
            <w:t>Portugal</w:t>
          </w:r>
        </w:smartTag>
      </w:smartTag>
      <w:r w:rsidRPr="00100BF5">
        <w:t xml:space="preserve"> marked to market methodology based on balance weighted approach.</w:t>
      </w:r>
    </w:p>
    <w:p w:rsidR="00A12DCA" w:rsidRPr="00100BF5" w:rsidRDefault="00A12DCA" w:rsidP="00EA010D">
      <w:pPr>
        <w:pStyle w:val="NoteSourceText-BarcRA1000"/>
      </w:pPr>
      <w:r w:rsidRPr="00100BF5">
        <w:t>3</w:t>
      </w:r>
      <w:r w:rsidRPr="00100BF5">
        <w:tab/>
        <w:t xml:space="preserve">Portfolio marked to market based on the most updated valuation and includes recoveries balances. Updated valuations reflect the application of the latest house price index available in the country as at 30 June 2012 to calculate the Average MTM Portfolio LTV as at 30 June 2012. </w:t>
      </w:r>
    </w:p>
    <w:p w:rsidR="00A12DCA" w:rsidRPr="00100BF5" w:rsidRDefault="00A12DCA" w:rsidP="005F437E">
      <w:pPr>
        <w:pStyle w:val="HeadingLevel1-BarcRA"/>
      </w:pPr>
      <w:r w:rsidRPr="00100BF5">
        <w:br w:type="page"/>
      </w:r>
      <w:r w:rsidR="005F437E">
        <w:t>Credit Risk</w:t>
      </w:r>
    </w:p>
    <w:p w:rsidR="00A12DCA" w:rsidRPr="00100BF5" w:rsidRDefault="00A12DCA" w:rsidP="000C3F6A">
      <w:pPr>
        <w:pStyle w:val="HeadingLevel2-BarcRA80"/>
        <w:spacing w:before="0"/>
        <w:rPr>
          <w:color w:val="auto"/>
        </w:rPr>
      </w:pPr>
      <w:r w:rsidRPr="00100BF5">
        <w:rPr>
          <w:color w:val="auto"/>
        </w:rPr>
        <w:t>Credit Cards</w:t>
      </w:r>
      <w:r w:rsidRPr="00100BF5">
        <w:rPr>
          <w:color w:val="auto"/>
          <w:lang w:val="en-GB"/>
        </w:rPr>
        <w:t>, Overdrafts</w:t>
      </w:r>
      <w:r w:rsidRPr="00100BF5">
        <w:rPr>
          <w:color w:val="auto"/>
        </w:rPr>
        <w:t xml:space="preserve"> and Unsecured Loans</w:t>
      </w:r>
    </w:p>
    <w:p w:rsidR="00A12DCA" w:rsidRPr="00100BF5" w:rsidRDefault="00A12DCA" w:rsidP="00217B6A">
      <w:pPr>
        <w:pStyle w:val="Level1Bullet-BarcRA03"/>
        <w:rPr>
          <w:lang w:val="en-GB"/>
        </w:rPr>
      </w:pPr>
      <w:r w:rsidRPr="00100BF5">
        <w:rPr>
          <w:lang w:val="en-GB"/>
        </w:rPr>
        <w:t>The principal portfolios listed below account for 83% (December 2011: 82%) of total Credit Cards, Overdrafts and Unsecured Loans in the Group’s retail portfolios</w:t>
      </w:r>
    </w:p>
    <w:p w:rsidR="00A12DCA" w:rsidRPr="00100BF5" w:rsidRDefault="00A12DCA"/>
    <w:tbl>
      <w:tblPr>
        <w:tblW w:w="0" w:type="auto"/>
        <w:tblLayout w:type="fixed"/>
        <w:tblLook w:val="0000" w:firstRow="0" w:lastRow="0" w:firstColumn="0" w:lastColumn="0" w:noHBand="0" w:noVBand="0"/>
      </w:tblPr>
      <w:tblGrid>
        <w:gridCol w:w="2475"/>
        <w:gridCol w:w="1200"/>
        <w:gridCol w:w="1200"/>
        <w:gridCol w:w="1200"/>
        <w:gridCol w:w="1200"/>
        <w:gridCol w:w="1200"/>
        <w:gridCol w:w="1200"/>
      </w:tblGrid>
      <w:tr w:rsidR="00A12DCA" w:rsidRPr="00100BF5" w:rsidTr="001573DF">
        <w:tblPrEx>
          <w:tblCellMar>
            <w:top w:w="0" w:type="dxa"/>
            <w:bottom w:w="0" w:type="dxa"/>
          </w:tblCellMar>
        </w:tblPrEx>
        <w:trPr>
          <w:trHeight w:val="655"/>
        </w:trPr>
        <w:tc>
          <w:tcPr>
            <w:tcW w:w="2475"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b/>
                <w:sz w:val="16"/>
              </w:rPr>
              <w:t>Principal Portfolios</w:t>
            </w:r>
          </w:p>
          <w:p w:rsidR="00A12DCA" w:rsidRPr="00100BF5" w:rsidRDefault="00A12DCA">
            <w:pPr>
              <w:rPr>
                <w:b/>
                <w:sz w:val="16"/>
              </w:rPr>
            </w:pPr>
            <w:r w:rsidRPr="00100BF5">
              <w:rPr>
                <w:b/>
                <w:sz w:val="16"/>
              </w:rPr>
              <w:t>As at 30.06.12</w:t>
            </w:r>
            <w:r w:rsidRPr="00100BF5">
              <w:rPr>
                <w:b/>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Gross Loans and Advances</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30 Day </w:t>
            </w:r>
          </w:p>
          <w:p w:rsidR="00A12DCA" w:rsidRPr="00100BF5" w:rsidRDefault="00A12DCA">
            <w:pPr>
              <w:jc w:val="right"/>
              <w:rPr>
                <w:b/>
                <w:sz w:val="16"/>
              </w:rPr>
            </w:pPr>
            <w:r w:rsidRPr="00100BF5">
              <w:rPr>
                <w:b/>
                <w:sz w:val="16"/>
              </w:rPr>
              <w:t>Arrears</w:t>
            </w:r>
            <w:r w:rsidRPr="00100BF5">
              <w:rPr>
                <w:b/>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90 Day</w:t>
            </w:r>
          </w:p>
          <w:p w:rsidR="00A12DCA" w:rsidRPr="00100BF5" w:rsidRDefault="00A12DCA">
            <w:pPr>
              <w:jc w:val="right"/>
              <w:rPr>
                <w:b/>
                <w:sz w:val="16"/>
              </w:rPr>
            </w:pPr>
            <w:r w:rsidRPr="00100BF5">
              <w:rPr>
                <w:b/>
                <w:sz w:val="16"/>
              </w:rPr>
              <w:t>Arrears</w:t>
            </w:r>
            <w:r w:rsidRPr="00100BF5">
              <w:rPr>
                <w:b/>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Gross</w:t>
            </w:r>
          </w:p>
          <w:p w:rsidR="00A12DCA" w:rsidRPr="00100BF5" w:rsidRDefault="00A12DCA">
            <w:pPr>
              <w:jc w:val="right"/>
              <w:rPr>
                <w:b/>
                <w:sz w:val="16"/>
              </w:rPr>
            </w:pPr>
            <w:r w:rsidRPr="00100BF5">
              <w:rPr>
                <w:b/>
                <w:sz w:val="16"/>
              </w:rPr>
              <w:t xml:space="preserve">Charge-off </w:t>
            </w:r>
          </w:p>
          <w:p w:rsidR="00A12DCA" w:rsidRPr="00100BF5" w:rsidRDefault="00A12DCA">
            <w:pPr>
              <w:jc w:val="right"/>
              <w:rPr>
                <w:b/>
                <w:sz w:val="16"/>
              </w:rPr>
            </w:pPr>
            <w:r w:rsidRPr="00100BF5">
              <w:rPr>
                <w:b/>
                <w:sz w:val="16"/>
              </w:rPr>
              <w:t>Rates</w:t>
            </w:r>
            <w:r w:rsidRPr="00100BF5">
              <w:rPr>
                <w:b/>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Recoveries</w:t>
            </w:r>
          </w:p>
          <w:p w:rsidR="00A12DCA" w:rsidRPr="00100BF5" w:rsidRDefault="00A12DCA">
            <w:pPr>
              <w:jc w:val="right"/>
              <w:rPr>
                <w:b/>
                <w:sz w:val="16"/>
              </w:rPr>
            </w:pPr>
            <w:r w:rsidRPr="00100BF5">
              <w:rPr>
                <w:b/>
                <w:sz w:val="16"/>
              </w:rPr>
              <w:t>Proportion of</w:t>
            </w:r>
          </w:p>
          <w:p w:rsidR="00A12DCA" w:rsidRPr="00100BF5" w:rsidRDefault="00A12DCA">
            <w:pPr>
              <w:jc w:val="right"/>
              <w:rPr>
                <w:b/>
                <w:sz w:val="16"/>
              </w:rPr>
            </w:pPr>
            <w:r w:rsidRPr="00100BF5">
              <w:rPr>
                <w:b/>
                <w:sz w:val="16"/>
              </w:rPr>
              <w:t>Outstanding Balances</w:t>
            </w:r>
          </w:p>
        </w:tc>
        <w:tc>
          <w:tcPr>
            <w:tcW w:w="1200" w:type="dxa"/>
            <w:tcBorders>
              <w:top w:val="nil"/>
              <w:left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Recoveries Impairment Coverage Ratio</w:t>
            </w:r>
          </w:p>
        </w:tc>
      </w:tr>
      <w:tr w:rsidR="00A12DCA" w:rsidRPr="00100BF5" w:rsidTr="00EA010D">
        <w:tblPrEx>
          <w:tblCellMar>
            <w:top w:w="0" w:type="dxa"/>
            <w:bottom w:w="0" w:type="dxa"/>
          </w:tblCellMar>
        </w:tblPrEx>
        <w:trPr>
          <w:trHeight w:val="240"/>
        </w:trPr>
        <w:tc>
          <w:tcPr>
            <w:tcW w:w="247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A7226">
            <w:pPr>
              <w:jc w:val="right"/>
              <w:rPr>
                <w:b/>
                <w:sz w:val="16"/>
                <w:vertAlign w:val="superscript"/>
              </w:rPr>
            </w:pPr>
            <w:r w:rsidRPr="00100BF5">
              <w:rPr>
                <w:sz w:val="16"/>
              </w:rPr>
              <w:t>£m</w:t>
            </w:r>
          </w:p>
        </w:tc>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w:t>
            </w:r>
            <w:r w:rsidRPr="00100BF5">
              <w:rPr>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w:t>
            </w:r>
            <w:r w:rsidRPr="00100BF5">
              <w:rPr>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w:t>
            </w:r>
            <w:r w:rsidRPr="00100BF5">
              <w:rPr>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w:t>
            </w:r>
          </w:p>
        </w:tc>
        <w:tc>
          <w:tcPr>
            <w:tcW w:w="1200" w:type="dxa"/>
            <w:tcBorders>
              <w:top w:val="nil"/>
              <w:left w:val="nil"/>
              <w:bottom w:val="single" w:sz="4" w:space="0" w:color="969696"/>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w:t>
            </w:r>
          </w:p>
        </w:tc>
      </w:tr>
      <w:tr w:rsidR="00A12DCA" w:rsidRPr="00100BF5" w:rsidTr="00EA010D">
        <w:tblPrEx>
          <w:tblCellMar>
            <w:top w:w="0" w:type="dxa"/>
            <w:bottom w:w="0" w:type="dxa"/>
          </w:tblCellMar>
        </w:tblPrEx>
        <w:trPr>
          <w:trHeight w:val="240"/>
        </w:trPr>
        <w:tc>
          <w:tcPr>
            <w:tcW w:w="24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UK cards</w:t>
            </w:r>
            <w:r w:rsidR="008C1856">
              <w:rPr>
                <w:sz w:val="16"/>
                <w:vertAlign w:val="superscript"/>
              </w:rPr>
              <w:t>1,</w:t>
            </w:r>
            <w:r w:rsidRPr="00100BF5">
              <w:rPr>
                <w:sz w:val="16"/>
                <w:vertAlign w:val="superscript"/>
              </w:rPr>
              <w:t xml:space="preserve">2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14,686 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2.7 </w:t>
            </w:r>
            <w:r w:rsidRPr="00100BF5">
              <w:rPr>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1.2 </w:t>
            </w:r>
            <w:r w:rsidRPr="00100BF5">
              <w:rPr>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5.1 </w:t>
            </w:r>
            <w:r w:rsidRPr="00100BF5">
              <w:rPr>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6.3 </w:t>
            </w:r>
          </w:p>
        </w:tc>
        <w:tc>
          <w:tcPr>
            <w:tcW w:w="1200" w:type="dxa"/>
            <w:tcBorders>
              <w:top w:val="single" w:sz="4" w:space="0" w:color="969696"/>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80.7 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US cards</w:t>
            </w:r>
            <w:r w:rsidRPr="00100BF5">
              <w:rPr>
                <w:sz w:val="16"/>
                <w:vertAlign w:val="superscript"/>
              </w:rPr>
              <w:t>3 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8,510 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2.5 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1.2 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5.7 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3.1 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89.3 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UK personal loans</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5,030 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3.0 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1.4 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5.3 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17.7 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79.9 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Barclays Partner Finance</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2,224 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2.0 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1.0 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4.1 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6.1 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77.5 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 xml:space="preserve">South Africa cards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1,874 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5.1 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2.5 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4.1 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6.0 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77.0 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Europe RBB cards</w:t>
            </w:r>
            <w:r w:rsidRPr="00100BF5">
              <w:rPr>
                <w:sz w:val="16"/>
                <w:vertAlign w:val="superscript"/>
              </w:rPr>
              <w:t>4 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1,616 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6.2 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2.8 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9.2 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15.4 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91.4 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Italy salary advance loans</w:t>
            </w:r>
            <w:r w:rsidRPr="00100BF5">
              <w:rPr>
                <w:sz w:val="16"/>
                <w:vertAlign w:val="superscript"/>
              </w:rPr>
              <w:t>5 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1,518 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2.0 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1.0 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8.8 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8.0 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11.5 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South Africa personal loans</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1,115 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6.7 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4.1 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8.7 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7.3 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75.0 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UK overdrafts</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1,225 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5.8 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3.8 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9C5A7D">
            <w:pPr>
              <w:jc w:val="right"/>
              <w:rPr>
                <w:sz w:val="16"/>
                <w:vertAlign w:val="superscript"/>
              </w:rPr>
            </w:pPr>
            <w:r w:rsidRPr="00100BF5">
              <w:rPr>
                <w:sz w:val="16"/>
              </w:rPr>
              <w:t>8.</w:t>
            </w:r>
            <w:r w:rsidR="009C5A7D">
              <w:rPr>
                <w:sz w:val="16"/>
              </w:rPr>
              <w:t>4</w:t>
            </w:r>
            <w:r w:rsidRPr="00100BF5">
              <w:rPr>
                <w:sz w:val="16"/>
              </w:rPr>
              <w:t>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16.1 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91.8 </w:t>
            </w:r>
          </w:p>
        </w:tc>
      </w:tr>
      <w:tr w:rsidR="00A12DCA" w:rsidRPr="00100BF5" w:rsidTr="00EA010D">
        <w:tblPrEx>
          <w:tblCellMar>
            <w:top w:w="0" w:type="dxa"/>
            <w:bottom w:w="0" w:type="dxa"/>
          </w:tblCellMar>
        </w:tblPrEx>
        <w:trPr>
          <w:trHeight w:hRule="exact" w:val="240"/>
        </w:trPr>
        <w:tc>
          <w:tcPr>
            <w:tcW w:w="247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200" w:type="dxa"/>
            <w:tcBorders>
              <w:top w:val="nil"/>
              <w:left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rsidTr="00EA010D">
        <w:tblPrEx>
          <w:tblCellMar>
            <w:top w:w="0" w:type="dxa"/>
            <w:bottom w:w="0" w:type="dxa"/>
          </w:tblCellMar>
        </w:tblPrEx>
        <w:trPr>
          <w:trHeight w:val="240"/>
        </w:trPr>
        <w:tc>
          <w:tcPr>
            <w:tcW w:w="24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DA7226">
            <w:pPr>
              <w:rPr>
                <w:sz w:val="16"/>
              </w:rPr>
            </w:pPr>
            <w:r w:rsidRPr="00100BF5">
              <w:rPr>
                <w:b/>
                <w:sz w:val="16"/>
              </w:rPr>
              <w:t>As at 31.12.11</w:t>
            </w:r>
            <w:r w:rsidRPr="00100BF5">
              <w:rPr>
                <w:b/>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sz w:val="16"/>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200" w:type="dxa"/>
            <w:tcBorders>
              <w:top w:val="nil"/>
              <w:left w:val="nil"/>
              <w:bottom w:val="single" w:sz="4" w:space="0" w:color="969696"/>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rsidTr="00EA010D">
        <w:tblPrEx>
          <w:tblCellMar>
            <w:top w:w="0" w:type="dxa"/>
            <w:bottom w:w="0" w:type="dxa"/>
          </w:tblCellMar>
        </w:tblPrEx>
        <w:trPr>
          <w:trHeight w:val="240"/>
        </w:trPr>
        <w:tc>
          <w:tcPr>
            <w:tcW w:w="24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C1856">
            <w:pPr>
              <w:rPr>
                <w:sz w:val="16"/>
              </w:rPr>
            </w:pPr>
            <w:r w:rsidRPr="00100BF5">
              <w:rPr>
                <w:sz w:val="16"/>
              </w:rPr>
              <w:t>UK cards</w:t>
            </w:r>
            <w:r w:rsidRPr="00100BF5">
              <w:rPr>
                <w:sz w:val="16"/>
                <w:vertAlign w:val="superscript"/>
              </w:rPr>
              <w:t>1</w:t>
            </w:r>
            <w:r w:rsidR="008C1856">
              <w:rPr>
                <w:sz w:val="16"/>
                <w:vertAlign w:val="superscript"/>
              </w:rPr>
              <w:t>,</w:t>
            </w:r>
            <w:r w:rsidRPr="00100BF5">
              <w:rPr>
                <w:sz w:val="16"/>
                <w:vertAlign w:val="superscript"/>
              </w:rPr>
              <w:t xml:space="preserve">2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14,692 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2.7 </w:t>
            </w:r>
            <w:r w:rsidRPr="00100BF5">
              <w:rPr>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1.2 </w:t>
            </w:r>
            <w:r w:rsidRPr="00100BF5">
              <w:rPr>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6.2 </w:t>
            </w:r>
            <w:r w:rsidRPr="00100BF5">
              <w:rPr>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6.8 </w:t>
            </w:r>
          </w:p>
        </w:tc>
        <w:tc>
          <w:tcPr>
            <w:tcW w:w="1200" w:type="dxa"/>
            <w:tcBorders>
              <w:top w:val="single" w:sz="4" w:space="0" w:color="969696"/>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85.2 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US cards</w:t>
            </w:r>
            <w:r w:rsidRPr="00100BF5">
              <w:rPr>
                <w:sz w:val="16"/>
                <w:vertAlign w:val="superscript"/>
              </w:rPr>
              <w:t>3 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8,303 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3.1 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1.5 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7.6 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3.5 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92.1 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UK personal loans</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5,166 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3.4 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1.7 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6.5 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19.0 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82.8 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Barclays Partner Finance</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2,122 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2.4 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1.3 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4.6 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6.3 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84.8 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 xml:space="preserve">South Africa cards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1,816 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4.9 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2.7 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5.5 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6.7 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72.9 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Europe RBB cards</w:t>
            </w:r>
            <w:r w:rsidRPr="00100BF5">
              <w:rPr>
                <w:sz w:val="16"/>
                <w:vertAlign w:val="superscript"/>
              </w:rPr>
              <w:t>4 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1,684 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5.9 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2.6 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10.1 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13.8 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89.5 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Italy salary advance loans</w:t>
            </w:r>
            <w:r w:rsidRPr="00100BF5">
              <w:rPr>
                <w:sz w:val="16"/>
                <w:vertAlign w:val="superscript"/>
              </w:rPr>
              <w:t>5 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1,629 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2.6 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1.3 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6.3 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6.6 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11.7 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South Africa personal loans</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1,164 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6.4 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3.9 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8.3 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6.9 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72.4 </w:t>
            </w:r>
          </w:p>
        </w:tc>
      </w:tr>
      <w:tr w:rsidR="00A12DCA" w:rsidRPr="00100BF5" w:rsidTr="00DA7226">
        <w:tblPrEx>
          <w:tblCellMar>
            <w:top w:w="0" w:type="dxa"/>
            <w:bottom w:w="0" w:type="dxa"/>
          </w:tblCellMar>
        </w:tblPrEx>
        <w:trPr>
          <w:trHeight w:val="240"/>
        </w:trPr>
        <w:tc>
          <w:tcPr>
            <w:tcW w:w="2475"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rPr>
                <w:sz w:val="16"/>
              </w:rPr>
            </w:pPr>
            <w:r w:rsidRPr="00100BF5">
              <w:rPr>
                <w:sz w:val="16"/>
              </w:rPr>
              <w:t>UK overdrafts</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1,322 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rPr>
            </w:pPr>
            <w:r w:rsidRPr="00100BF5">
              <w:rPr>
                <w:sz w:val="16"/>
              </w:rPr>
              <w:t>6.0 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3.9 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9.7 </w:t>
            </w:r>
            <w:r w:rsidRPr="00100BF5">
              <w:rPr>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center"/>
          </w:tcPr>
          <w:p w:rsidR="00A12DCA" w:rsidRPr="00100BF5" w:rsidRDefault="00A12DCA" w:rsidP="00DA7226">
            <w:pPr>
              <w:jc w:val="right"/>
              <w:rPr>
                <w:sz w:val="16"/>
                <w:vertAlign w:val="superscript"/>
              </w:rPr>
            </w:pPr>
            <w:r w:rsidRPr="00100BF5">
              <w:rPr>
                <w:sz w:val="16"/>
              </w:rPr>
              <w:t>17.5 </w:t>
            </w:r>
          </w:p>
        </w:tc>
        <w:tc>
          <w:tcPr>
            <w:tcW w:w="1200" w:type="dxa"/>
            <w:tcBorders>
              <w:top w:val="nil"/>
              <w:left w:val="nil"/>
              <w:bottom w:val="nil"/>
              <w:right w:val="nil"/>
            </w:tcBorders>
            <w:shd w:val="clear" w:color="auto" w:fill="EAEAEA"/>
            <w:tcMar>
              <w:left w:w="36" w:type="dxa"/>
              <w:right w:w="36" w:type="dxa"/>
            </w:tcMar>
            <w:vAlign w:val="center"/>
          </w:tcPr>
          <w:p w:rsidR="00A12DCA" w:rsidRPr="00100BF5" w:rsidRDefault="00A12DCA" w:rsidP="00DA7226">
            <w:pPr>
              <w:jc w:val="right"/>
              <w:rPr>
                <w:sz w:val="16"/>
              </w:rPr>
            </w:pPr>
            <w:r w:rsidRPr="00100BF5">
              <w:rPr>
                <w:sz w:val="16"/>
              </w:rPr>
              <w:t>90.6 </w:t>
            </w:r>
          </w:p>
        </w:tc>
      </w:tr>
    </w:tbl>
    <w:p w:rsidR="00A12DCA" w:rsidRPr="00100BF5" w:rsidRDefault="00A12DCA"/>
    <w:p w:rsidR="00A12DCA" w:rsidRPr="00100BF5" w:rsidRDefault="00A12DCA" w:rsidP="00217B6A">
      <w:pPr>
        <w:pStyle w:val="Level1Bullet-BarcRA03"/>
        <w:rPr>
          <w:lang w:val="en-GB"/>
        </w:rPr>
      </w:pPr>
      <w:r w:rsidRPr="00100BF5">
        <w:rPr>
          <w:lang w:val="en-GB"/>
        </w:rPr>
        <w:t>Total Credit Cards, Overdrafts and Unsecured Loans remained broadly stable with the increase in card portfolios due to acquisitions being offset by decreases in unsecured loans and overdraft portfolios</w:t>
      </w:r>
    </w:p>
    <w:p w:rsidR="00A12DCA" w:rsidRPr="00100BF5" w:rsidRDefault="00A12DCA" w:rsidP="00217B6A">
      <w:pPr>
        <w:pStyle w:val="Level1Bullet-BarcRA03"/>
        <w:rPr>
          <w:lang w:val="en-GB"/>
        </w:rPr>
      </w:pPr>
      <w:r w:rsidRPr="00100BF5">
        <w:rPr>
          <w:lang w:val="en-GB"/>
        </w:rPr>
        <w:t>In the first half of 2012, arrears rates improved in the main UK and US portfolios and also in the smaller Italian salary advance loans portfolio. Arrears rates in the European Cards portfolios deteriorated marginally in the same period, reflecting the difficult economic environment. The South African card portfolio deteriorated marginally due to slightly increased risk appetite but performance remains within expectations</w:t>
      </w:r>
    </w:p>
    <w:p w:rsidR="00A12DCA" w:rsidRPr="00100BF5" w:rsidRDefault="00A12DCA" w:rsidP="00217B6A">
      <w:pPr>
        <w:pStyle w:val="Level1Bullet-BarcRA03"/>
        <w:rPr>
          <w:lang w:val="en-GB"/>
        </w:rPr>
      </w:pPr>
      <w:r w:rsidRPr="00100BF5">
        <w:rPr>
          <w:lang w:val="en-GB"/>
        </w:rPr>
        <w:t xml:space="preserve"> 90 day arrears remained stable at 1.2% (2011: 1.2%) in UK Cards. Arrears improved to 1.2% (2011: 1.5%) in US Cards, reflecting a continued move towards better asset quality and a continued shift in mix to Partner originations, which has historically produced lower delinquencies and losses</w:t>
      </w:r>
    </w:p>
    <w:p w:rsidR="00A12DCA" w:rsidRPr="00100BF5" w:rsidRDefault="00A12DCA" w:rsidP="00A12DCA">
      <w:pPr>
        <w:pStyle w:val="NoteSourceText-BarcRA71"/>
        <w:rPr>
          <w:iCs w:val="0"/>
        </w:rPr>
      </w:pPr>
    </w:p>
    <w:p w:rsidR="00A12DCA" w:rsidRPr="00100BF5" w:rsidRDefault="00A12DCA" w:rsidP="00A12DCA">
      <w:pPr>
        <w:pStyle w:val="NoteSourceText-BarcRA71"/>
        <w:ind w:left="0" w:firstLine="0"/>
        <w:rPr>
          <w:iCs w:val="0"/>
        </w:rPr>
      </w:pPr>
    </w:p>
    <w:p w:rsidR="00A12DCA" w:rsidRPr="00100BF5" w:rsidRDefault="00A12DCA" w:rsidP="00A12DCA">
      <w:pPr>
        <w:pStyle w:val="NoteSourceText-BarcRA71"/>
        <w:rPr>
          <w:iCs w:val="0"/>
        </w:rPr>
      </w:pPr>
    </w:p>
    <w:p w:rsidR="00A12DCA" w:rsidRPr="00100BF5" w:rsidRDefault="00A12DCA" w:rsidP="00A12DCA">
      <w:pPr>
        <w:pStyle w:val="NoteSourceText-BarcRA71"/>
        <w:rPr>
          <w:iCs w:val="0"/>
        </w:rPr>
      </w:pPr>
    </w:p>
    <w:p w:rsidR="00A12DCA" w:rsidRPr="00100BF5" w:rsidRDefault="00A12DCA" w:rsidP="00A12DCA">
      <w:pPr>
        <w:pStyle w:val="NoteSourceText-BarcRA71"/>
        <w:rPr>
          <w:iCs w:val="0"/>
        </w:rPr>
      </w:pPr>
    </w:p>
    <w:p w:rsidR="00A12DCA" w:rsidRPr="00100BF5" w:rsidRDefault="00A12DCA" w:rsidP="00A12DCA">
      <w:pPr>
        <w:pStyle w:val="NoteSourceText-BarcRA71"/>
        <w:rPr>
          <w:iCs w:val="0"/>
        </w:rPr>
      </w:pPr>
    </w:p>
    <w:p w:rsidR="00217B6A" w:rsidRPr="00100BF5" w:rsidRDefault="00217B6A" w:rsidP="00A12DCA">
      <w:pPr>
        <w:pStyle w:val="NoteSourceText-BarcRA71"/>
        <w:rPr>
          <w:iCs w:val="0"/>
        </w:rPr>
      </w:pPr>
    </w:p>
    <w:p w:rsidR="00A12DCA" w:rsidRPr="00100BF5" w:rsidRDefault="00A12DCA" w:rsidP="00A12DCA">
      <w:pPr>
        <w:pStyle w:val="NoteSourceText-BarcRA71"/>
        <w:rPr>
          <w:iCs w:val="0"/>
        </w:rPr>
      </w:pPr>
    </w:p>
    <w:p w:rsidR="00A12DCA" w:rsidRPr="00100BF5" w:rsidRDefault="00A12DCA" w:rsidP="00A12DCA">
      <w:pPr>
        <w:pStyle w:val="NoteSourceText-BarcRA71"/>
        <w:rPr>
          <w:iCs w:val="0"/>
        </w:rPr>
      </w:pPr>
    </w:p>
    <w:p w:rsidR="00A12DCA" w:rsidRPr="00100BF5" w:rsidRDefault="00A12DCA" w:rsidP="00A12DCA">
      <w:pPr>
        <w:pStyle w:val="NoteSourceText-BarcRA71"/>
        <w:rPr>
          <w:iCs w:val="0"/>
        </w:rPr>
      </w:pPr>
    </w:p>
    <w:p w:rsidR="00A12DCA" w:rsidRPr="00100BF5" w:rsidRDefault="00A12DCA" w:rsidP="00A12DCA">
      <w:pPr>
        <w:pStyle w:val="NoteSourceText-BarcRA71"/>
        <w:rPr>
          <w:iCs w:val="0"/>
          <w:sz w:val="2"/>
          <w:szCs w:val="2"/>
        </w:rPr>
      </w:pPr>
    </w:p>
    <w:p w:rsidR="00AF72CF" w:rsidRDefault="00AF72CF" w:rsidP="00A12DCA">
      <w:pPr>
        <w:pStyle w:val="NoteSourceText-BarcRA71"/>
        <w:rPr>
          <w:iCs w:val="0"/>
          <w:sz w:val="2"/>
          <w:szCs w:val="2"/>
        </w:rPr>
      </w:pPr>
    </w:p>
    <w:p w:rsidR="000C3F6A" w:rsidRDefault="000C3F6A" w:rsidP="00A12DCA">
      <w:pPr>
        <w:pStyle w:val="NoteSourceText-BarcRA71"/>
        <w:rPr>
          <w:iCs w:val="0"/>
          <w:sz w:val="2"/>
          <w:szCs w:val="2"/>
        </w:rPr>
      </w:pPr>
    </w:p>
    <w:p w:rsidR="000C3F6A" w:rsidRDefault="000C3F6A" w:rsidP="00A12DCA">
      <w:pPr>
        <w:pStyle w:val="NoteSourceText-BarcRA71"/>
        <w:rPr>
          <w:iCs w:val="0"/>
          <w:sz w:val="2"/>
          <w:szCs w:val="2"/>
        </w:rPr>
      </w:pPr>
    </w:p>
    <w:p w:rsidR="000C3F6A" w:rsidRDefault="000C3F6A" w:rsidP="00A12DCA">
      <w:pPr>
        <w:pStyle w:val="NoteSourceText-BarcRA71"/>
        <w:rPr>
          <w:iCs w:val="0"/>
          <w:sz w:val="2"/>
          <w:szCs w:val="2"/>
        </w:rPr>
      </w:pPr>
    </w:p>
    <w:p w:rsidR="000C3F6A" w:rsidRDefault="000C3F6A" w:rsidP="00A12DCA">
      <w:pPr>
        <w:pStyle w:val="NoteSourceText-BarcRA71"/>
        <w:rPr>
          <w:iCs w:val="0"/>
          <w:sz w:val="2"/>
          <w:szCs w:val="2"/>
        </w:rPr>
      </w:pPr>
    </w:p>
    <w:p w:rsidR="000C3F6A" w:rsidRPr="00100BF5" w:rsidRDefault="000C3F6A" w:rsidP="00A12DCA">
      <w:pPr>
        <w:pStyle w:val="NoteSourceText-BarcRA71"/>
        <w:rPr>
          <w:iCs w:val="0"/>
          <w:sz w:val="2"/>
          <w:szCs w:val="2"/>
        </w:rPr>
      </w:pPr>
    </w:p>
    <w:p w:rsidR="00AF72CF" w:rsidRPr="00100BF5" w:rsidRDefault="00AF72CF" w:rsidP="00A12DCA">
      <w:pPr>
        <w:pStyle w:val="NoteSourceText-BarcRA71"/>
        <w:rPr>
          <w:iCs w:val="0"/>
          <w:sz w:val="2"/>
          <w:szCs w:val="2"/>
        </w:rPr>
      </w:pPr>
    </w:p>
    <w:p w:rsidR="00AF72CF" w:rsidRPr="00100BF5" w:rsidRDefault="00AF72CF" w:rsidP="00A12DCA">
      <w:pPr>
        <w:pStyle w:val="NoteSourceText-BarcRA71"/>
        <w:rPr>
          <w:iCs w:val="0"/>
          <w:sz w:val="2"/>
          <w:szCs w:val="2"/>
        </w:rPr>
      </w:pPr>
    </w:p>
    <w:p w:rsidR="00AF72CF" w:rsidRPr="00100BF5" w:rsidRDefault="00AF72CF" w:rsidP="00A12DCA">
      <w:pPr>
        <w:pStyle w:val="NoteSourceText-BarcRA71"/>
        <w:rPr>
          <w:iCs w:val="0"/>
          <w:sz w:val="2"/>
          <w:szCs w:val="2"/>
        </w:rPr>
      </w:pPr>
    </w:p>
    <w:p w:rsidR="00AF72CF" w:rsidRPr="00100BF5" w:rsidRDefault="00AF72CF" w:rsidP="00A12DCA">
      <w:pPr>
        <w:pStyle w:val="NoteSourceText-BarcRA71"/>
        <w:rPr>
          <w:iCs w:val="0"/>
          <w:sz w:val="2"/>
          <w:szCs w:val="2"/>
        </w:rPr>
      </w:pPr>
    </w:p>
    <w:p w:rsidR="00A12DCA" w:rsidRPr="00100BF5" w:rsidRDefault="00A12DCA" w:rsidP="00A12DCA">
      <w:pPr>
        <w:pStyle w:val="Normal52"/>
        <w:ind w:left="284" w:hanging="284"/>
        <w:rPr>
          <w:i/>
          <w:iCs/>
          <w:sz w:val="14"/>
          <w:szCs w:val="14"/>
        </w:rPr>
      </w:pPr>
      <w:r w:rsidRPr="00100BF5">
        <w:rPr>
          <w:i/>
          <w:sz w:val="14"/>
          <w:szCs w:val="14"/>
        </w:rPr>
        <w:t>1</w:t>
      </w:r>
      <w:r w:rsidRPr="00100BF5">
        <w:rPr>
          <w:iCs/>
        </w:rPr>
        <w:tab/>
      </w:r>
      <w:r w:rsidRPr="00100BF5">
        <w:rPr>
          <w:i/>
          <w:iCs/>
          <w:sz w:val="14"/>
          <w:szCs w:val="14"/>
        </w:rPr>
        <w:t>UK cards includes balances related to the acquired Egg credit card assets, which totalled £1.7bn at acquisition. The outstanding acquired balances have been excluded from the recoveries impairment coverage ratio on the basis that the portfolio has been recognised on acquisition at fair value during 2011 (with no related impairment allowance). Impairment allowances have been recognised as appropriate where these relate to the period post acquisition.</w:t>
      </w:r>
    </w:p>
    <w:p w:rsidR="00A12DCA" w:rsidRPr="00100BF5" w:rsidRDefault="00A12DCA" w:rsidP="00A12DCA">
      <w:pPr>
        <w:pStyle w:val="NoteSourceText-BarcRA71"/>
        <w:rPr>
          <w:iCs w:val="0"/>
        </w:rPr>
      </w:pPr>
      <w:r w:rsidRPr="00100BF5">
        <w:rPr>
          <w:iCs w:val="0"/>
        </w:rPr>
        <w:t xml:space="preserve">2       UK cards includes Barclays Branded Card and Partnership Card assets. </w:t>
      </w:r>
    </w:p>
    <w:p w:rsidR="00A12DCA" w:rsidRPr="00100BF5" w:rsidRDefault="00A12DCA" w:rsidP="00A12DCA">
      <w:pPr>
        <w:pStyle w:val="Normal52"/>
        <w:ind w:left="284" w:hanging="284"/>
        <w:rPr>
          <w:i/>
          <w:iCs/>
          <w:sz w:val="14"/>
          <w:szCs w:val="14"/>
        </w:rPr>
      </w:pPr>
      <w:r w:rsidRPr="00100BF5">
        <w:rPr>
          <w:i/>
          <w:iCs/>
          <w:sz w:val="14"/>
          <w:szCs w:val="14"/>
        </w:rPr>
        <w:t>3</w:t>
      </w:r>
      <w:r w:rsidRPr="00100BF5">
        <w:rPr>
          <w:i/>
          <w:iCs/>
          <w:sz w:val="14"/>
          <w:szCs w:val="14"/>
        </w:rPr>
        <w:tab/>
        <w:t>Risk metrics exclude the impact of the $1.4bn Upromise portfolio acquired in December 2011.</w:t>
      </w:r>
    </w:p>
    <w:p w:rsidR="00A12DCA" w:rsidRPr="00100BF5" w:rsidRDefault="00A12DCA" w:rsidP="00A12DCA">
      <w:pPr>
        <w:pStyle w:val="NoteSourceText-BarcRA71"/>
        <w:rPr>
          <w:iCs w:val="0"/>
        </w:rPr>
      </w:pPr>
      <w:r w:rsidRPr="00100BF5">
        <w:rPr>
          <w:iCs w:val="0"/>
        </w:rPr>
        <w:t>4</w:t>
      </w:r>
      <w:r w:rsidRPr="00100BF5">
        <w:rPr>
          <w:iCs w:val="0"/>
        </w:rPr>
        <w:tab/>
        <w:t>Europe RBB cards includes Spain, Portugal and Italy card assets.</w:t>
      </w:r>
    </w:p>
    <w:p w:rsidR="00A12DCA" w:rsidRPr="00100BF5" w:rsidRDefault="00A12DCA" w:rsidP="00A12DCA">
      <w:pPr>
        <w:pStyle w:val="NoteSourceText-BarcRA71"/>
        <w:rPr>
          <w:iCs w:val="0"/>
        </w:rPr>
      </w:pPr>
      <w:r w:rsidRPr="00100BF5">
        <w:rPr>
          <w:iCs w:val="0"/>
        </w:rPr>
        <w:t>5</w:t>
      </w:r>
      <w:r w:rsidRPr="00100BF5">
        <w:rPr>
          <w:iCs w:val="0"/>
        </w:rPr>
        <w:tab/>
        <w:t>The recoveries impairment coverage ratio for Italy salary advance loans is lower than other unsecured portfolios as these loans are extended to customers where the repayment is made via a salary deduction at source by qualifying employers and Barclays is insured in the event of termination of employment or death. Recoveries represent balances where insurance claims are pending that we believe are largely recoverable, hence the lower coverage.</w:t>
      </w:r>
    </w:p>
    <w:p w:rsidR="00A12DCA" w:rsidRPr="00100BF5" w:rsidRDefault="00A12DCA" w:rsidP="005F437E">
      <w:pPr>
        <w:pStyle w:val="HeadingLevel1-BarcRA"/>
      </w:pPr>
      <w:r w:rsidRPr="00100BF5">
        <w:br w:type="page"/>
      </w:r>
      <w:r w:rsidR="005F437E">
        <w:t>Credit Risk</w:t>
      </w:r>
    </w:p>
    <w:p w:rsidR="00A12DCA" w:rsidRPr="00100BF5" w:rsidRDefault="00A12DCA" w:rsidP="000C3F6A">
      <w:pPr>
        <w:pStyle w:val="HeadingLevel2-BarcRA13"/>
        <w:spacing w:before="0"/>
        <w:rPr>
          <w:color w:val="auto"/>
        </w:rPr>
      </w:pPr>
      <w:r w:rsidRPr="00100BF5">
        <w:rPr>
          <w:color w:val="auto"/>
        </w:rPr>
        <w:t>Retail Forbearance Programmes</w:t>
      </w:r>
    </w:p>
    <w:p w:rsidR="00A12DCA" w:rsidRPr="00100BF5" w:rsidRDefault="00A12DCA" w:rsidP="00A12DCA">
      <w:pPr>
        <w:pStyle w:val="BodyText-BarcRA400"/>
        <w:rPr>
          <w:b/>
        </w:rPr>
      </w:pPr>
      <w:r w:rsidRPr="00100BF5">
        <w:rPr>
          <w:b/>
        </w:rPr>
        <w:t>Forbearance Programmes on Principal Credit Cards, Overdrafts, Unsecured Loan and Home Loans Portfolios</w:t>
      </w:r>
    </w:p>
    <w:p w:rsidR="00A12DCA" w:rsidRPr="00100BF5" w:rsidRDefault="00A12DCA" w:rsidP="00E107FB">
      <w:pPr>
        <w:pStyle w:val="Level1Bullet-BarcRA03"/>
        <w:rPr>
          <w:lang w:val="en-GB"/>
        </w:rPr>
      </w:pPr>
      <w:r w:rsidRPr="00100BF5">
        <w:rPr>
          <w:lang w:val="en-GB"/>
        </w:rPr>
        <w:t xml:space="preserve">Forbearance on the Group’s principal portfolios in the US, UK </w:t>
      </w:r>
      <w:r w:rsidR="00E95226">
        <w:rPr>
          <w:lang w:val="en-GB"/>
        </w:rPr>
        <w:t>and Europe are presented below</w:t>
      </w:r>
    </w:p>
    <w:p w:rsidR="00A12DCA" w:rsidRPr="00100BF5" w:rsidRDefault="00A12DCA" w:rsidP="00E107FB">
      <w:pPr>
        <w:pStyle w:val="Level1Bullet-BarcRA03"/>
        <w:spacing w:after="0"/>
        <w:rPr>
          <w:lang w:val="en-GB"/>
        </w:rPr>
      </w:pPr>
      <w:r w:rsidRPr="00100BF5">
        <w:rPr>
          <w:lang w:val="en-GB"/>
        </w:rPr>
        <w:t>The level of forbearance extended to customers in other retail portfolios is not material and, typically</w:t>
      </w:r>
      <w:r w:rsidR="00E95226">
        <w:rPr>
          <w:lang w:val="en-GB"/>
        </w:rPr>
        <w:t>, is not a significant factor in</w:t>
      </w:r>
      <w:r w:rsidRPr="00100BF5">
        <w:rPr>
          <w:lang w:val="en-GB"/>
        </w:rPr>
        <w:t xml:space="preserve"> the management of customer relationships. However, should forbearance in any of these portfolios become material, they will be added to this disclosure</w:t>
      </w:r>
    </w:p>
    <w:p w:rsidR="00A12DCA" w:rsidRPr="00100BF5" w:rsidRDefault="00A12DCA">
      <w:pPr>
        <w:rPr>
          <w:szCs w:val="18"/>
        </w:rPr>
      </w:pPr>
    </w:p>
    <w:tbl>
      <w:tblPr>
        <w:tblW w:w="0" w:type="auto"/>
        <w:tblLayout w:type="fixed"/>
        <w:tblLook w:val="0000" w:firstRow="0" w:lastRow="0" w:firstColumn="0" w:lastColumn="0" w:noHBand="0" w:noVBand="0"/>
      </w:tblPr>
      <w:tblGrid>
        <w:gridCol w:w="2505"/>
        <w:gridCol w:w="1785"/>
        <w:gridCol w:w="1785"/>
        <w:gridCol w:w="1785"/>
        <w:gridCol w:w="1785"/>
      </w:tblGrid>
      <w:tr w:rsidR="00A12DCA" w:rsidRPr="00100BF5" w:rsidTr="006A49F3">
        <w:tblPrEx>
          <w:tblCellMar>
            <w:top w:w="0" w:type="dxa"/>
            <w:bottom w:w="0" w:type="dxa"/>
          </w:tblCellMar>
        </w:tblPrEx>
        <w:trPr>
          <w:trHeight w:hRule="exact" w:val="851"/>
        </w:trPr>
        <w:tc>
          <w:tcPr>
            <w:tcW w:w="25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Cs w:val="18"/>
              </w:rPr>
            </w:pPr>
            <w:r w:rsidRPr="00100BF5">
              <w:rPr>
                <w:b/>
                <w:sz w:val="16"/>
                <w:szCs w:val="18"/>
              </w:rPr>
              <w:t>Principal Portfolios</w:t>
            </w:r>
            <w:r w:rsidRPr="00100BF5">
              <w:rPr>
                <w:b/>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8"/>
                <w:vertAlign w:val="superscript"/>
              </w:rPr>
            </w:pPr>
            <w:r w:rsidRPr="00100BF5">
              <w:rPr>
                <w:b/>
                <w:sz w:val="16"/>
                <w:szCs w:val="18"/>
              </w:rPr>
              <w:t>Gross L&amp;A Subject to Forbearance Programmes</w:t>
            </w:r>
          </w:p>
        </w:tc>
        <w:tc>
          <w:tcPr>
            <w:tcW w:w="17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8"/>
              </w:rPr>
            </w:pPr>
            <w:r w:rsidRPr="00100BF5">
              <w:rPr>
                <w:b/>
                <w:sz w:val="16"/>
                <w:szCs w:val="18"/>
              </w:rPr>
              <w:t>Forbearance Programmes Proportion of Outstanding Balances</w:t>
            </w:r>
          </w:p>
        </w:tc>
        <w:tc>
          <w:tcPr>
            <w:tcW w:w="17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8"/>
              </w:rPr>
            </w:pPr>
            <w:r w:rsidRPr="00100BF5">
              <w:rPr>
                <w:b/>
                <w:sz w:val="16"/>
                <w:szCs w:val="18"/>
              </w:rPr>
              <w:t>Impairment Coverage on Gross L&amp;A Subject to Forbearance Programmes</w:t>
            </w:r>
          </w:p>
        </w:tc>
        <w:tc>
          <w:tcPr>
            <w:tcW w:w="178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8"/>
              </w:rPr>
            </w:pPr>
            <w:r w:rsidRPr="00100BF5">
              <w:rPr>
                <w:b/>
                <w:sz w:val="16"/>
                <w:szCs w:val="18"/>
              </w:rPr>
              <w:t>Marked to Market LTV of Home Loan Forbearance Balances</w:t>
            </w:r>
          </w:p>
        </w:tc>
      </w:tr>
      <w:tr w:rsidR="00A12DCA" w:rsidRPr="00100BF5" w:rsidTr="006A49F3">
        <w:tblPrEx>
          <w:tblCellMar>
            <w:top w:w="0" w:type="dxa"/>
            <w:bottom w:w="0" w:type="dxa"/>
          </w:tblCellMar>
        </w:tblPrEx>
        <w:trPr>
          <w:trHeight w:val="215"/>
        </w:trPr>
        <w:tc>
          <w:tcPr>
            <w:tcW w:w="2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8"/>
              </w:rPr>
            </w:pPr>
            <w:r w:rsidRPr="00100BF5">
              <w:rPr>
                <w:b/>
                <w:sz w:val="16"/>
                <w:szCs w:val="18"/>
              </w:rPr>
              <w:t>As at 30.06.12</w:t>
            </w:r>
            <w:r w:rsidRPr="00100BF5">
              <w:rPr>
                <w:b/>
                <w:sz w:val="16"/>
                <w:szCs w:val="18"/>
                <w:vertAlign w:val="superscript"/>
              </w:rPr>
              <w:t xml:space="preserve"> </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8"/>
                <w:vertAlign w:val="superscript"/>
              </w:rPr>
            </w:pPr>
            <w:r w:rsidRPr="00100BF5">
              <w:rPr>
                <w:sz w:val="16"/>
                <w:szCs w:val="18"/>
              </w:rPr>
              <w:t>£m</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8"/>
              </w:rPr>
            </w:pPr>
            <w:r w:rsidRPr="00100BF5">
              <w:rPr>
                <w:sz w:val="16"/>
                <w:szCs w:val="18"/>
              </w:rPr>
              <w:t>%</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8"/>
              </w:rPr>
            </w:pPr>
            <w:r w:rsidRPr="00100BF5">
              <w:rPr>
                <w:sz w:val="16"/>
                <w:szCs w:val="18"/>
              </w:rPr>
              <w:t>%</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8"/>
              </w:rPr>
            </w:pPr>
            <w:r w:rsidRPr="00100BF5">
              <w:rPr>
                <w:sz w:val="16"/>
                <w:szCs w:val="18"/>
              </w:rPr>
              <w:t>%</w:t>
            </w:r>
          </w:p>
        </w:tc>
      </w:tr>
      <w:tr w:rsidR="00A12DCA" w:rsidRPr="00100BF5" w:rsidTr="006A49F3">
        <w:tblPrEx>
          <w:tblCellMar>
            <w:top w:w="0" w:type="dxa"/>
            <w:bottom w:w="0" w:type="dxa"/>
          </w:tblCellMar>
        </w:tblPrEx>
        <w:trPr>
          <w:trHeight w:val="215"/>
        </w:trPr>
        <w:tc>
          <w:tcPr>
            <w:tcW w:w="2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b/>
                <w:sz w:val="16"/>
                <w:szCs w:val="18"/>
              </w:rPr>
              <w:t>Home Loans</w:t>
            </w:r>
            <w:r w:rsidRPr="00100BF5">
              <w:rPr>
                <w:b/>
                <w:sz w:val="16"/>
                <w:szCs w:val="18"/>
                <w:vertAlign w:val="superscript"/>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8"/>
                <w:vertAlign w:val="superscript"/>
              </w:rPr>
            </w:pPr>
            <w:r w:rsidRPr="00100BF5">
              <w:rPr>
                <w:sz w:val="16"/>
                <w:szCs w:val="18"/>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8"/>
              </w:rPr>
            </w:pPr>
            <w:r w:rsidRPr="00100BF5">
              <w:rPr>
                <w:sz w:val="16"/>
                <w:szCs w:val="18"/>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8"/>
              </w:rPr>
            </w:pPr>
            <w:r w:rsidRPr="00100BF5">
              <w:rPr>
                <w:sz w:val="16"/>
                <w:szCs w:val="18"/>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UK</w:t>
            </w:r>
            <w:r w:rsidRPr="00100BF5">
              <w:rPr>
                <w:sz w:val="16"/>
                <w:szCs w:val="18"/>
                <w:vertAlign w:val="superscript"/>
              </w:rPr>
              <w:t xml:space="preserve">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1,631 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1.5 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0.8 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31.7 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Spain</w:t>
            </w:r>
            <w:r w:rsidRPr="00100BF5">
              <w:rPr>
                <w:sz w:val="16"/>
                <w:szCs w:val="18"/>
                <w:vertAlign w:val="superscript"/>
              </w:rPr>
              <w:t xml:space="preserve">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177 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1.3 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5.4 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66.0 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Italy</w:t>
            </w:r>
            <w:r w:rsidRPr="00100BF5">
              <w:rPr>
                <w:sz w:val="16"/>
                <w:szCs w:val="18"/>
                <w:vertAlign w:val="superscript"/>
              </w:rPr>
              <w:t xml:space="preserve">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185 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1.2 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2.3 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47.6 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b/>
                <w:sz w:val="16"/>
                <w:szCs w:val="18"/>
              </w:rPr>
              <w:t xml:space="preserve"> </w:t>
            </w:r>
            <w:r w:rsidRPr="00100BF5">
              <w:rPr>
                <w:b/>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b/>
                <w:sz w:val="16"/>
                <w:szCs w:val="18"/>
                <w:vertAlign w:val="superscript"/>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b/>
                <w:sz w:val="16"/>
                <w:szCs w:val="18"/>
              </w:rPr>
              <w:t>Credit Cards, Overdrafts and Unsecured Loans</w:t>
            </w:r>
            <w:r w:rsidRPr="00100BF5">
              <w:rPr>
                <w:b/>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b/>
                <w:sz w:val="16"/>
                <w:szCs w:val="18"/>
                <w:vertAlign w:val="superscript"/>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UK cards</w:t>
            </w:r>
            <w:r w:rsidRPr="00100BF5">
              <w:rPr>
                <w:sz w:val="16"/>
                <w:szCs w:val="18"/>
                <w:vertAlign w:val="superscript"/>
              </w:rPr>
              <w:t>1,2</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995 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6.6 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38.0 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n/a</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UK personal loans</w:t>
            </w:r>
            <w:r w:rsidRPr="00100BF5">
              <w:rPr>
                <w:sz w:val="16"/>
                <w:szCs w:val="18"/>
                <w:vertAlign w:val="superscript"/>
              </w:rPr>
              <w:t xml:space="preserve">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186 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3.7 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28.5 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n/a</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US cards</w:t>
            </w:r>
            <w:r w:rsidRPr="00100BF5">
              <w:rPr>
                <w:sz w:val="16"/>
                <w:szCs w:val="18"/>
                <w:vertAlign w:val="superscript"/>
              </w:rPr>
              <w:t xml:space="preserve">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111 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1.6 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18.5 </w:t>
            </w:r>
          </w:p>
        </w:tc>
        <w:tc>
          <w:tcPr>
            <w:tcW w:w="1785" w:type="dxa"/>
            <w:tcBorders>
              <w:top w:val="nil"/>
              <w:left w:val="nil"/>
              <w:bottom w:val="nil"/>
              <w:right w:val="nil"/>
            </w:tcBorders>
            <w:shd w:val="clear" w:color="auto" w:fill="EAEAEA"/>
            <w:tcMar>
              <w:left w:w="36" w:type="dxa"/>
              <w:right w:w="36" w:type="dxa"/>
            </w:tcMar>
            <w:vAlign w:val="center"/>
          </w:tcPr>
          <w:p w:rsidR="00A12DCA" w:rsidRPr="00100BF5" w:rsidRDefault="00A12DCA" w:rsidP="008D2AEC">
            <w:pPr>
              <w:jc w:val="right"/>
              <w:rPr>
                <w:sz w:val="16"/>
                <w:szCs w:val="18"/>
              </w:rPr>
            </w:pPr>
            <w:r w:rsidRPr="00100BF5">
              <w:rPr>
                <w:sz w:val="16"/>
                <w:szCs w:val="18"/>
              </w:rPr>
              <w:t>n/a</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 xml:space="preserve"> </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8"/>
              </w:rPr>
            </w:pPr>
            <w:r w:rsidRPr="00100BF5">
              <w:rPr>
                <w:b/>
                <w:sz w:val="16"/>
                <w:szCs w:val="18"/>
              </w:rPr>
              <w:t>As at 31.12.11</w:t>
            </w:r>
            <w:r w:rsidRPr="00100BF5">
              <w:rPr>
                <w:b/>
                <w:sz w:val="16"/>
                <w:szCs w:val="18"/>
                <w:vertAlign w:val="superscript"/>
              </w:rPr>
              <w:t xml:space="preserve"> </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D2AEC">
            <w:pPr>
              <w:jc w:val="right"/>
              <w:rPr>
                <w:b/>
                <w:sz w:val="16"/>
                <w:szCs w:val="18"/>
                <w:vertAlign w:val="superscript"/>
              </w:rPr>
            </w:pPr>
            <w:r w:rsidRPr="00100BF5">
              <w:rPr>
                <w:b/>
                <w:sz w:val="16"/>
                <w:szCs w:val="18"/>
              </w:rPr>
              <w:t xml:space="preserve"> </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D2AEC">
            <w:pPr>
              <w:jc w:val="right"/>
              <w:rPr>
                <w:b/>
                <w:sz w:val="16"/>
                <w:szCs w:val="18"/>
              </w:rPr>
            </w:pPr>
            <w:r w:rsidRPr="00100BF5">
              <w:rPr>
                <w:b/>
                <w:sz w:val="16"/>
                <w:szCs w:val="18"/>
              </w:rPr>
              <w:t xml:space="preserve"> </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D2AEC">
            <w:pPr>
              <w:jc w:val="right"/>
              <w:rPr>
                <w:b/>
                <w:sz w:val="16"/>
                <w:szCs w:val="18"/>
              </w:rPr>
            </w:pPr>
            <w:r w:rsidRPr="00100BF5">
              <w:rPr>
                <w:b/>
                <w:sz w:val="16"/>
                <w:szCs w:val="18"/>
              </w:rPr>
              <w:t xml:space="preserve"> </w:t>
            </w:r>
          </w:p>
        </w:tc>
        <w:tc>
          <w:tcPr>
            <w:tcW w:w="178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D2AEC">
            <w:pPr>
              <w:jc w:val="right"/>
              <w:rPr>
                <w:b/>
                <w:sz w:val="16"/>
                <w:szCs w:val="18"/>
              </w:rPr>
            </w:pPr>
            <w:r w:rsidRPr="00100BF5">
              <w:rPr>
                <w:b/>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szCs w:val="18"/>
              </w:rPr>
            </w:pPr>
            <w:r w:rsidRPr="00100BF5">
              <w:rPr>
                <w:b/>
                <w:sz w:val="16"/>
                <w:szCs w:val="18"/>
              </w:rPr>
              <w:t>Home Loans</w:t>
            </w:r>
            <w:r w:rsidRPr="00100BF5">
              <w:rPr>
                <w:b/>
                <w:sz w:val="16"/>
                <w:szCs w:val="18"/>
                <w:vertAlign w:val="superscript"/>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D2AEC">
            <w:pPr>
              <w:jc w:val="right"/>
              <w:rPr>
                <w:b/>
                <w:sz w:val="16"/>
                <w:szCs w:val="18"/>
                <w:vertAlign w:val="superscript"/>
              </w:rPr>
            </w:pPr>
            <w:r w:rsidRPr="00100BF5">
              <w:rPr>
                <w:sz w:val="16"/>
                <w:szCs w:val="18"/>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UK</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1,613 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1.5 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0.8 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31.6 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Spain</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145 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1.0 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3.7 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67.4 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Italy</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171 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1.1 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2.6 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46.5 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 xml:space="preserve"> </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b/>
                <w:sz w:val="16"/>
                <w:szCs w:val="18"/>
              </w:rPr>
              <w:t>Credit Cards, Overdrafts and Unsecured Loans</w:t>
            </w:r>
            <w:r w:rsidRPr="00100BF5">
              <w:rPr>
                <w:b/>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b/>
                <w:sz w:val="16"/>
                <w:szCs w:val="18"/>
                <w:vertAlign w:val="superscript"/>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UK cards</w:t>
            </w:r>
            <w:r w:rsidRPr="00100BF5">
              <w:rPr>
                <w:sz w:val="16"/>
                <w:szCs w:val="18"/>
                <w:vertAlign w:val="superscript"/>
              </w:rPr>
              <w:t>1,2</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989 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6.5 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38.2 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n/a</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UK personal loans</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201 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3.8 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1A1BB5">
            <w:pPr>
              <w:jc w:val="right"/>
              <w:rPr>
                <w:sz w:val="16"/>
                <w:szCs w:val="18"/>
              </w:rPr>
            </w:pPr>
            <w:r w:rsidRPr="00100BF5">
              <w:rPr>
                <w:sz w:val="16"/>
                <w:szCs w:val="18"/>
              </w:rPr>
              <w:t xml:space="preserve"> 2</w:t>
            </w:r>
            <w:r w:rsidR="001A1BB5" w:rsidRPr="00100BF5">
              <w:rPr>
                <w:sz w:val="16"/>
                <w:szCs w:val="18"/>
              </w:rPr>
              <w:t>9.5</w:t>
            </w:r>
            <w:r w:rsidRPr="00100BF5">
              <w:rPr>
                <w:sz w:val="16"/>
                <w:szCs w:val="18"/>
              </w:rPr>
              <w:t>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n/a</w:t>
            </w:r>
          </w:p>
        </w:tc>
      </w:tr>
      <w:tr w:rsidR="00A12DCA" w:rsidRPr="00100BF5" w:rsidTr="008D2AEC">
        <w:tblPrEx>
          <w:tblCellMar>
            <w:top w:w="0" w:type="dxa"/>
            <w:bottom w:w="0" w:type="dxa"/>
          </w:tblCellMar>
        </w:tblPrEx>
        <w:trPr>
          <w:trHeight w:val="215"/>
        </w:trPr>
        <w:tc>
          <w:tcPr>
            <w:tcW w:w="25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8"/>
              </w:rPr>
            </w:pPr>
            <w:r w:rsidRPr="00100BF5">
              <w:rPr>
                <w:sz w:val="16"/>
                <w:szCs w:val="18"/>
              </w:rPr>
              <w:t>US cards</w:t>
            </w:r>
            <w:r w:rsidRPr="00100BF5">
              <w:rPr>
                <w:sz w:val="16"/>
                <w:szCs w:val="18"/>
                <w:vertAlign w:val="superscript"/>
              </w:rPr>
              <w:t xml:space="preserve">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vertAlign w:val="superscript"/>
              </w:rPr>
            </w:pPr>
            <w:r w:rsidRPr="00100BF5">
              <w:rPr>
                <w:sz w:val="16"/>
                <w:szCs w:val="18"/>
              </w:rPr>
              <w:t>125 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1.7 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 xml:space="preserve"> 19.7 </w:t>
            </w:r>
          </w:p>
        </w:tc>
        <w:tc>
          <w:tcPr>
            <w:tcW w:w="1785" w:type="dxa"/>
            <w:tcBorders>
              <w:top w:val="nil"/>
              <w:left w:val="nil"/>
              <w:bottom w:val="nil"/>
              <w:right w:val="nil"/>
            </w:tcBorders>
            <w:shd w:val="clear" w:color="auto" w:fill="FFFFFF"/>
            <w:tcMar>
              <w:left w:w="36" w:type="dxa"/>
              <w:right w:w="36" w:type="dxa"/>
            </w:tcMar>
            <w:vAlign w:val="center"/>
          </w:tcPr>
          <w:p w:rsidR="00A12DCA" w:rsidRPr="00100BF5" w:rsidRDefault="00A12DCA" w:rsidP="008D2AEC">
            <w:pPr>
              <w:jc w:val="right"/>
              <w:rPr>
                <w:sz w:val="16"/>
                <w:szCs w:val="18"/>
              </w:rPr>
            </w:pPr>
            <w:r w:rsidRPr="00100BF5">
              <w:rPr>
                <w:sz w:val="16"/>
                <w:szCs w:val="18"/>
              </w:rPr>
              <w:t>n/a</w:t>
            </w:r>
          </w:p>
        </w:tc>
      </w:tr>
    </w:tbl>
    <w:p w:rsidR="00A12DCA" w:rsidRPr="00100BF5" w:rsidRDefault="00A12DCA">
      <w:pPr>
        <w:rPr>
          <w:szCs w:val="18"/>
        </w:rPr>
      </w:pPr>
    </w:p>
    <w:p w:rsidR="00A12DCA" w:rsidRPr="00100BF5" w:rsidRDefault="00A12DCA" w:rsidP="00E107FB">
      <w:pPr>
        <w:pStyle w:val="Level1Bullet-BarcRA03"/>
        <w:rPr>
          <w:lang w:val="en-GB"/>
        </w:rPr>
      </w:pPr>
      <w:r w:rsidRPr="00100BF5">
        <w:rPr>
          <w:lang w:val="en-GB"/>
        </w:rPr>
        <w:t>Retail forbearance is available to customers experiencing financial difficulties. Forbearance solutions take a number of forms depending on the extent of the financial dislocation. Short term solutions focus on temporary reductions to contractual payments and switches from capital and interest payments to interest only. For customers with longer term financial difficulties, term extensions are offered, which may also include interest rate concessions</w:t>
      </w:r>
    </w:p>
    <w:p w:rsidR="00A12DCA" w:rsidRPr="00100BF5" w:rsidRDefault="00A12DCA" w:rsidP="00E107FB">
      <w:pPr>
        <w:pStyle w:val="Level1Bullet-BarcRA03"/>
        <w:rPr>
          <w:lang w:val="en-GB"/>
        </w:rPr>
      </w:pPr>
      <w:r w:rsidRPr="00100BF5">
        <w:rPr>
          <w:lang w:val="en-GB"/>
        </w:rPr>
        <w:t>Loans i</w:t>
      </w:r>
      <w:r w:rsidR="001A77E4" w:rsidRPr="00100BF5">
        <w:rPr>
          <w:lang w:val="en-GB"/>
        </w:rPr>
        <w:t>n forbearance in the principal home l</w:t>
      </w:r>
      <w:r w:rsidRPr="00100BF5">
        <w:rPr>
          <w:lang w:val="en-GB"/>
        </w:rPr>
        <w:t>oans portfolios increased 3% to £1,993m, mainly due to an increase in Spain</w:t>
      </w:r>
      <w:r w:rsidR="001A77E4" w:rsidRPr="00100BF5">
        <w:rPr>
          <w:lang w:val="en-GB"/>
        </w:rPr>
        <w:t xml:space="preserve"> home l</w:t>
      </w:r>
      <w:r w:rsidRPr="00100BF5">
        <w:rPr>
          <w:lang w:val="en-GB"/>
        </w:rPr>
        <w:t>oans</w:t>
      </w:r>
    </w:p>
    <w:p w:rsidR="00A12DCA" w:rsidRPr="00100BF5" w:rsidRDefault="001A77E4" w:rsidP="00E107FB">
      <w:pPr>
        <w:pStyle w:val="Level1Bullet-BarcRA03"/>
        <w:rPr>
          <w:lang w:val="en-GB"/>
        </w:rPr>
      </w:pPr>
      <w:r w:rsidRPr="00100BF5">
        <w:rPr>
          <w:lang w:val="en-GB"/>
        </w:rPr>
        <w:t>Within UK h</w:t>
      </w:r>
      <w:r w:rsidR="00A12DCA" w:rsidRPr="00100BF5">
        <w:rPr>
          <w:lang w:val="en-GB"/>
        </w:rPr>
        <w:t xml:space="preserve">ome </w:t>
      </w:r>
      <w:r w:rsidRPr="00100BF5">
        <w:rPr>
          <w:lang w:val="en-GB"/>
        </w:rPr>
        <w:t>l</w:t>
      </w:r>
      <w:r w:rsidR="00A12DCA" w:rsidRPr="00100BF5">
        <w:rPr>
          <w:lang w:val="en-GB"/>
        </w:rPr>
        <w:t>oans, term extensions account for over 80% of forbearance balances, the majority of the remainder being switches from repayment to i</w:t>
      </w:r>
      <w:r w:rsidR="001A1BB5" w:rsidRPr="00100BF5">
        <w:rPr>
          <w:lang w:val="en-GB"/>
        </w:rPr>
        <w:t>nterest only. An additional £1.6</w:t>
      </w:r>
      <w:r w:rsidR="00A12DCA" w:rsidRPr="00100BF5">
        <w:rPr>
          <w:lang w:val="en-GB"/>
        </w:rPr>
        <w:t>bn of interest only mortgages have received a term extension since January 2008 but in these cases the contractual monthly payments did not alter. These have not been classified as forbearance in the above analysis</w:t>
      </w:r>
    </w:p>
    <w:p w:rsidR="006A49F3" w:rsidRPr="00100BF5" w:rsidRDefault="006A49F3" w:rsidP="00E107FB">
      <w:pPr>
        <w:pStyle w:val="Level1Bullet-BarcRA03"/>
        <w:rPr>
          <w:lang w:val="en-GB"/>
        </w:rPr>
      </w:pPr>
      <w:r w:rsidRPr="00100BF5">
        <w:rPr>
          <w:lang w:val="en-GB"/>
        </w:rPr>
        <w:t>In Spain, all forbearance accounts are full account restructures. In Italy, the majority of balances relate to specific schemes required by the Government (e.g. debt relief scheme following the earthquake of 2009) and amendments are weighted towards payment holidays and interest suspensions</w:t>
      </w:r>
    </w:p>
    <w:p w:rsidR="006A49F3" w:rsidRPr="00100BF5" w:rsidRDefault="006A49F3" w:rsidP="00E107FB">
      <w:pPr>
        <w:pStyle w:val="Level1Bullet-BarcRA03"/>
        <w:rPr>
          <w:lang w:val="en-GB"/>
        </w:rPr>
      </w:pPr>
      <w:r w:rsidRPr="00100BF5">
        <w:rPr>
          <w:lang w:val="en-GB"/>
        </w:rPr>
        <w:t>Loans in forbearance in the principal Credit Cards, Overdrafts and Unsecured Loans portfolios decreased 2% to £1,292m</w:t>
      </w:r>
    </w:p>
    <w:p w:rsidR="006A49F3" w:rsidRPr="00100BF5" w:rsidRDefault="006A49F3" w:rsidP="00E107FB">
      <w:pPr>
        <w:pStyle w:val="Level1Bullet-BarcRA03"/>
        <w:spacing w:after="120"/>
        <w:rPr>
          <w:lang w:val="en-GB"/>
        </w:rPr>
      </w:pPr>
      <w:r w:rsidRPr="00100BF5">
        <w:rPr>
          <w:lang w:val="en-GB"/>
        </w:rPr>
        <w:t>Impairment allowances against UK cards forbearance decreased, reflecting improved expectations on debt repayment. As a result, the impairment coverage ratio decreased during the first half of 2012</w:t>
      </w:r>
    </w:p>
    <w:p w:rsidR="00AF72CF" w:rsidRPr="00100BF5" w:rsidRDefault="00AF72CF" w:rsidP="00AF72CF">
      <w:pPr>
        <w:pStyle w:val="Level1Bullet-BarcRA03"/>
        <w:numPr>
          <w:ilvl w:val="0"/>
          <w:numId w:val="0"/>
        </w:numPr>
        <w:spacing w:before="0" w:after="0"/>
        <w:rPr>
          <w:sz w:val="2"/>
          <w:szCs w:val="2"/>
          <w:lang w:val="en-GB"/>
        </w:rPr>
      </w:pPr>
    </w:p>
    <w:p w:rsidR="00AF72CF" w:rsidRPr="00100BF5" w:rsidRDefault="00AF72CF" w:rsidP="00AF72CF">
      <w:pPr>
        <w:pStyle w:val="Level1Bullet-BarcRA03"/>
        <w:numPr>
          <w:ilvl w:val="0"/>
          <w:numId w:val="0"/>
        </w:numPr>
        <w:spacing w:before="0" w:after="0"/>
        <w:rPr>
          <w:sz w:val="2"/>
          <w:szCs w:val="2"/>
          <w:lang w:val="en-GB"/>
        </w:rPr>
      </w:pPr>
    </w:p>
    <w:p w:rsidR="00AF72CF" w:rsidRPr="00100BF5" w:rsidRDefault="00AF72CF" w:rsidP="00AF72CF">
      <w:pPr>
        <w:pStyle w:val="Level1Bullet-BarcRA03"/>
        <w:numPr>
          <w:ilvl w:val="0"/>
          <w:numId w:val="0"/>
        </w:numPr>
        <w:spacing w:before="0" w:after="0"/>
        <w:rPr>
          <w:sz w:val="2"/>
          <w:szCs w:val="2"/>
          <w:lang w:val="en-GB"/>
        </w:rPr>
      </w:pPr>
    </w:p>
    <w:p w:rsidR="00AF72CF" w:rsidRDefault="00AF72CF"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Default="000C3F6A" w:rsidP="00AF72CF">
      <w:pPr>
        <w:pStyle w:val="Level1Bullet-BarcRA03"/>
        <w:numPr>
          <w:ilvl w:val="0"/>
          <w:numId w:val="0"/>
        </w:numPr>
        <w:spacing w:before="0" w:after="0"/>
        <w:rPr>
          <w:sz w:val="2"/>
          <w:szCs w:val="2"/>
          <w:lang w:val="en-GB"/>
        </w:rPr>
      </w:pPr>
    </w:p>
    <w:p w:rsidR="000C3F6A" w:rsidRPr="00100BF5" w:rsidRDefault="000C3F6A" w:rsidP="00AF72CF">
      <w:pPr>
        <w:pStyle w:val="Level1Bullet-BarcRA03"/>
        <w:numPr>
          <w:ilvl w:val="0"/>
          <w:numId w:val="0"/>
        </w:numPr>
        <w:spacing w:before="0" w:after="0"/>
        <w:rPr>
          <w:sz w:val="2"/>
          <w:szCs w:val="2"/>
          <w:lang w:val="en-GB"/>
        </w:rPr>
      </w:pPr>
    </w:p>
    <w:p w:rsidR="00AF72CF" w:rsidRPr="00100BF5" w:rsidRDefault="00AF72CF" w:rsidP="00AF72CF">
      <w:pPr>
        <w:pStyle w:val="Level1Bullet-BarcRA03"/>
        <w:numPr>
          <w:ilvl w:val="0"/>
          <w:numId w:val="0"/>
        </w:numPr>
        <w:spacing w:before="0" w:after="0"/>
        <w:rPr>
          <w:sz w:val="2"/>
          <w:szCs w:val="2"/>
          <w:lang w:val="en-GB"/>
        </w:rPr>
      </w:pPr>
    </w:p>
    <w:p w:rsidR="00A12DCA" w:rsidRPr="00100BF5" w:rsidRDefault="00A12DCA" w:rsidP="00A12DCA">
      <w:pPr>
        <w:pStyle w:val="NoteandSourceText-BarcRA8"/>
        <w:ind w:left="284" w:hanging="284"/>
      </w:pPr>
      <w:r w:rsidRPr="00100BF5">
        <w:t>UK cards includes Barclays Branded Card and Partnership Card assets.</w:t>
      </w:r>
    </w:p>
    <w:p w:rsidR="00A12DCA" w:rsidRDefault="00A12DCA" w:rsidP="00A12DCA">
      <w:pPr>
        <w:pStyle w:val="NoteandSourceText-BarcRA8"/>
        <w:ind w:left="284" w:hanging="284"/>
      </w:pPr>
      <w:r w:rsidRPr="00100BF5">
        <w:t>UK cards includes balances related to the acquired Egg credit card assets, which totalled £1.7bn at acquisition. The outstanding acquired balances have been excluded from the recoveries impairment coverage ratio on the basis that the portfolio has been recognised on acquisition at fair value during 2011 (with no related impairment allowance). Impairment allowances have been recognised as appropriate where these relate to the period post acquisition.</w:t>
      </w:r>
    </w:p>
    <w:p w:rsidR="00351861" w:rsidRPr="00100BF5" w:rsidRDefault="00351861" w:rsidP="00351861">
      <w:pPr>
        <w:pStyle w:val="HeadingLevel1-BarcRA"/>
      </w:pPr>
      <w:r>
        <w:br w:type="page"/>
        <w:t>Credit Risk</w:t>
      </w:r>
    </w:p>
    <w:tbl>
      <w:tblPr>
        <w:tblW w:w="0" w:type="auto"/>
        <w:tblLayout w:type="fixed"/>
        <w:tblLook w:val="0000" w:firstRow="0" w:lastRow="0" w:firstColumn="0" w:lastColumn="0" w:noHBand="0" w:noVBand="0"/>
      </w:tblPr>
      <w:tblGrid>
        <w:gridCol w:w="1605"/>
        <w:gridCol w:w="1155"/>
        <w:gridCol w:w="1155"/>
        <w:gridCol w:w="1155"/>
        <w:gridCol w:w="1155"/>
        <w:gridCol w:w="1155"/>
        <w:gridCol w:w="1155"/>
        <w:gridCol w:w="1155"/>
      </w:tblGrid>
      <w:tr w:rsidR="00A12DCA" w:rsidRPr="00100BF5" w:rsidTr="00A90A55">
        <w:tblPrEx>
          <w:tblCellMar>
            <w:top w:w="0" w:type="dxa"/>
            <w:bottom w:w="0" w:type="dxa"/>
          </w:tblCellMar>
        </w:tblPrEx>
        <w:trPr>
          <w:trHeight w:val="240"/>
        </w:trPr>
        <w:tc>
          <w:tcPr>
            <w:tcW w:w="507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rsidP="000C3F6A">
            <w:pPr>
              <w:rPr>
                <w:sz w:val="20"/>
              </w:rPr>
            </w:pPr>
            <w:r w:rsidRPr="00100BF5">
              <w:br w:type="page"/>
            </w:r>
            <w:r w:rsidRPr="00100BF5">
              <w:rPr>
                <w:b/>
                <w:sz w:val="24"/>
              </w:rPr>
              <w:t>Wholesale Credit Risk</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rPr>
            </w:pPr>
            <w:r w:rsidRPr="00100BF5">
              <w:rPr>
                <w:rFonts w:ascii="Barclays Sans" w:eastAsia="Barclays Sans" w:hAnsi="Barclays Sans" w:cs="Barclays Sans"/>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A12DCA" w:rsidRPr="00100BF5" w:rsidTr="00A90A5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rFonts w:ascii="Barclays Sans" w:eastAsia="Barclays Sans" w:hAnsi="Barclays Sans" w:cs="Barclays Sans"/>
                <w:sz w:val="16"/>
                <w:vertAlign w:val="superscript"/>
              </w:rPr>
            </w:pPr>
            <w:r w:rsidRPr="00100BF5">
              <w:rPr>
                <w:rFonts w:ascii="Barclays Sans" w:eastAsia="Barclays Sans" w:hAnsi="Barclays Sans" w:cs="Barclays Sans"/>
                <w:sz w:val="16"/>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rPr>
            </w:pPr>
            <w:r w:rsidRPr="00100BF5">
              <w:rPr>
                <w:rFonts w:ascii="Barclays Sans" w:eastAsia="Barclays Sans" w:hAnsi="Barclays Sans" w:cs="Barclays Sans"/>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A12DCA" w:rsidRPr="00100BF5" w:rsidTr="00A90A55">
        <w:tblPrEx>
          <w:tblCellMar>
            <w:top w:w="0" w:type="dxa"/>
            <w:bottom w:w="0" w:type="dxa"/>
          </w:tblCellMar>
        </w:tblPrEx>
        <w:trPr>
          <w:trHeight w:val="240"/>
        </w:trPr>
        <w:tc>
          <w:tcPr>
            <w:tcW w:w="507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rFonts w:ascii="Barclays Sans" w:eastAsia="Barclays Sans" w:hAnsi="Barclays Sans" w:cs="Barclays Sans"/>
                <w:sz w:val="16"/>
              </w:rPr>
            </w:pPr>
            <w:r w:rsidRPr="00100BF5">
              <w:rPr>
                <w:b/>
                <w:sz w:val="20"/>
              </w:rPr>
              <w:t>Wholesale Loans and Advances at Amortised Cost</w:t>
            </w:r>
            <w:r w:rsidRPr="00100BF5">
              <w:rPr>
                <w:sz w:val="16"/>
                <w:vertAlign w:val="superscript"/>
              </w:rPr>
              <w:t>1 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sz w:val="16"/>
              </w:rPr>
              <w:t xml:space="preserve">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b/>
                <w:sz w:val="20"/>
              </w:rPr>
              <w:t xml:space="preserve"> </w:t>
            </w:r>
            <w:r w:rsidRPr="00100BF5">
              <w:rPr>
                <w:b/>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vertAlign w:val="superscript"/>
              </w:rPr>
            </w:pPr>
            <w:r w:rsidRPr="00100BF5">
              <w:rPr>
                <w:b/>
                <w:sz w:val="20"/>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b/>
                <w:sz w:val="20"/>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0"/>
              </w:rPr>
            </w:pPr>
            <w:r w:rsidRPr="00100BF5">
              <w:rPr>
                <w:b/>
                <w:sz w:val="20"/>
              </w:rPr>
              <w:t xml:space="preserve"> </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sz w:val="16"/>
              </w:rPr>
              <w:t xml:space="preserve">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bl>
    <w:p w:rsidR="005F437E" w:rsidRPr="005F437E" w:rsidRDefault="005F437E">
      <w:pPr>
        <w:rPr>
          <w:sz w:val="24"/>
        </w:rPr>
      </w:pPr>
    </w:p>
    <w:tbl>
      <w:tblPr>
        <w:tblW w:w="0" w:type="auto"/>
        <w:tblLayout w:type="fixed"/>
        <w:tblLook w:val="0000" w:firstRow="0" w:lastRow="0" w:firstColumn="0" w:lastColumn="0" w:noHBand="0" w:noVBand="0"/>
      </w:tblPr>
      <w:tblGrid>
        <w:gridCol w:w="1605"/>
        <w:gridCol w:w="1155"/>
        <w:gridCol w:w="1155"/>
        <w:gridCol w:w="1155"/>
        <w:gridCol w:w="1155"/>
        <w:gridCol w:w="1155"/>
        <w:gridCol w:w="1155"/>
        <w:gridCol w:w="1155"/>
      </w:tblGrid>
      <w:tr w:rsidR="00A12DCA" w:rsidRPr="00100BF5">
        <w:tblPrEx>
          <w:tblCellMar>
            <w:top w:w="0" w:type="dxa"/>
            <w:bottom w:w="0" w:type="dxa"/>
          </w:tblCellMar>
        </w:tblPrEx>
        <w:trPr>
          <w:trHeight w:val="720"/>
        </w:trPr>
        <w:tc>
          <w:tcPr>
            <w:tcW w:w="1605" w:type="dxa"/>
            <w:tcBorders>
              <w:top w:val="nil"/>
              <w:left w:val="nil"/>
              <w:bottom w:val="nil"/>
              <w:right w:val="nil"/>
            </w:tcBorders>
            <w:shd w:val="clear" w:color="auto" w:fill="FFFFFF"/>
            <w:tcMar>
              <w:left w:w="36" w:type="dxa"/>
              <w:right w:w="36" w:type="dxa"/>
            </w:tcMar>
            <w:vAlign w:val="bottom"/>
          </w:tcPr>
          <w:p w:rsidR="00A12DCA" w:rsidRPr="00351861" w:rsidRDefault="00A12DCA" w:rsidP="00351861">
            <w:pPr>
              <w:rPr>
                <w:sz w:val="16"/>
                <w:szCs w:val="16"/>
              </w:rPr>
            </w:pPr>
            <w:r w:rsidRPr="00351861">
              <w:rPr>
                <w:b/>
                <w:sz w:val="16"/>
                <w:szCs w:val="18"/>
              </w:rPr>
              <w:t>As at 30.06.12</w:t>
            </w:r>
            <w:r w:rsidRPr="00351861">
              <w:rPr>
                <w:sz w:val="16"/>
                <w:szCs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Gross</w:t>
            </w:r>
          </w:p>
          <w:p w:rsidR="00A12DCA" w:rsidRPr="00100BF5" w:rsidRDefault="00A12DCA">
            <w:pPr>
              <w:jc w:val="right"/>
              <w:rPr>
                <w:b/>
                <w:sz w:val="16"/>
              </w:rPr>
            </w:pPr>
            <w:r w:rsidRPr="00100BF5">
              <w:rPr>
                <w:b/>
                <w:sz w:val="16"/>
              </w:rPr>
              <w:t>L&amp;A</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Impairment Allowance</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L&amp;A Net of Impairment</w:t>
            </w:r>
            <w:r w:rsidRPr="00100BF5">
              <w:rPr>
                <w:b/>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Credit</w:t>
            </w:r>
          </w:p>
          <w:p w:rsidR="00A12DCA" w:rsidRPr="00100BF5" w:rsidRDefault="00A12DCA">
            <w:pPr>
              <w:jc w:val="right"/>
              <w:rPr>
                <w:b/>
                <w:sz w:val="16"/>
              </w:rPr>
            </w:pPr>
            <w:r w:rsidRPr="00100BF5">
              <w:rPr>
                <w:b/>
                <w:sz w:val="16"/>
              </w:rPr>
              <w:t>Risk Loans</w:t>
            </w:r>
            <w:r w:rsidRPr="00100BF5">
              <w:rPr>
                <w:b/>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CRLs % of Gross L&amp;A</w:t>
            </w:r>
            <w:r w:rsidRPr="00100BF5">
              <w:rPr>
                <w:b/>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Loan Impairment Charges</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 Loss Rates</w:t>
            </w:r>
          </w:p>
        </w:tc>
      </w:tr>
      <w:tr w:rsidR="00A12DCA" w:rsidRPr="00100BF5" w:rsidTr="00A90A55">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b/>
                <w:sz w:val="16"/>
                <w:vertAlign w:val="superscript"/>
              </w:rPr>
            </w:pPr>
            <w:r w:rsidRPr="00100BF5">
              <w:rPr>
                <w:sz w:val="16"/>
              </w:rPr>
              <w:t>£m</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£m</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£m</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£m</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£m</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bps</w:t>
            </w:r>
          </w:p>
        </w:tc>
      </w:tr>
      <w:tr w:rsidR="00A12DCA" w:rsidRPr="00100BF5" w:rsidTr="00A90A55">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UK RBB</w:t>
            </w:r>
            <w:r w:rsidRPr="00100BF5">
              <w:rPr>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2,844 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66 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2,778 </w:t>
            </w:r>
            <w:r w:rsidRPr="00100BF5">
              <w:rPr>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241 </w:t>
            </w:r>
            <w:r w:rsidRPr="00100BF5">
              <w:rPr>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8.5 </w:t>
            </w:r>
            <w:r w:rsidRPr="00100BF5">
              <w:rPr>
                <w:sz w:val="16"/>
                <w:vertAlign w:val="superscript"/>
              </w:rPr>
              <w:t xml:space="preserve">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22 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156 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Africa RBB</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9,952 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278 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9,674 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839 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8.4 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64 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129 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Barclaycard</w:t>
            </w:r>
            <w:r w:rsidRPr="00100BF5">
              <w:rPr>
                <w:sz w:val="16"/>
                <w:vertAlign w:val="superscript"/>
              </w:rPr>
              <w:t>2 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589 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7 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582 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5 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0.8 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14 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478 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Investment Bank</w:t>
            </w:r>
            <w:r w:rsidRPr="00100BF5">
              <w:rPr>
                <w:sz w:val="16"/>
                <w:vertAlign w:val="superscript"/>
              </w:rPr>
              <w:t>3 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188,414 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2,494 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185,920 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4,631 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2.5 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EA010D">
            <w:pPr>
              <w:jc w:val="right"/>
              <w:rPr>
                <w:sz w:val="16"/>
                <w:vertAlign w:val="superscript"/>
              </w:rPr>
            </w:pPr>
            <w:r w:rsidRPr="00100BF5">
              <w:rPr>
                <w:sz w:val="16"/>
              </w:rPr>
              <w:t xml:space="preserve"> 32</w:t>
            </w:r>
            <w:r w:rsidR="00EA010D" w:rsidRPr="00100BF5">
              <w:rPr>
                <w:sz w:val="16"/>
              </w:rPr>
              <w:t>4</w:t>
            </w:r>
            <w:r w:rsidRPr="00100BF5">
              <w:rPr>
                <w:sz w:val="16"/>
              </w:rPr>
              <w:t>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A010D">
            <w:pPr>
              <w:jc w:val="right"/>
              <w:rPr>
                <w:sz w:val="16"/>
              </w:rPr>
            </w:pPr>
            <w:r w:rsidRPr="00100BF5">
              <w:rPr>
                <w:sz w:val="16"/>
              </w:rPr>
              <w:t xml:space="preserve"> 3</w:t>
            </w:r>
            <w:r w:rsidR="00EA010D" w:rsidRPr="00100BF5">
              <w:rPr>
                <w:sz w:val="16"/>
              </w:rPr>
              <w:t>5</w:t>
            </w:r>
            <w:r w:rsidRPr="00100BF5">
              <w:rPr>
                <w:sz w:val="16"/>
              </w:rPr>
              <w:t>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Corporate Banking</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67,03</w:t>
            </w:r>
            <w:r w:rsidR="003C7F05" w:rsidRPr="00100BF5">
              <w:rPr>
                <w:sz w:val="16"/>
              </w:rPr>
              <w:t>4</w:t>
            </w:r>
            <w:r w:rsidRPr="00100BF5">
              <w:rPr>
                <w:sz w:val="16"/>
              </w:rPr>
              <w:t>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2,010 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65,02</w:t>
            </w:r>
            <w:r w:rsidR="003C7F05" w:rsidRPr="00100BF5">
              <w:rPr>
                <w:sz w:val="16"/>
              </w:rPr>
              <w:t>4</w:t>
            </w:r>
            <w:r w:rsidRPr="00100BF5">
              <w:rPr>
                <w:sz w:val="16"/>
              </w:rPr>
              <w:t>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4,117 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6.1 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EA010D">
            <w:pPr>
              <w:jc w:val="right"/>
              <w:rPr>
                <w:sz w:val="16"/>
                <w:vertAlign w:val="superscript"/>
              </w:rPr>
            </w:pPr>
            <w:r w:rsidRPr="00100BF5">
              <w:rPr>
                <w:sz w:val="16"/>
              </w:rPr>
              <w:t xml:space="preserve"> 41</w:t>
            </w:r>
            <w:r w:rsidR="00EA010D" w:rsidRPr="00100BF5">
              <w:rPr>
                <w:sz w:val="16"/>
              </w:rPr>
              <w:t>7</w:t>
            </w:r>
            <w:r w:rsidRPr="00100BF5">
              <w:rPr>
                <w:sz w:val="16"/>
              </w:rPr>
              <w:t>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125 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 UK</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53,76</w:t>
            </w:r>
            <w:r w:rsidR="003C7F05" w:rsidRPr="00100BF5">
              <w:rPr>
                <w:sz w:val="16"/>
              </w:rPr>
              <w:t>5</w:t>
            </w:r>
            <w:r w:rsidRPr="00100BF5">
              <w:rPr>
                <w:sz w:val="16"/>
              </w:rPr>
              <w:t>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433 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53,33</w:t>
            </w:r>
            <w:r w:rsidR="003C7F05" w:rsidRPr="00100BF5">
              <w:rPr>
                <w:sz w:val="16"/>
              </w:rPr>
              <w:t>2</w:t>
            </w:r>
            <w:r w:rsidRPr="00100BF5">
              <w:rPr>
                <w:sz w:val="16"/>
              </w:rPr>
              <w:t>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1,243 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2.3 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EA010D">
            <w:pPr>
              <w:jc w:val="right"/>
              <w:rPr>
                <w:sz w:val="16"/>
                <w:vertAlign w:val="superscript"/>
              </w:rPr>
            </w:pPr>
            <w:r w:rsidRPr="00100BF5">
              <w:rPr>
                <w:sz w:val="16"/>
              </w:rPr>
              <w:t xml:space="preserve"> 14</w:t>
            </w:r>
            <w:r w:rsidR="00EA010D" w:rsidRPr="00100BF5">
              <w:rPr>
                <w:sz w:val="16"/>
              </w:rPr>
              <w:t>3</w:t>
            </w:r>
            <w:r w:rsidRPr="00100BF5">
              <w:rPr>
                <w:sz w:val="16"/>
              </w:rPr>
              <w:t>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EA010D">
            <w:pPr>
              <w:jc w:val="right"/>
              <w:rPr>
                <w:sz w:val="16"/>
              </w:rPr>
            </w:pPr>
            <w:r w:rsidRPr="00100BF5">
              <w:rPr>
                <w:sz w:val="16"/>
              </w:rPr>
              <w:t xml:space="preserve"> 5</w:t>
            </w:r>
            <w:r w:rsidR="00EA010D" w:rsidRPr="00100BF5">
              <w:rPr>
                <w:sz w:val="16"/>
              </w:rPr>
              <w:t>3</w:t>
            </w:r>
            <w:r w:rsidRPr="00100BF5">
              <w:rPr>
                <w:sz w:val="16"/>
              </w:rPr>
              <w:t>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 Europe</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8,716 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1,474 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7,242 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2,714 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31.1 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273 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630 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 Rest of World</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4,553 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103 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4,450 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160 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3.5 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1 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4 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Wealth and Investment Management</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2,441 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52 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2,389 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329 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13.5 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2 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16 </w:t>
            </w:r>
          </w:p>
        </w:tc>
      </w:tr>
      <w:tr w:rsidR="00A12DCA" w:rsidRPr="00100BF5" w:rsidTr="00A90A55">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Head Office and Other Functions</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 xml:space="preserve"> 1,274 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18 </w:t>
            </w:r>
          </w:p>
        </w:tc>
        <w:tc>
          <w:tcPr>
            <w:tcW w:w="115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sz w:val="16"/>
              </w:rPr>
              <w:t xml:space="preserve"> 1,256 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34 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vertAlign w:val="superscript"/>
              </w:rPr>
            </w:pPr>
            <w:r w:rsidRPr="00100BF5">
              <w:rPr>
                <w:sz w:val="16"/>
              </w:rPr>
              <w:t>2.7 </w:t>
            </w:r>
            <w:r w:rsidRPr="00100BF5">
              <w:rPr>
                <w:sz w:val="16"/>
                <w:vertAlign w:val="superscript"/>
              </w:rPr>
              <w:t xml:space="preserve"> </w:t>
            </w:r>
          </w:p>
        </w:tc>
        <w:tc>
          <w:tcPr>
            <w:tcW w:w="115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A90A55">
            <w:pPr>
              <w:jc w:val="right"/>
              <w:rPr>
                <w:sz w:val="16"/>
                <w:vertAlign w:val="superscript"/>
              </w:rPr>
            </w:pPr>
            <w:r w:rsidRPr="00100BF5">
              <w:rPr>
                <w:sz w:val="16"/>
              </w:rPr>
              <w:t>1 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jc w:val="right"/>
              <w:rPr>
                <w:sz w:val="16"/>
              </w:rPr>
            </w:pPr>
            <w:r w:rsidRPr="00100BF5">
              <w:rPr>
                <w:sz w:val="16"/>
              </w:rPr>
              <w:t xml:space="preserve"> 16 </w:t>
            </w:r>
          </w:p>
        </w:tc>
      </w:tr>
      <w:tr w:rsidR="00A12DCA" w:rsidRPr="00100BF5" w:rsidTr="00A90A55">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b/>
                <w:sz w:val="16"/>
              </w:rPr>
              <w:t>Total</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b/>
                <w:sz w:val="16"/>
                <w:vertAlign w:val="superscript"/>
              </w:rPr>
            </w:pPr>
            <w:r w:rsidRPr="00100BF5">
              <w:rPr>
                <w:b/>
                <w:sz w:val="16"/>
              </w:rPr>
              <w:t xml:space="preserve"> 272,54</w:t>
            </w:r>
            <w:r w:rsidR="003C7F05" w:rsidRPr="00100BF5">
              <w:rPr>
                <w:b/>
                <w:sz w:val="16"/>
              </w:rPr>
              <w:t>8</w:t>
            </w:r>
            <w:r w:rsidRPr="00100BF5">
              <w:rPr>
                <w:b/>
                <w:sz w:val="16"/>
              </w:rPr>
              <w:t>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b/>
                <w:sz w:val="16"/>
              </w:rPr>
            </w:pPr>
            <w:r w:rsidRPr="00100BF5">
              <w:rPr>
                <w:b/>
                <w:sz w:val="16"/>
              </w:rPr>
              <w:t xml:space="preserve"> 4,925 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90A55">
            <w:pPr>
              <w:jc w:val="right"/>
              <w:rPr>
                <w:sz w:val="16"/>
              </w:rPr>
            </w:pPr>
            <w:r w:rsidRPr="00100BF5">
              <w:rPr>
                <w:b/>
                <w:sz w:val="16"/>
              </w:rPr>
              <w:t xml:space="preserve"> 267,62</w:t>
            </w:r>
            <w:r w:rsidR="003C7F05" w:rsidRPr="00100BF5">
              <w:rPr>
                <w:b/>
                <w:sz w:val="16"/>
              </w:rPr>
              <w:t>3</w:t>
            </w:r>
            <w:r w:rsidRPr="00100BF5">
              <w:rPr>
                <w:b/>
                <w:sz w:val="16"/>
              </w:rPr>
              <w:t> </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b/>
                <w:sz w:val="16"/>
                <w:vertAlign w:val="superscript"/>
              </w:rPr>
            </w:pPr>
            <w:r w:rsidRPr="00100BF5">
              <w:rPr>
                <w:b/>
                <w:sz w:val="16"/>
              </w:rPr>
              <w:t>10,196 </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b/>
                <w:sz w:val="16"/>
                <w:vertAlign w:val="superscript"/>
              </w:rPr>
            </w:pPr>
            <w:r w:rsidRPr="00100BF5">
              <w:rPr>
                <w:b/>
                <w:sz w:val="16"/>
              </w:rPr>
              <w:t>3.7 </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90A55">
            <w:pPr>
              <w:jc w:val="right"/>
              <w:rPr>
                <w:b/>
                <w:sz w:val="16"/>
                <w:vertAlign w:val="superscript"/>
              </w:rPr>
            </w:pPr>
            <w:r w:rsidRPr="00100BF5">
              <w:rPr>
                <w:b/>
                <w:sz w:val="16"/>
              </w:rPr>
              <w:t xml:space="preserve"> 844 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jc w:val="right"/>
              <w:rPr>
                <w:b/>
                <w:sz w:val="16"/>
              </w:rPr>
            </w:pPr>
            <w:r w:rsidRPr="00100BF5">
              <w:rPr>
                <w:b/>
                <w:sz w:val="16"/>
              </w:rPr>
              <w:t xml:space="preserve"> 62 </w:t>
            </w:r>
          </w:p>
        </w:tc>
      </w:tr>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rFonts w:ascii="Barclays Sans" w:eastAsia="Barclays Sans" w:hAnsi="Barclays Sans" w:cs="Barclays Sans"/>
                <w:sz w:val="16"/>
              </w:rPr>
              <w:t xml:space="preserve"> </w:t>
            </w:r>
            <w:r w:rsidRPr="00100BF5">
              <w:rPr>
                <w:rFonts w:ascii="Barclays Sans" w:eastAsia="Barclays Sans" w:hAnsi="Barclays Sans" w:cs="Barclays Sans"/>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vertAlign w:val="superscript"/>
              </w:rPr>
            </w:pPr>
            <w:r w:rsidRPr="00100BF5">
              <w:rPr>
                <w:rFonts w:ascii="Barclays Sans" w:eastAsia="Barclays Sans" w:hAnsi="Barclays Sans" w:cs="Barclays Sans"/>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r w:rsidRPr="00100BF5">
              <w:rPr>
                <w:b/>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r>
      <w:tr w:rsidR="00A12DCA" w:rsidRPr="00100BF5" w:rsidTr="00A90A55">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rPr>
                <w:b/>
                <w:sz w:val="16"/>
              </w:rPr>
            </w:pPr>
            <w:r w:rsidRPr="00100BF5">
              <w:rPr>
                <w:b/>
                <w:sz w:val="16"/>
              </w:rPr>
              <w:t>As at 31.12.11</w:t>
            </w:r>
            <w:r w:rsidRPr="00100BF5">
              <w:rPr>
                <w:b/>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A90A55">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UK RBB</w:t>
            </w:r>
            <w:r w:rsidRPr="00100BF5">
              <w:rPr>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2,743 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63 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2,680 </w:t>
            </w:r>
            <w:r w:rsidRPr="00100BF5">
              <w:rPr>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285 </w:t>
            </w:r>
            <w:r w:rsidRPr="00100BF5">
              <w:rPr>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10.4 </w:t>
            </w:r>
            <w:r w:rsidRPr="00100BF5">
              <w:rPr>
                <w:sz w:val="16"/>
                <w:vertAlign w:val="superscript"/>
              </w:rPr>
              <w:t xml:space="preserve">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45 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164 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Africa RBB</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9,729 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294 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9,435 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720 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7.4 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80 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82 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Barclaycard</w:t>
            </w:r>
            <w:r w:rsidRPr="00100BF5">
              <w:rPr>
                <w:sz w:val="16"/>
                <w:vertAlign w:val="superscript"/>
              </w:rPr>
              <w:t>2 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476 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468 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0.6 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27 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567 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Investment Bank</w:t>
            </w:r>
            <w:r w:rsidRPr="00100BF5">
              <w:rPr>
                <w:sz w:val="16"/>
                <w:vertAlign w:val="superscript"/>
              </w:rPr>
              <w:t>3 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161,194 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2,555 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158,639 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5,253 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3.3 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129 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Corporate Banking</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70,268 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2,235 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68,033 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4,312 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6.1 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1,071 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152 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 UK</w:t>
            </w:r>
            <w:r w:rsidRPr="00100BF5">
              <w:rPr>
                <w:sz w:val="14"/>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4"/>
                <w:vertAlign w:val="superscript"/>
              </w:rPr>
            </w:pPr>
            <w:r w:rsidRPr="00100BF5">
              <w:rPr>
                <w:sz w:val="16"/>
              </w:rPr>
              <w:t xml:space="preserve"> 53,668 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545 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53,123 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1,267 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2.4 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345 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64 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 Europe</w:t>
            </w:r>
            <w:r w:rsidRPr="00100BF5">
              <w:rPr>
                <w:sz w:val="14"/>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4"/>
                <w:vertAlign w:val="superscript"/>
              </w:rPr>
            </w:pPr>
            <w:r w:rsidRPr="00100BF5">
              <w:rPr>
                <w:sz w:val="16"/>
              </w:rPr>
              <w:t xml:space="preserve"> 12,576 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1,574 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11,002 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2,876 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22.9 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699 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556 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 Rest of World</w:t>
            </w:r>
            <w:r w:rsidRPr="00100BF5">
              <w:rPr>
                <w:sz w:val="14"/>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4"/>
                <w:vertAlign w:val="superscript"/>
              </w:rPr>
            </w:pPr>
            <w:r w:rsidRPr="00100BF5">
              <w:rPr>
                <w:sz w:val="16"/>
              </w:rPr>
              <w:t xml:space="preserve"> 4,024 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116 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3,908 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3C7F05">
            <w:pPr>
              <w:jc w:val="right"/>
              <w:rPr>
                <w:sz w:val="16"/>
                <w:vertAlign w:val="superscript"/>
              </w:rPr>
            </w:pPr>
            <w:r w:rsidRPr="00100BF5">
              <w:rPr>
                <w:sz w:val="16"/>
              </w:rPr>
              <w:t xml:space="preserve"> 1</w:t>
            </w:r>
            <w:r w:rsidR="003C7F05" w:rsidRPr="00100BF5">
              <w:rPr>
                <w:sz w:val="16"/>
              </w:rPr>
              <w:t>69</w:t>
            </w:r>
            <w:r w:rsidRPr="00100BF5">
              <w:rPr>
                <w:sz w:val="16"/>
              </w:rPr>
              <w:t>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4.1 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27 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67 </w:t>
            </w:r>
          </w:p>
        </w:tc>
      </w:tr>
      <w:tr w:rsidR="00A12DCA" w:rsidRPr="00100BF5" w:rsidTr="00A90A5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Wealth and Investment Management</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2,471 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51 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2,420 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317 </w:t>
            </w:r>
            <w:r w:rsidRPr="00100BF5">
              <w:rPr>
                <w:sz w:val="16"/>
                <w:vertAlign w:val="superscript"/>
              </w:rPr>
              <w:t xml:space="preserve">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12.8 </w:t>
            </w:r>
            <w:r w:rsidRPr="00100BF5">
              <w:rPr>
                <w:sz w:val="16"/>
                <w:vertAlign w:val="superscript"/>
              </w:rPr>
              <w:t xml:space="preserve"> </w:t>
            </w:r>
          </w:p>
        </w:tc>
        <w:tc>
          <w:tcPr>
            <w:tcW w:w="115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18 </w:t>
            </w:r>
          </w:p>
        </w:tc>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73 </w:t>
            </w:r>
          </w:p>
        </w:tc>
      </w:tr>
      <w:tr w:rsidR="00A12DCA" w:rsidRPr="00100BF5" w:rsidTr="00A90A55">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90A55">
            <w:pPr>
              <w:rPr>
                <w:sz w:val="16"/>
              </w:rPr>
            </w:pPr>
            <w:r w:rsidRPr="00100BF5">
              <w:rPr>
                <w:sz w:val="16"/>
              </w:rPr>
              <w:t>Head Office and Other Functions</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1,958 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17 </w:t>
            </w:r>
          </w:p>
        </w:tc>
        <w:tc>
          <w:tcPr>
            <w:tcW w:w="115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1,941 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36 </w:t>
            </w:r>
            <w:r w:rsidRPr="00100BF5">
              <w:rPr>
                <w:sz w:val="16"/>
                <w:vertAlign w:val="superscript"/>
              </w:rPr>
              <w:t xml:space="preserve"> </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1.8 </w:t>
            </w:r>
            <w:r w:rsidRPr="00100BF5">
              <w:rPr>
                <w:sz w:val="16"/>
                <w:vertAlign w:val="superscript"/>
              </w:rPr>
              <w:t xml:space="preserve"> </w:t>
            </w:r>
          </w:p>
        </w:tc>
        <w:tc>
          <w:tcPr>
            <w:tcW w:w="115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(2)</w:t>
            </w:r>
          </w:p>
        </w:tc>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nm</w:t>
            </w:r>
          </w:p>
        </w:tc>
      </w:tr>
      <w:tr w:rsidR="00A12DCA" w:rsidRPr="00100BF5" w:rsidTr="00A90A55">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90A55">
            <w:pPr>
              <w:rPr>
                <w:sz w:val="16"/>
              </w:rPr>
            </w:pPr>
            <w:r w:rsidRPr="00100BF5">
              <w:rPr>
                <w:b/>
                <w:sz w:val="16"/>
              </w:rPr>
              <w:t>Total</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248,839 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5,223 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 xml:space="preserve"> 243,616 </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10,926 </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4.4 </w:t>
            </w:r>
            <w:r w:rsidRPr="00100BF5">
              <w:rPr>
                <w:b/>
                <w:sz w:val="16"/>
                <w:vertAlign w:val="superscript"/>
              </w:rPr>
              <w:t xml:space="preserve"> </w:t>
            </w:r>
          </w:p>
        </w:tc>
        <w:tc>
          <w:tcPr>
            <w:tcW w:w="115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1,368 </w:t>
            </w:r>
          </w:p>
        </w:tc>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55 </w:t>
            </w:r>
          </w:p>
        </w:tc>
      </w:tr>
    </w:tbl>
    <w:p w:rsidR="00A12DCA" w:rsidRPr="00100BF5" w:rsidRDefault="00A12DCA" w:rsidP="00F43884">
      <w:pPr>
        <w:pStyle w:val="Level1Bullet-BarcRA03"/>
        <w:rPr>
          <w:lang w:val="en-GB"/>
        </w:rPr>
      </w:pPr>
      <w:r w:rsidRPr="00100BF5">
        <w:rPr>
          <w:lang w:val="en-GB"/>
        </w:rPr>
        <w:t xml:space="preserve">Gross loans and advances to customers and banks increased 10% to £273bn principally as a result of a rise of 17% in the Investment Bank to £188bn. For more detail, see analysis of Investment Bank wholesale loans and advances on page </w:t>
      </w:r>
      <w:r w:rsidR="0079534F">
        <w:rPr>
          <w:lang w:val="en-GB"/>
        </w:rPr>
        <w:t>57</w:t>
      </w:r>
    </w:p>
    <w:p w:rsidR="00A12DCA" w:rsidRPr="00100BF5" w:rsidRDefault="00A12DCA" w:rsidP="00F43884">
      <w:pPr>
        <w:pStyle w:val="Level1Bullet-BarcRA03"/>
        <w:rPr>
          <w:lang w:val="en-GB"/>
        </w:rPr>
      </w:pPr>
      <w:r w:rsidRPr="00100BF5">
        <w:rPr>
          <w:lang w:val="en-GB"/>
        </w:rPr>
        <w:t xml:space="preserve">This was partially offset by a 5% decrease in balances in Corporate Banking  primarily in Europe due to the disposal of the Iveco Finance business and a reduction in Spanish exposures </w:t>
      </w:r>
    </w:p>
    <w:p w:rsidR="00A12DCA" w:rsidRPr="00100BF5" w:rsidRDefault="00A12DCA" w:rsidP="00F43884">
      <w:pPr>
        <w:pStyle w:val="Level1Bullet-BarcRA03"/>
        <w:rPr>
          <w:lang w:val="en-GB"/>
        </w:rPr>
      </w:pPr>
      <w:r w:rsidRPr="00100BF5">
        <w:rPr>
          <w:lang w:val="en-GB"/>
        </w:rPr>
        <w:t>The loan impairment charge increased 3</w:t>
      </w:r>
      <w:r w:rsidR="00D74F19">
        <w:rPr>
          <w:lang w:val="en-GB"/>
        </w:rPr>
        <w:t>7</w:t>
      </w:r>
      <w:r w:rsidRPr="00100BF5">
        <w:rPr>
          <w:lang w:val="en-GB"/>
        </w:rPr>
        <w:t xml:space="preserve">% </w:t>
      </w:r>
      <w:r w:rsidR="003C7F05" w:rsidRPr="00100BF5">
        <w:rPr>
          <w:lang w:val="en-GB"/>
        </w:rPr>
        <w:t>to £844</w:t>
      </w:r>
      <w:r w:rsidRPr="00100BF5">
        <w:rPr>
          <w:lang w:val="en-GB"/>
        </w:rPr>
        <w:t xml:space="preserve">m compared to 30 June 2011 (£617m), </w:t>
      </w:r>
      <w:r w:rsidR="009C5A7D">
        <w:rPr>
          <w:lang w:val="en-GB"/>
        </w:rPr>
        <w:t xml:space="preserve">reflecting </w:t>
      </w:r>
      <w:r w:rsidRPr="00100BF5">
        <w:rPr>
          <w:lang w:val="en-GB"/>
        </w:rPr>
        <w:t>a charge of £32</w:t>
      </w:r>
      <w:r w:rsidR="00EA010D" w:rsidRPr="00100BF5">
        <w:rPr>
          <w:lang w:val="en-GB"/>
        </w:rPr>
        <w:t>4</w:t>
      </w:r>
      <w:r w:rsidRPr="00100BF5">
        <w:rPr>
          <w:lang w:val="en-GB"/>
        </w:rPr>
        <w:t>m (2011: £51m release) in Investment Bank, which primarily related to ABS CDO Super Senior positions and</w:t>
      </w:r>
      <w:r w:rsidR="00763FA1" w:rsidRPr="00763FA1">
        <w:rPr>
          <w:lang w:val="en-GB"/>
        </w:rPr>
        <w:t xml:space="preserve"> </w:t>
      </w:r>
      <w:r w:rsidR="00763FA1" w:rsidRPr="00B75665">
        <w:rPr>
          <w:lang w:val="en-GB"/>
        </w:rPr>
        <w:t>higher losses on single name exposures</w:t>
      </w:r>
      <w:r w:rsidRPr="00100BF5">
        <w:rPr>
          <w:lang w:val="en-GB"/>
        </w:rPr>
        <w:t>. The increase from the prior year was mostly due to a non-recurring release of £223m in the Investment Bank during 2011</w:t>
      </w:r>
    </w:p>
    <w:p w:rsidR="00A12DCA" w:rsidRPr="00100BF5" w:rsidRDefault="00A12DCA" w:rsidP="00F43884">
      <w:pPr>
        <w:pStyle w:val="Level1Bullet-BarcRA03"/>
        <w:rPr>
          <w:lang w:val="en-GB"/>
        </w:rPr>
      </w:pPr>
      <w:r w:rsidRPr="00100BF5">
        <w:rPr>
          <w:lang w:val="en-GB"/>
        </w:rPr>
        <w:t>Loan impairment charges reduced by 2</w:t>
      </w:r>
      <w:r w:rsidR="00EA010D" w:rsidRPr="00100BF5">
        <w:rPr>
          <w:lang w:val="en-GB"/>
        </w:rPr>
        <w:t>8</w:t>
      </w:r>
      <w:r w:rsidRPr="00100BF5">
        <w:rPr>
          <w:lang w:val="en-GB"/>
        </w:rPr>
        <w:t xml:space="preserve">% in Corporate Banking, principally due to lower impairment charges in Spain reflecting ongoing </w:t>
      </w:r>
      <w:r w:rsidR="00EA010D" w:rsidRPr="00100BF5">
        <w:rPr>
          <w:lang w:val="en-GB"/>
        </w:rPr>
        <w:t>initiatives</w:t>
      </w:r>
      <w:r w:rsidRPr="00100BF5">
        <w:rPr>
          <w:lang w:val="en-GB"/>
        </w:rPr>
        <w:t xml:space="preserve"> to reduce exposure within the property and construction sector</w:t>
      </w:r>
    </w:p>
    <w:p w:rsidR="00A12DCA" w:rsidRPr="00100BF5" w:rsidRDefault="00A12DCA" w:rsidP="00F43884">
      <w:pPr>
        <w:pStyle w:val="Level1Bullet-BarcRA03"/>
        <w:rPr>
          <w:lang w:val="en-GB"/>
        </w:rPr>
      </w:pPr>
      <w:r w:rsidRPr="00100BF5">
        <w:rPr>
          <w:lang w:val="en-GB"/>
        </w:rPr>
        <w:t>The higher impairment  charge coupled with the higher loan balances resulted in an annualised loan loss rate of 6</w:t>
      </w:r>
      <w:r w:rsidR="003C7F05" w:rsidRPr="00100BF5">
        <w:rPr>
          <w:lang w:val="en-GB"/>
        </w:rPr>
        <w:t>2</w:t>
      </w:r>
      <w:r w:rsidR="00882E4A">
        <w:rPr>
          <w:lang w:val="en-GB"/>
        </w:rPr>
        <w:t>bps (Full Y</w:t>
      </w:r>
      <w:r w:rsidRPr="00100BF5">
        <w:rPr>
          <w:lang w:val="en-GB"/>
        </w:rPr>
        <w:t>ear 2011: 55bps)</w:t>
      </w:r>
    </w:p>
    <w:p w:rsidR="00DF1938" w:rsidRPr="00100BF5" w:rsidRDefault="00DF1938" w:rsidP="00DF1938">
      <w:pPr>
        <w:pStyle w:val="NoteandSourceText-BarcRA9"/>
        <w:numPr>
          <w:ilvl w:val="0"/>
          <w:numId w:val="0"/>
        </w:numPr>
        <w:ind w:left="284"/>
        <w:rPr>
          <w:sz w:val="2"/>
          <w:szCs w:val="2"/>
        </w:rPr>
      </w:pPr>
    </w:p>
    <w:p w:rsidR="00AF72CF" w:rsidRPr="00100BF5" w:rsidRDefault="00AF72CF" w:rsidP="00DF1938">
      <w:pPr>
        <w:pStyle w:val="NoteandSourceText-BarcRA9"/>
        <w:numPr>
          <w:ilvl w:val="0"/>
          <w:numId w:val="0"/>
        </w:numPr>
        <w:ind w:left="284"/>
        <w:rPr>
          <w:sz w:val="2"/>
          <w:szCs w:val="2"/>
        </w:rPr>
      </w:pPr>
    </w:p>
    <w:p w:rsidR="00A12DCA" w:rsidRPr="00100BF5" w:rsidRDefault="00A12DCA" w:rsidP="00A12DCA">
      <w:pPr>
        <w:pStyle w:val="NoteandSourceText-BarcRA9"/>
        <w:ind w:left="284" w:hanging="284"/>
      </w:pPr>
      <w:r w:rsidRPr="00100BF5">
        <w:t xml:space="preserve">Loans and advances to business customers in </w:t>
      </w:r>
      <w:smartTag w:uri="urn:schemas-microsoft-com:office:smarttags" w:element="place">
        <w:r w:rsidRPr="00100BF5">
          <w:t>Europe</w:t>
        </w:r>
      </w:smartTag>
      <w:r w:rsidRPr="00100BF5">
        <w:t xml:space="preserve"> RBB are included in the Retail Loans and Advances to Customers at Amortised Cost table on page </w:t>
      </w:r>
      <w:r w:rsidR="0079534F">
        <w:t>51</w:t>
      </w:r>
      <w:r w:rsidRPr="00100BF5">
        <w:t>.</w:t>
      </w:r>
    </w:p>
    <w:p w:rsidR="00A12DCA" w:rsidRPr="00100BF5" w:rsidRDefault="00A12DCA" w:rsidP="00A12DCA">
      <w:pPr>
        <w:pStyle w:val="NoteandSourceText-BarcRA9"/>
        <w:ind w:left="284" w:hanging="284"/>
      </w:pPr>
      <w:r w:rsidRPr="00100BF5">
        <w:t>Barclaycard wholesale loans and advances represent corporate credit and charge cards.</w:t>
      </w:r>
    </w:p>
    <w:p w:rsidR="00A12DCA" w:rsidRPr="00100BF5" w:rsidRDefault="00A12DCA" w:rsidP="00A12DCA">
      <w:pPr>
        <w:pStyle w:val="NoteandSourceText-BarcRA9"/>
        <w:ind w:left="284" w:hanging="284"/>
      </w:pPr>
      <w:r w:rsidRPr="00100BF5">
        <w:t>Investment Bank gross loans and advances include cash collateral and settlement balances of £111bn as at 30 June 2012 and £97.7bn as at 30 June 2011. Excluding these balances CRLs as a proportion of gross loans and advances were 5.98 % and 6.</w:t>
      </w:r>
      <w:r w:rsidR="00EA010D" w:rsidRPr="00100BF5">
        <w:t>1</w:t>
      </w:r>
      <w:r w:rsidRPr="00100BF5">
        <w:t xml:space="preserve">% respectively. </w:t>
      </w:r>
    </w:p>
    <w:p w:rsidR="00A12DCA" w:rsidRPr="00100BF5" w:rsidRDefault="00A12DCA" w:rsidP="005F437E">
      <w:pPr>
        <w:pStyle w:val="HeadingLevel1-BarcRA"/>
      </w:pPr>
      <w:r w:rsidRPr="00100BF5">
        <w:br w:type="page"/>
      </w:r>
      <w:r w:rsidR="005F437E">
        <w:t>Credit Risk</w:t>
      </w:r>
    </w:p>
    <w:p w:rsidR="00A12DCA" w:rsidRPr="00100BF5" w:rsidRDefault="00A12DCA" w:rsidP="000C3F6A">
      <w:pPr>
        <w:pStyle w:val="HeadingLevel2-BarcRA14"/>
        <w:spacing w:before="0"/>
        <w:rPr>
          <w:color w:val="auto"/>
        </w:rPr>
      </w:pPr>
      <w:r w:rsidRPr="00100BF5">
        <w:rPr>
          <w:color w:val="auto"/>
        </w:rPr>
        <w:t>Wholesale Forbearance</w:t>
      </w:r>
    </w:p>
    <w:p w:rsidR="00A12DCA" w:rsidRPr="00100BF5" w:rsidRDefault="00A12DCA" w:rsidP="00F43884">
      <w:pPr>
        <w:pStyle w:val="Level1Bullet-BarcRA03"/>
      </w:pPr>
      <w:r w:rsidRPr="00100BF5">
        <w:t>Wholesale client relationships are individually managed and lending decisions are made with reference to specific circumstances and on bespoke terms</w:t>
      </w:r>
    </w:p>
    <w:p w:rsidR="00A12DCA" w:rsidRPr="00100BF5" w:rsidRDefault="00A12DCA" w:rsidP="00F43884">
      <w:pPr>
        <w:pStyle w:val="Level1Bullet-BarcRA03"/>
      </w:pPr>
      <w:r w:rsidRPr="00100BF5">
        <w:t>Forbearance occurs when Barclays, for reasons relating to the actual or perceived financial difficulty of an obligor, grants a concession below current Barclays standard terms (e.g. lending criteria that differ from current lending terms), that would not otherwise be considered. This includes all troubled debt restructures granted below our standard rates</w:t>
      </w:r>
    </w:p>
    <w:p w:rsidR="00A12DCA" w:rsidRPr="00100BF5" w:rsidRDefault="00A12DCA" w:rsidP="00F43884">
      <w:pPr>
        <w:pStyle w:val="Level1Bullet-BarcRA03"/>
      </w:pPr>
      <w:r w:rsidRPr="00100BF5">
        <w:t>Where a concession is granted that is not a resul</w:t>
      </w:r>
      <w:r w:rsidR="00EF5141">
        <w:t>t of financial difficulty and/</w:t>
      </w:r>
      <w:r w:rsidRPr="00100BF5">
        <w:t xml:space="preserve">or is within our current standard terms, the concession would </w:t>
      </w:r>
      <w:r w:rsidR="00326956" w:rsidRPr="00100BF5">
        <w:t xml:space="preserve">not </w:t>
      </w:r>
      <w:r w:rsidRPr="00100BF5">
        <w:t>be considered as forbearance</w:t>
      </w:r>
    </w:p>
    <w:p w:rsidR="00A12DCA" w:rsidRPr="00100BF5" w:rsidRDefault="00A12DCA" w:rsidP="00F43884">
      <w:pPr>
        <w:pStyle w:val="Level1Bullet-BarcRA03"/>
      </w:pPr>
      <w:r w:rsidRPr="00100BF5">
        <w:t>The Group Watchlist (WL)/Early Warning List (EWL) and Forbearance Policy requires that a permanent record is retained of all individual cases of forbearance, and upon granting forbearanc</w:t>
      </w:r>
      <w:r w:rsidR="00EF5141">
        <w:t>e the obligor is placed on WL/</w:t>
      </w:r>
      <w:r w:rsidRPr="00100BF5">
        <w:t>EWL. The obligor then remains on WL/EWL and is flagged as being in forbearance for a minimum of 12 months from the date forbearance is applied</w:t>
      </w:r>
    </w:p>
    <w:p w:rsidR="00A12DCA" w:rsidRPr="00100BF5" w:rsidRDefault="00A12DCA" w:rsidP="00F43884">
      <w:pPr>
        <w:pStyle w:val="Level1Bullet-BarcRA03"/>
      </w:pPr>
      <w:r w:rsidRPr="00100BF5">
        <w:t>Impairment is assessed on an individual basis and recognised where relevant impairment triggers have been reached including where customers are in arrears and require renegotiation of terms</w:t>
      </w:r>
    </w:p>
    <w:p w:rsidR="00A12DCA" w:rsidRPr="00100BF5" w:rsidRDefault="00A12DCA" w:rsidP="00F43884">
      <w:pPr>
        <w:pStyle w:val="Level1Bullet-BarcRA03"/>
      </w:pPr>
      <w:r w:rsidRPr="00100BF5">
        <w:t>The control framework includes regular sampling to ensure watch list and impairment policies are enforced as defined and to ensure that all assets have suitable levels of impairment applied. Portfolios are subject to independent assessment</w:t>
      </w:r>
    </w:p>
    <w:p w:rsidR="00A12DCA" w:rsidRPr="00100BF5" w:rsidRDefault="00A12DCA"/>
    <w:tbl>
      <w:tblPr>
        <w:tblW w:w="0" w:type="auto"/>
        <w:tblLayout w:type="fixed"/>
        <w:tblLook w:val="0000" w:firstRow="0" w:lastRow="0" w:firstColumn="0" w:lastColumn="0" w:noHBand="0" w:noVBand="0"/>
      </w:tblPr>
      <w:tblGrid>
        <w:gridCol w:w="3015"/>
        <w:gridCol w:w="735"/>
        <w:gridCol w:w="1050"/>
        <w:gridCol w:w="1005"/>
        <w:gridCol w:w="945"/>
        <w:gridCol w:w="870"/>
        <w:gridCol w:w="1035"/>
        <w:gridCol w:w="1035"/>
      </w:tblGrid>
      <w:tr w:rsidR="00A12DCA" w:rsidRPr="00100BF5" w:rsidTr="00A12DCA">
        <w:tblPrEx>
          <w:tblCellMar>
            <w:top w:w="0" w:type="dxa"/>
            <w:bottom w:w="0" w:type="dxa"/>
          </w:tblCellMar>
        </w:tblPrEx>
        <w:trPr>
          <w:trHeight w:val="240"/>
        </w:trPr>
        <w:tc>
          <w:tcPr>
            <w:tcW w:w="3015" w:type="dxa"/>
            <w:gridSpan w:val="6"/>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b/>
                <w:sz w:val="20"/>
              </w:rPr>
              <w:t>Analysis of Investment Banking Wholesale Loans and Advances at Amortised Cost</w:t>
            </w:r>
            <w:r w:rsidRPr="00100BF5">
              <w:rPr>
                <w:sz w:val="16"/>
                <w:vertAlign w:val="superscript"/>
              </w:rPr>
              <w:t xml:space="preserve"> </w:t>
            </w:r>
          </w:p>
        </w:tc>
        <w:tc>
          <w:tcPr>
            <w:tcW w:w="103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103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r w:rsidR="00A12DCA" w:rsidRPr="00100BF5">
        <w:tblPrEx>
          <w:tblCellMar>
            <w:top w:w="0" w:type="dxa"/>
            <w:bottom w:w="0" w:type="dxa"/>
          </w:tblCellMar>
        </w:tblPrEx>
        <w:trPr>
          <w:trHeight w:val="720"/>
        </w:trPr>
        <w:tc>
          <w:tcPr>
            <w:tcW w:w="30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b/>
                <w:sz w:val="16"/>
              </w:rPr>
              <w:t>As at 30.06.12</w:t>
            </w:r>
          </w:p>
        </w:tc>
        <w:tc>
          <w:tcPr>
            <w:tcW w:w="73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Gross</w:t>
            </w:r>
          </w:p>
          <w:p w:rsidR="00A12DCA" w:rsidRPr="00100BF5" w:rsidRDefault="00A12DCA">
            <w:pPr>
              <w:jc w:val="right"/>
              <w:rPr>
                <w:b/>
                <w:sz w:val="16"/>
              </w:rPr>
            </w:pPr>
            <w:r w:rsidRPr="00100BF5">
              <w:rPr>
                <w:b/>
                <w:sz w:val="16"/>
              </w:rPr>
              <w:t>L&amp;A</w:t>
            </w:r>
          </w:p>
        </w:tc>
        <w:tc>
          <w:tcPr>
            <w:tcW w:w="105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Impairment Allowance</w:t>
            </w:r>
          </w:p>
        </w:tc>
        <w:tc>
          <w:tcPr>
            <w:tcW w:w="10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L&amp;A Net of Impairment</w:t>
            </w:r>
          </w:p>
        </w:tc>
        <w:tc>
          <w:tcPr>
            <w:tcW w:w="94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Credit Risk Loans</w:t>
            </w:r>
            <w:r w:rsidRPr="00100BF5">
              <w:rPr>
                <w:b/>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CRLs % of Gross L&amp;A</w:t>
            </w:r>
            <w:r w:rsidRPr="00100BF5">
              <w:rPr>
                <w:b/>
                <w:sz w:val="16"/>
                <w:vertAlign w:val="superscript"/>
              </w:rPr>
              <w:t xml:space="preserve"> </w:t>
            </w:r>
          </w:p>
        </w:tc>
        <w:tc>
          <w:tcPr>
            <w:tcW w:w="103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Loan Impairment Charges</w:t>
            </w:r>
          </w:p>
        </w:tc>
        <w:tc>
          <w:tcPr>
            <w:tcW w:w="103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Loan Loss Rates</w:t>
            </w:r>
          </w:p>
        </w:tc>
      </w:tr>
      <w:tr w:rsidR="00A12DCA" w:rsidRPr="00100BF5">
        <w:tblPrEx>
          <w:tblCellMar>
            <w:top w:w="0" w:type="dxa"/>
            <w:bottom w:w="0" w:type="dxa"/>
          </w:tblCellMar>
        </w:tblPrEx>
        <w:trPr>
          <w:trHeight w:val="255"/>
        </w:trPr>
        <w:tc>
          <w:tcPr>
            <w:tcW w:w="30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£m</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£m</w:t>
            </w:r>
          </w:p>
        </w:tc>
        <w:tc>
          <w:tcPr>
            <w:tcW w:w="10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£m</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£m</w:t>
            </w:r>
            <w:r w:rsidRPr="00100BF5">
              <w:rPr>
                <w:b/>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w:t>
            </w:r>
            <w:r w:rsidRPr="00100BF5">
              <w:rPr>
                <w:b/>
                <w:sz w:val="16"/>
                <w:vertAlign w:val="superscript"/>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£m</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bps</w:t>
            </w:r>
          </w:p>
        </w:tc>
      </w:tr>
      <w:tr w:rsidR="00A12DCA" w:rsidRPr="00100BF5">
        <w:tblPrEx>
          <w:tblCellMar>
            <w:top w:w="0" w:type="dxa"/>
            <w:bottom w:w="0" w:type="dxa"/>
          </w:tblCellMar>
        </w:tblPrEx>
        <w:trPr>
          <w:trHeight w:val="255"/>
        </w:trPr>
        <w:tc>
          <w:tcPr>
            <w:tcW w:w="30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Loans and advances to banks</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b/>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Interbank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15,990 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52 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15,938 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0.3 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6 </w:t>
            </w:r>
          </w:p>
        </w:tc>
      </w:tr>
      <w:tr w:rsidR="00A12DCA" w:rsidRPr="00100BF5">
        <w:tblPrEx>
          <w:tblCellMar>
            <w:top w:w="0" w:type="dxa"/>
            <w:bottom w:w="0" w:type="dxa"/>
          </w:tblCellMar>
        </w:tblPrEx>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Cash collateral and settlement balances</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29,287 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10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29,287 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Loans and advances to customers</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37,253 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515 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36,738 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1,166 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3.1 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rsidP="00EA010D">
            <w:pPr>
              <w:jc w:val="right"/>
              <w:rPr>
                <w:sz w:val="16"/>
                <w:vertAlign w:val="superscript"/>
              </w:rPr>
            </w:pPr>
            <w:r w:rsidRPr="00100BF5">
              <w:rPr>
                <w:sz w:val="16"/>
              </w:rPr>
              <w:t>14</w:t>
            </w:r>
            <w:r w:rsidR="00EA010D" w:rsidRPr="00100BF5">
              <w:rPr>
                <w:sz w:val="16"/>
              </w:rPr>
              <w:t>9</w:t>
            </w:r>
            <w:r w:rsidRPr="00100BF5">
              <w:rPr>
                <w:sz w:val="16"/>
              </w:rPr>
              <w:t>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80 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Government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2,757 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2,757 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ABS CDO Super Senior</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3,269 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1,654 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1,615 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3,269 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100.0 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131 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806 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Other wholesale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17,886 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273 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17,613 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145 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0.8 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39 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44 </w:t>
            </w:r>
          </w:p>
        </w:tc>
      </w:tr>
      <w:tr w:rsidR="00A12DCA" w:rsidRPr="00100BF5">
        <w:tblPrEx>
          <w:tblCellMar>
            <w:top w:w="0" w:type="dxa"/>
            <w:bottom w:w="0" w:type="dxa"/>
          </w:tblCellMar>
        </w:tblPrEx>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Cash collateral and settlement balances</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81,972 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10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81,972 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Total</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188,414 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2,494 </w:t>
            </w:r>
          </w:p>
        </w:tc>
        <w:tc>
          <w:tcPr>
            <w:tcW w:w="10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185,920 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4,631 </w:t>
            </w:r>
            <w:r w:rsidRPr="00100BF5">
              <w:rPr>
                <w:b/>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2.5 </w:t>
            </w:r>
            <w:r w:rsidRPr="00100BF5">
              <w:rPr>
                <w:b/>
                <w:sz w:val="16"/>
                <w:vertAlign w:val="superscript"/>
              </w:rPr>
              <w:t xml:space="preserve"> </w:t>
            </w:r>
          </w:p>
        </w:tc>
        <w:tc>
          <w:tcPr>
            <w:tcW w:w="103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A010D">
            <w:pPr>
              <w:jc w:val="right"/>
              <w:rPr>
                <w:b/>
                <w:sz w:val="16"/>
                <w:vertAlign w:val="superscript"/>
              </w:rPr>
            </w:pPr>
            <w:r w:rsidRPr="00100BF5">
              <w:rPr>
                <w:b/>
                <w:sz w:val="16"/>
              </w:rPr>
              <w:t>32</w:t>
            </w:r>
            <w:r w:rsidR="00EA010D" w:rsidRPr="00100BF5">
              <w:rPr>
                <w:b/>
                <w:sz w:val="16"/>
              </w:rPr>
              <w:t>4</w:t>
            </w:r>
            <w:r w:rsidRPr="00100BF5">
              <w:rPr>
                <w:b/>
                <w:sz w:val="16"/>
              </w:rPr>
              <w:t>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D74F19">
            <w:pPr>
              <w:jc w:val="right"/>
              <w:rPr>
                <w:b/>
                <w:sz w:val="16"/>
              </w:rPr>
            </w:pPr>
            <w:r w:rsidRPr="00100BF5">
              <w:rPr>
                <w:b/>
                <w:sz w:val="16"/>
              </w:rPr>
              <w:t>3</w:t>
            </w:r>
            <w:r w:rsidR="00D74F19">
              <w:rPr>
                <w:b/>
                <w:sz w:val="16"/>
              </w:rPr>
              <w:t>5</w:t>
            </w:r>
            <w:r w:rsidRPr="00100BF5">
              <w:rPr>
                <w:b/>
                <w:sz w:val="16"/>
              </w:rPr>
              <w:t> </w:t>
            </w:r>
          </w:p>
        </w:tc>
      </w:tr>
      <w:tr w:rsidR="00A12DCA" w:rsidRPr="00100BF5">
        <w:tblPrEx>
          <w:tblCellMar>
            <w:top w:w="0" w:type="dxa"/>
            <w:bottom w:w="0" w:type="dxa"/>
          </w:tblCellMar>
        </w:tblPrEx>
        <w:trPr>
          <w:trHeight w:hRule="exac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r w:rsidRPr="00100BF5">
              <w:rPr>
                <w:b/>
                <w:sz w:val="16"/>
                <w:vertAlign w:val="superscript"/>
              </w:rPr>
              <w:t xml:space="preserve">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As at 31.12.11</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Loans and advances to banks</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r w:rsidRPr="00100BF5">
              <w:rPr>
                <w:b/>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Interbank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19,655 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45 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19,610 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34 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0.2 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(5)</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w:t>
            </w:r>
          </w:p>
        </w:tc>
      </w:tr>
      <w:tr w:rsidR="00A12DCA" w:rsidRPr="00100BF5">
        <w:tblPrEx>
          <w:tblCellMar>
            <w:top w:w="0" w:type="dxa"/>
            <w:bottom w:w="0" w:type="dxa"/>
          </w:tblCellMar>
        </w:tblPrEx>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collateral and settlement balances</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23,066 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10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23,066 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Loans and advances to customers</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38,326 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730 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37,596 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1,515 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4.0 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194 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Government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3,276 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3,276 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ABS CDO Super Senior</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3,390 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1,548 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1,842 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3,390 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100.0 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6 </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18 </w:t>
            </w:r>
          </w:p>
        </w:tc>
      </w:tr>
      <w:tr w:rsidR="00A12DCA" w:rsidRPr="00100BF5">
        <w:tblPrEx>
          <w:tblCellMar>
            <w:top w:w="0" w:type="dxa"/>
            <w:bottom w:w="0" w:type="dxa"/>
          </w:tblCellMar>
        </w:tblPrEx>
        <w:trPr>
          <w:trHeight w:val="240"/>
        </w:trPr>
        <w:tc>
          <w:tcPr>
            <w:tcW w:w="30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wholesale lending</w:t>
            </w:r>
          </w:p>
        </w:tc>
        <w:tc>
          <w:tcPr>
            <w:tcW w:w="7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20,840 </w:t>
            </w:r>
          </w:p>
        </w:tc>
        <w:tc>
          <w:tcPr>
            <w:tcW w:w="10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232 </w:t>
            </w:r>
          </w:p>
        </w:tc>
        <w:tc>
          <w:tcPr>
            <w:tcW w:w="10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20,608 </w:t>
            </w:r>
          </w:p>
        </w:tc>
        <w:tc>
          <w:tcPr>
            <w:tcW w:w="94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314 </w:t>
            </w:r>
            <w:r w:rsidRPr="00100BF5">
              <w:rPr>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1.5 </w:t>
            </w:r>
            <w:r w:rsidRPr="00100BF5">
              <w:rPr>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(66)</w:t>
            </w:r>
          </w:p>
        </w:tc>
        <w:tc>
          <w:tcPr>
            <w:tcW w:w="103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(32)</w:t>
            </w:r>
          </w:p>
        </w:tc>
      </w:tr>
      <w:tr w:rsidR="00A12DCA" w:rsidRPr="00100BF5">
        <w:tblPrEx>
          <w:tblCellMar>
            <w:top w:w="0" w:type="dxa"/>
            <w:bottom w:w="0" w:type="dxa"/>
          </w:tblCellMar>
        </w:tblPrEx>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collateral and settlement balances</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52,641 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c>
          <w:tcPr>
            <w:tcW w:w="100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52,641 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r w:rsidRPr="00100BF5">
              <w:rPr>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w:t>
            </w:r>
            <w:r w:rsidRPr="00100BF5">
              <w:rPr>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w:t>
            </w:r>
          </w:p>
        </w:tc>
      </w:tr>
      <w:tr w:rsidR="00A12DCA" w:rsidRPr="00100BF5">
        <w:tblPrEx>
          <w:tblCellMar>
            <w:top w:w="0" w:type="dxa"/>
            <w:bottom w:w="0" w:type="dxa"/>
          </w:tblCellMar>
        </w:tblPrEx>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161,194 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2,555 </w:t>
            </w:r>
          </w:p>
        </w:tc>
        <w:tc>
          <w:tcPr>
            <w:tcW w:w="10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rPr>
            </w:pPr>
            <w:r w:rsidRPr="00100BF5">
              <w:rPr>
                <w:b/>
                <w:sz w:val="16"/>
              </w:rPr>
              <w:t>158,639 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5,253 </w:t>
            </w:r>
            <w:r w:rsidRPr="00100BF5">
              <w:rPr>
                <w:b/>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3.3 </w:t>
            </w:r>
            <w:r w:rsidRPr="00100BF5">
              <w:rPr>
                <w:b/>
                <w:sz w:val="16"/>
                <w:vertAlign w:val="superscript"/>
              </w:rPr>
              <w:t xml:space="preserve"> </w:t>
            </w:r>
          </w:p>
        </w:tc>
        <w:tc>
          <w:tcPr>
            <w:tcW w:w="103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129 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8 </w:t>
            </w:r>
          </w:p>
        </w:tc>
      </w:tr>
    </w:tbl>
    <w:p w:rsidR="00A12DCA" w:rsidRPr="00100BF5" w:rsidRDefault="00A12DCA"/>
    <w:p w:rsidR="00A12DCA" w:rsidRPr="00100BF5" w:rsidRDefault="00A12DCA" w:rsidP="00F43884">
      <w:pPr>
        <w:pStyle w:val="Level1Bullet-BarcRA03"/>
      </w:pPr>
      <w:r w:rsidRPr="00100BF5">
        <w:t>Investment Bank wholesale loans and ad</w:t>
      </w:r>
      <w:r w:rsidR="00D74F19">
        <w:t>vances increased 17% to £188,41</w:t>
      </w:r>
      <w:r w:rsidR="00D74F19">
        <w:rPr>
          <w:lang w:val="en-GB"/>
        </w:rPr>
        <w:t>4</w:t>
      </w:r>
      <w:r w:rsidRPr="00100BF5">
        <w:t xml:space="preserve">m driven by higher settlement balances offset by a reduction in interbank </w:t>
      </w:r>
      <w:r w:rsidR="00EA010D" w:rsidRPr="00100BF5">
        <w:t>and other wholesale lending</w:t>
      </w:r>
    </w:p>
    <w:p w:rsidR="00A12DCA" w:rsidRPr="00100BF5" w:rsidRDefault="00A12DCA" w:rsidP="00F43884">
      <w:pPr>
        <w:pStyle w:val="Level1Bullet-BarcRA03"/>
      </w:pPr>
      <w:r w:rsidRPr="00100BF5">
        <w:t>Included within corporate lending and other wholesale lending portfolios are £3,</w:t>
      </w:r>
      <w:r w:rsidR="00EA010D" w:rsidRPr="00100BF5">
        <w:t>270</w:t>
      </w:r>
      <w:r w:rsidRPr="00100BF5">
        <w:t>m (2011: £3,204m) of loans backed by retail mortgage collateral classified within fi</w:t>
      </w:r>
      <w:r w:rsidR="00DF1938" w:rsidRPr="00100BF5">
        <w:t>nancial institutions</w:t>
      </w:r>
    </w:p>
    <w:p w:rsidR="00A12DCA" w:rsidRPr="00100BF5" w:rsidRDefault="00A12DCA" w:rsidP="00A12DCA">
      <w:pPr>
        <w:pStyle w:val="NoteSourceText-BarcRA4"/>
      </w:pPr>
    </w:p>
    <w:p w:rsidR="00A12DCA" w:rsidRPr="00100BF5" w:rsidRDefault="00A12DCA" w:rsidP="00A12DCA">
      <w:pPr>
        <w:pStyle w:val="NoteSourceText-BarcRA4"/>
        <w:ind w:left="0" w:firstLine="0"/>
      </w:pP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Default="005F437E" w:rsidP="005F437E">
      <w:pPr>
        <w:pStyle w:val="HeadingLevel1-BarcRA"/>
      </w:pPr>
      <w:r>
        <w:t>Credit Risk</w:t>
      </w:r>
    </w:p>
    <w:p w:rsidR="00A12DCA" w:rsidRPr="00100BF5" w:rsidRDefault="00A12DCA" w:rsidP="000C3F6A">
      <w:pPr>
        <w:pStyle w:val="HeadingLevel1-BarcRA39"/>
        <w:rPr>
          <w:color w:val="auto"/>
        </w:rPr>
      </w:pPr>
      <w:r w:rsidRPr="00100BF5">
        <w:rPr>
          <w:color w:val="auto"/>
        </w:rPr>
        <w:t>Group Exposures to Eurozone Countries</w:t>
      </w:r>
    </w:p>
    <w:p w:rsidR="00A12DCA" w:rsidRPr="00100BF5" w:rsidRDefault="00A12DCA" w:rsidP="00F43884">
      <w:pPr>
        <w:pStyle w:val="Level1Bullet-BarcRA03"/>
        <w:rPr>
          <w:lang w:val="en-GB"/>
        </w:rPr>
      </w:pPr>
      <w:r w:rsidRPr="00100BF5">
        <w:rPr>
          <w:lang w:val="en-GB"/>
        </w:rPr>
        <w:t>The Group recognises the risk resulting from the ongoing volatility in the Eurozone and continues to monitor events closely while taking coordinated steps to mitigate the risks associated with the challenging economic environment</w:t>
      </w:r>
    </w:p>
    <w:p w:rsidR="00A12DCA" w:rsidRPr="00100BF5" w:rsidRDefault="008B50A4" w:rsidP="00F43884">
      <w:pPr>
        <w:pStyle w:val="Level1Bullet-BarcRA03"/>
        <w:rPr>
          <w:lang w:val="en-GB"/>
        </w:rPr>
      </w:pPr>
      <w:r w:rsidRPr="00100BF5">
        <w:rPr>
          <w:lang w:val="en-GB"/>
        </w:rPr>
        <w:t>R</w:t>
      </w:r>
      <w:r w:rsidR="00A12DCA" w:rsidRPr="00100BF5">
        <w:rPr>
          <w:lang w:val="en-GB"/>
        </w:rPr>
        <w:t>isks associated with a potential partial break-up of the Euro area</w:t>
      </w:r>
      <w:r w:rsidRPr="00100BF5">
        <w:rPr>
          <w:lang w:val="en-GB"/>
        </w:rPr>
        <w:t xml:space="preserve"> include</w:t>
      </w:r>
      <w:r w:rsidR="00A12DCA" w:rsidRPr="00100BF5">
        <w:rPr>
          <w:lang w:val="en-GB"/>
        </w:rPr>
        <w:t>:</w:t>
      </w:r>
    </w:p>
    <w:p w:rsidR="00A12DCA" w:rsidRPr="00100BF5" w:rsidRDefault="008B50A4" w:rsidP="00F43884">
      <w:pPr>
        <w:pStyle w:val="Level2Bullet-BarcRA2"/>
        <w:numPr>
          <w:ilvl w:val="2"/>
          <w:numId w:val="9"/>
        </w:numPr>
        <w:tabs>
          <w:tab w:val="num" w:pos="567"/>
        </w:tabs>
        <w:ind w:left="567" w:hanging="283"/>
        <w:rPr>
          <w:lang w:val="en-GB"/>
        </w:rPr>
      </w:pPr>
      <w:r w:rsidRPr="00100BF5">
        <w:rPr>
          <w:lang w:val="en-GB"/>
        </w:rPr>
        <w:t>Direct credit and ma</w:t>
      </w:r>
      <w:r w:rsidR="00595EC4">
        <w:rPr>
          <w:lang w:val="en-GB"/>
        </w:rPr>
        <w:t>rket risk exposures arising</w:t>
      </w:r>
      <w:r w:rsidRPr="00100BF5">
        <w:rPr>
          <w:lang w:val="en-GB"/>
        </w:rPr>
        <w:t xml:space="preserve"> from potential sovereign default and/or arising from exposures to retail and corporate customers and counterparties within the countries (see below)</w:t>
      </w:r>
    </w:p>
    <w:p w:rsidR="008B50A4" w:rsidRPr="00100BF5" w:rsidRDefault="008B50A4" w:rsidP="00F43884">
      <w:pPr>
        <w:pStyle w:val="Level2Bullet-BarcRA2"/>
        <w:numPr>
          <w:ilvl w:val="2"/>
          <w:numId w:val="9"/>
        </w:numPr>
        <w:tabs>
          <w:tab w:val="num" w:pos="567"/>
        </w:tabs>
        <w:ind w:left="567" w:hanging="283"/>
        <w:rPr>
          <w:lang w:val="en-GB"/>
        </w:rPr>
      </w:pPr>
      <w:r w:rsidRPr="00100BF5">
        <w:rPr>
          <w:lang w:val="en-GB"/>
        </w:rPr>
        <w:t xml:space="preserve">Credit and market risk exposures relating to wholesale and retail customers and counterparties in other Eurozone countries arising as </w:t>
      </w:r>
      <w:r w:rsidR="00EF5141">
        <w:rPr>
          <w:lang w:val="en-GB"/>
        </w:rPr>
        <w:t xml:space="preserve">a </w:t>
      </w:r>
      <w:r w:rsidRPr="00100BF5">
        <w:rPr>
          <w:lang w:val="en-GB"/>
        </w:rPr>
        <w:t>result of economic slowdown or default (see p</w:t>
      </w:r>
      <w:r w:rsidR="005F1542">
        <w:rPr>
          <w:lang w:val="en-GB"/>
        </w:rPr>
        <w:t>age 59</w:t>
      </w:r>
      <w:r w:rsidRPr="00100BF5">
        <w:rPr>
          <w:lang w:val="en-GB"/>
        </w:rPr>
        <w:t>)</w:t>
      </w:r>
    </w:p>
    <w:p w:rsidR="008B50A4" w:rsidRPr="00100BF5" w:rsidRDefault="008B50A4" w:rsidP="00F43884">
      <w:pPr>
        <w:pStyle w:val="Level2Bullet-BarcRA2"/>
        <w:numPr>
          <w:ilvl w:val="2"/>
          <w:numId w:val="9"/>
        </w:numPr>
        <w:tabs>
          <w:tab w:val="num" w:pos="567"/>
        </w:tabs>
        <w:ind w:left="567" w:hanging="283"/>
        <w:rPr>
          <w:lang w:val="en-GB"/>
        </w:rPr>
      </w:pPr>
      <w:r w:rsidRPr="00100BF5">
        <w:rPr>
          <w:lang w:val="en-GB"/>
        </w:rPr>
        <w:t>Indirect exposures relating to credit derivative exposures that reference Eurozone sovereign debt (see p</w:t>
      </w:r>
      <w:r w:rsidR="005F1542">
        <w:rPr>
          <w:lang w:val="en-GB"/>
        </w:rPr>
        <w:t>age 60</w:t>
      </w:r>
      <w:r w:rsidRPr="00100BF5">
        <w:rPr>
          <w:lang w:val="en-GB"/>
        </w:rPr>
        <w:t xml:space="preserve">)  </w:t>
      </w:r>
    </w:p>
    <w:p w:rsidR="008B50A4" w:rsidRPr="00100BF5" w:rsidRDefault="008B50A4" w:rsidP="00F43884">
      <w:pPr>
        <w:pStyle w:val="Level2Bullet-BarcRA2"/>
        <w:numPr>
          <w:ilvl w:val="2"/>
          <w:numId w:val="9"/>
        </w:numPr>
        <w:tabs>
          <w:tab w:val="num" w:pos="567"/>
        </w:tabs>
        <w:ind w:left="567" w:hanging="283"/>
        <w:rPr>
          <w:lang w:val="en-GB"/>
        </w:rPr>
      </w:pPr>
      <w:r w:rsidRPr="00100BF5">
        <w:rPr>
          <w:lang w:val="en-GB"/>
        </w:rPr>
        <w:t>Redenomination risk arising on the mismatch in currency funding of local Eurozone balance sheets in the event that one or more countries exit the Euro (see p</w:t>
      </w:r>
      <w:r w:rsidR="005F1542">
        <w:rPr>
          <w:lang w:val="en-GB"/>
        </w:rPr>
        <w:t>age 60</w:t>
      </w:r>
      <w:r w:rsidRPr="00100BF5">
        <w:rPr>
          <w:lang w:val="en-GB"/>
        </w:rPr>
        <w:t>)</w:t>
      </w:r>
    </w:p>
    <w:p w:rsidR="00A12DCA" w:rsidRPr="00100BF5" w:rsidRDefault="00A12DCA" w:rsidP="00F43884">
      <w:pPr>
        <w:pStyle w:val="Level1Bullet-BarcRA03"/>
        <w:rPr>
          <w:lang w:val="en-GB"/>
        </w:rPr>
      </w:pPr>
      <w:r w:rsidRPr="00100BF5">
        <w:rPr>
          <w:lang w:val="en-GB"/>
        </w:rPr>
        <w:t>The Group has performed and continues to perform stress tests to model the event of a break-up of the Eurozone area.  Contingency planning has also been undertaken based on a series of potential scenarios that might arise from an escalation in the crisis. Multiple tests have been run to establish the impact on customers, s</w:t>
      </w:r>
      <w:r w:rsidR="00522A46">
        <w:rPr>
          <w:lang w:val="en-GB"/>
        </w:rPr>
        <w:t xml:space="preserve">ystems, processes and staff </w:t>
      </w:r>
      <w:r w:rsidRPr="00100BF5">
        <w:rPr>
          <w:lang w:val="en-GB"/>
        </w:rPr>
        <w:t>in the event of the most plausible scenario(s). Further tests are planned in H2 2012. Where issues have been identified, appropriate remedial actions have either been completed or are underway</w:t>
      </w:r>
    </w:p>
    <w:p w:rsidR="008B50A4" w:rsidRPr="00100BF5" w:rsidRDefault="008B50A4" w:rsidP="005833AC">
      <w:pPr>
        <w:pStyle w:val="Level1Bullet-BarcRA26"/>
        <w:numPr>
          <w:ilvl w:val="0"/>
          <w:numId w:val="0"/>
        </w:numPr>
        <w:spacing w:before="360"/>
      </w:pPr>
      <w:r w:rsidRPr="00100BF5">
        <w:rPr>
          <w:b/>
          <w:sz w:val="20"/>
          <w:lang w:val="en-GB"/>
        </w:rPr>
        <w:t>Direct credit and market risk exposures</w:t>
      </w:r>
    </w:p>
    <w:p w:rsidR="00A12DCA" w:rsidRPr="00100BF5" w:rsidRDefault="00A12DCA" w:rsidP="000C3F6A">
      <w:pPr>
        <w:pStyle w:val="Level1Bullet-BarcRA03"/>
        <w:spacing w:after="120"/>
        <w:rPr>
          <w:lang w:val="en-GB"/>
        </w:rPr>
      </w:pPr>
      <w:r w:rsidRPr="00100BF5">
        <w:rPr>
          <w:lang w:val="en-GB"/>
        </w:rPr>
        <w:t>The following table show</w:t>
      </w:r>
      <w:r w:rsidR="008B50A4" w:rsidRPr="00100BF5">
        <w:rPr>
          <w:lang w:val="en-GB"/>
        </w:rPr>
        <w:t>s Barclays total exposure to</w:t>
      </w:r>
      <w:r w:rsidRPr="00100BF5">
        <w:rPr>
          <w:lang w:val="en-GB"/>
        </w:rPr>
        <w:t xml:space="preserve"> Eurozone countries</w:t>
      </w:r>
      <w:r w:rsidR="00DF1938" w:rsidRPr="00100BF5">
        <w:rPr>
          <w:lang w:val="en-GB"/>
        </w:rPr>
        <w:t xml:space="preserve"> </w:t>
      </w:r>
      <w:r w:rsidRPr="00100BF5">
        <w:rPr>
          <w:lang w:val="en-GB"/>
        </w:rPr>
        <w:t xml:space="preserve">monitored internally as being higher risk and </w:t>
      </w:r>
      <w:r w:rsidR="008B50A4" w:rsidRPr="00100BF5">
        <w:rPr>
          <w:lang w:val="en-GB"/>
        </w:rPr>
        <w:t>thus being</w:t>
      </w:r>
      <w:r w:rsidRPr="00100BF5">
        <w:rPr>
          <w:lang w:val="en-GB"/>
        </w:rPr>
        <w:t xml:space="preserve"> the subject of particular management focus. </w:t>
      </w:r>
      <w:r w:rsidR="008B50A4" w:rsidRPr="00100BF5">
        <w:rPr>
          <w:lang w:val="en-GB"/>
        </w:rPr>
        <w:t>Detailed</w:t>
      </w:r>
      <w:r w:rsidRPr="00100BF5">
        <w:rPr>
          <w:lang w:val="en-GB"/>
        </w:rPr>
        <w:t xml:space="preserve"> analysis on these c</w:t>
      </w:r>
      <w:r w:rsidR="008C1856">
        <w:rPr>
          <w:lang w:val="en-GB"/>
        </w:rPr>
        <w:t>ountries is</w:t>
      </w:r>
      <w:r w:rsidR="00D518EE">
        <w:rPr>
          <w:lang w:val="en-GB"/>
        </w:rPr>
        <w:t xml:space="preserve"> on pages 62</w:t>
      </w:r>
      <w:r w:rsidRPr="00100BF5">
        <w:rPr>
          <w:lang w:val="en-GB"/>
        </w:rPr>
        <w:t xml:space="preserve"> to </w:t>
      </w:r>
      <w:r w:rsidR="00D518EE">
        <w:rPr>
          <w:lang w:val="en-GB"/>
        </w:rPr>
        <w:t>68</w:t>
      </w:r>
      <w:r w:rsidR="008C1856">
        <w:rPr>
          <w:lang w:val="en-GB"/>
        </w:rPr>
        <w:t>, and the basis of pre</w:t>
      </w:r>
      <w:r w:rsidR="00DD6AC8">
        <w:rPr>
          <w:lang w:val="en-GB"/>
        </w:rPr>
        <w:t>paration</w:t>
      </w:r>
      <w:r w:rsidR="008C1856">
        <w:rPr>
          <w:lang w:val="en-GB"/>
        </w:rPr>
        <w:t xml:space="preserve"> is on page 61</w:t>
      </w:r>
    </w:p>
    <w:p w:rsidR="00A12DCA" w:rsidRPr="00100BF5" w:rsidRDefault="00A12DCA"/>
    <w:tbl>
      <w:tblPr>
        <w:tblW w:w="0" w:type="auto"/>
        <w:tblLayout w:type="fixed"/>
        <w:tblLook w:val="0000" w:firstRow="0" w:lastRow="0" w:firstColumn="0" w:lastColumn="0" w:noHBand="0" w:noVBand="0"/>
      </w:tblPr>
      <w:tblGrid>
        <w:gridCol w:w="1155"/>
        <w:gridCol w:w="1065"/>
        <w:gridCol w:w="1065"/>
        <w:gridCol w:w="1065"/>
        <w:gridCol w:w="1065"/>
        <w:gridCol w:w="1065"/>
        <w:gridCol w:w="1125"/>
        <w:gridCol w:w="1125"/>
        <w:gridCol w:w="1065"/>
      </w:tblGrid>
      <w:tr w:rsidR="00A12DCA" w:rsidRPr="00100BF5" w:rsidTr="006A49F3">
        <w:tblPrEx>
          <w:tblCellMar>
            <w:top w:w="0" w:type="dxa"/>
            <w:bottom w:w="0" w:type="dxa"/>
          </w:tblCellMar>
        </w:tblPrEx>
        <w:trPr>
          <w:trHeight w:hRule="exact" w:val="215"/>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0"/>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0"/>
              </w:rPr>
            </w:pPr>
            <w:r w:rsidRPr="00100BF5">
              <w:rPr>
                <w:b/>
                <w:sz w:val="20"/>
              </w:rPr>
              <w:t xml:space="preserve"> </w:t>
            </w:r>
            <w:r w:rsidRPr="00100BF5">
              <w:rPr>
                <w:sz w:val="20"/>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0"/>
                <w:vertAlign w:val="superscript"/>
              </w:rPr>
            </w:pPr>
            <w:r w:rsidRPr="00100BF5">
              <w:rPr>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 net on-balance sheet exposure</w:t>
            </w:r>
          </w:p>
        </w:tc>
        <w:tc>
          <w:tcPr>
            <w:tcW w:w="112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Off-balance sheet contingent liabilities and commitments</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p>
        </w:tc>
        <w:tc>
          <w:tcPr>
            <w:tcW w:w="112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p>
        </w:tc>
        <w:tc>
          <w:tcPr>
            <w:tcW w:w="106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 exposure</w:t>
            </w:r>
          </w:p>
        </w:tc>
      </w:tr>
      <w:tr w:rsidR="00A12DCA" w:rsidRPr="00100BF5" w:rsidTr="000C3F6A">
        <w:tblPrEx>
          <w:tblCellMar>
            <w:top w:w="0" w:type="dxa"/>
            <w:bottom w:w="0" w:type="dxa"/>
          </w:tblCellMar>
        </w:tblPrEx>
        <w:trPr>
          <w:trHeight w:val="411"/>
        </w:trPr>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As at 30.06.12</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Sovereign</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Financial institutions</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Corporate</w:t>
            </w:r>
            <w:r w:rsidRPr="00100BF5">
              <w:rPr>
                <w:b/>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Residential mortgages</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Other retail lending</w:t>
            </w:r>
          </w:p>
        </w:tc>
        <w:tc>
          <w:tcPr>
            <w:tcW w:w="112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c>
          <w:tcPr>
            <w:tcW w:w="112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c>
          <w:tcPr>
            <w:tcW w:w="106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rsidTr="00AF0B6D">
        <w:tblPrEx>
          <w:tblCellMar>
            <w:top w:w="0" w:type="dxa"/>
            <w:bottom w:w="0" w:type="dxa"/>
          </w:tblCellMar>
        </w:tblPrEx>
        <w:trPr>
          <w:trHeight w:val="240"/>
        </w:trPr>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r w:rsidRPr="00100BF5">
              <w:rPr>
                <w:sz w:val="16"/>
                <w:vertAlign w:val="superscript"/>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£m</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r>
      <w:tr w:rsidR="00A12DCA" w:rsidRPr="00100BF5" w:rsidTr="00AF0B6D">
        <w:tblPrEx>
          <w:tblCellMar>
            <w:top w:w="0" w:type="dxa"/>
            <w:bottom w:w="0" w:type="dxa"/>
          </w:tblCellMar>
        </w:tblPrEx>
        <w:trPr>
          <w:trHeight w:val="240"/>
        </w:trPr>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Spain</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7A2656" w:rsidP="00AF0B6D">
            <w:pPr>
              <w:jc w:val="right"/>
              <w:rPr>
                <w:sz w:val="16"/>
              </w:rPr>
            </w:pPr>
            <w:r w:rsidRPr="00100BF5">
              <w:rPr>
                <w:sz w:val="16"/>
              </w:rPr>
              <w:t xml:space="preserve"> 2,207</w:t>
            </w:r>
            <w:r w:rsidR="00A12DCA" w:rsidRPr="00100BF5">
              <w:rPr>
                <w:sz w:val="16"/>
              </w:rPr>
              <w:t>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7A2656" w:rsidP="00AF0B6D">
            <w:pPr>
              <w:jc w:val="right"/>
              <w:rPr>
                <w:sz w:val="16"/>
              </w:rPr>
            </w:pPr>
            <w:r w:rsidRPr="00100BF5">
              <w:rPr>
                <w:sz w:val="16"/>
              </w:rPr>
              <w:t xml:space="preserve"> 1,082</w:t>
            </w:r>
            <w:r w:rsidR="00A12DCA" w:rsidRPr="00100BF5">
              <w:rPr>
                <w:sz w:val="16"/>
              </w:rPr>
              <w:t>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5,117 </w:t>
            </w:r>
            <w:r w:rsidRPr="00100BF5">
              <w:rPr>
                <w:sz w:val="16"/>
                <w:vertAlign w:val="superscript"/>
              </w:rPr>
              <w:t xml:space="preserve">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13,645 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2,988 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7A2656" w:rsidP="00AF0B6D">
            <w:pPr>
              <w:jc w:val="right"/>
              <w:rPr>
                <w:sz w:val="16"/>
              </w:rPr>
            </w:pPr>
            <w:r w:rsidRPr="00100BF5">
              <w:rPr>
                <w:sz w:val="16"/>
              </w:rPr>
              <w:t xml:space="preserve"> 25,039</w:t>
            </w:r>
            <w:r w:rsidR="00A12DCA" w:rsidRPr="00100BF5">
              <w:rPr>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3,244 </w:t>
            </w:r>
          </w:p>
        </w:tc>
        <w:tc>
          <w:tcPr>
            <w:tcW w:w="106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28,</w:t>
            </w:r>
            <w:r w:rsidR="007A2656" w:rsidRPr="00100BF5">
              <w:rPr>
                <w:sz w:val="16"/>
              </w:rPr>
              <w:t>283</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Italy</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7A2656" w:rsidP="00AF0B6D">
            <w:pPr>
              <w:jc w:val="right"/>
              <w:rPr>
                <w:sz w:val="16"/>
              </w:rPr>
            </w:pPr>
            <w:r w:rsidRPr="00100BF5">
              <w:rPr>
                <w:sz w:val="16"/>
              </w:rPr>
              <w:t xml:space="preserve"> 2,551</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27</w:t>
            </w:r>
            <w:r w:rsidR="007A2656" w:rsidRPr="00100BF5">
              <w:rPr>
                <w:sz w:val="16"/>
              </w:rPr>
              <w:t>0</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2,</w:t>
            </w:r>
            <w:r w:rsidR="007A2656" w:rsidRPr="00100BF5">
              <w:rPr>
                <w:sz w:val="16"/>
              </w:rPr>
              <w:t>500</w:t>
            </w:r>
            <w:r w:rsidRPr="00100BF5">
              <w:rPr>
                <w:sz w:val="16"/>
              </w:rPr>
              <w:t>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15,447 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2,134 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22,9</w:t>
            </w:r>
            <w:r w:rsidR="007A2656" w:rsidRPr="00100BF5">
              <w:rPr>
                <w:sz w:val="16"/>
              </w:rPr>
              <w:t>02</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2,616 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25,5</w:t>
            </w:r>
            <w:r w:rsidR="007A2656" w:rsidRPr="00100BF5">
              <w:rPr>
                <w:sz w:val="16"/>
              </w:rPr>
              <w:t>18</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Portugal</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7A2656" w:rsidP="00AF0B6D">
            <w:pPr>
              <w:jc w:val="right"/>
              <w:rPr>
                <w:sz w:val="16"/>
              </w:rPr>
            </w:pPr>
            <w:r w:rsidRPr="00100BF5">
              <w:rPr>
                <w:sz w:val="16"/>
              </w:rPr>
              <w:t>588</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45 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2,415 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3,510 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1,879 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8,4</w:t>
            </w:r>
            <w:r w:rsidR="007A2656" w:rsidRPr="00100BF5">
              <w:rPr>
                <w:sz w:val="16"/>
              </w:rPr>
              <w:t>37</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2,740 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11,1</w:t>
            </w:r>
            <w:r w:rsidR="007A2656" w:rsidRPr="00100BF5">
              <w:rPr>
                <w:sz w:val="16"/>
              </w:rPr>
              <w:t>77</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Ireland</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21</w:t>
            </w:r>
            <w:r w:rsidR="007A2656" w:rsidRPr="00100BF5">
              <w:rPr>
                <w:sz w:val="16"/>
              </w:rPr>
              <w:t>1</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7A2656" w:rsidP="00AF0B6D">
            <w:pPr>
              <w:jc w:val="right"/>
              <w:rPr>
                <w:sz w:val="16"/>
              </w:rPr>
            </w:pPr>
            <w:r w:rsidRPr="00100BF5">
              <w:rPr>
                <w:sz w:val="16"/>
              </w:rPr>
              <w:t>4,222</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w:t>
            </w:r>
            <w:r w:rsidR="000C354E" w:rsidRPr="00100BF5">
              <w:rPr>
                <w:sz w:val="16"/>
              </w:rPr>
              <w:t>109</w:t>
            </w:r>
            <w:r w:rsidRPr="00100BF5">
              <w:rPr>
                <w:sz w:val="16"/>
              </w:rPr>
              <w:t>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91 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105 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5,7</w:t>
            </w:r>
            <w:r w:rsidR="007A2656" w:rsidRPr="00100BF5">
              <w:rPr>
                <w:sz w:val="16"/>
              </w:rPr>
              <w:t>38</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1,570 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7,3</w:t>
            </w:r>
            <w:r w:rsidR="007A2656" w:rsidRPr="00100BF5">
              <w:rPr>
                <w:sz w:val="16"/>
              </w:rPr>
              <w:t>08</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Cyprus</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130 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51 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201 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122 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323 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Greece</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59 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8 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19 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88 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20 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108 </w:t>
            </w:r>
          </w:p>
        </w:tc>
      </w:tr>
      <w:tr w:rsidR="00A12DCA" w:rsidRPr="00100BF5" w:rsidTr="000C3F6A">
        <w:tblPrEx>
          <w:tblCellMar>
            <w:top w:w="0" w:type="dxa"/>
            <w:bottom w:w="0" w:type="dxa"/>
          </w:tblCellMar>
        </w:tblPrEx>
        <w:trPr>
          <w:trHeight w:hRule="exact" w:val="159"/>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 xml:space="preserve"> </w:t>
            </w:r>
            <w:r w:rsidRPr="00100BF5">
              <w:rPr>
                <w:b/>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vertAlign w:val="superscript"/>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r>
      <w:tr w:rsidR="00A12DCA" w:rsidRPr="00100BF5" w:rsidTr="00AF0B6D">
        <w:tblPrEx>
          <w:tblCellMar>
            <w:top w:w="0" w:type="dxa"/>
            <w:bottom w:w="0" w:type="dxa"/>
          </w:tblCellMar>
        </w:tblPrEx>
        <w:trPr>
          <w:trHeight w:val="240"/>
        </w:trPr>
        <w:tc>
          <w:tcPr>
            <w:tcW w:w="115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As at 31.12.11</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r w:rsidRPr="00100BF5">
              <w:rPr>
                <w:sz w:val="16"/>
                <w:vertAlign w:val="superscript"/>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r>
      <w:tr w:rsidR="00A12DCA" w:rsidRPr="00100BF5" w:rsidTr="00AF0B6D">
        <w:tblPrEx>
          <w:tblCellMar>
            <w:top w:w="0" w:type="dxa"/>
            <w:bottom w:w="0" w:type="dxa"/>
          </w:tblCellMar>
        </w:tblPrEx>
        <w:trPr>
          <w:trHeight w:val="240"/>
        </w:trPr>
        <w:tc>
          <w:tcPr>
            <w:tcW w:w="115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Spain</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2,530 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987 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5,345 </w:t>
            </w:r>
            <w:r w:rsidRPr="00100BF5">
              <w:rPr>
                <w:sz w:val="16"/>
                <w:vertAlign w:val="superscript"/>
              </w:rPr>
              <w:t xml:space="preserve">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14,654 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3,031 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26,547 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3,842 </w:t>
            </w:r>
          </w:p>
        </w:tc>
        <w:tc>
          <w:tcPr>
            <w:tcW w:w="106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30,389 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Italy</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3,493 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669 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2,918 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15,934 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2,335 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25,349 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3,140 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28,489 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Portugal</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810 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51 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3,295 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3,651 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2,053 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9,860 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2,536 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12,396 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Ireland</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244 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4,311 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977 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94 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86 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5,712 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1,</w:t>
            </w:r>
            <w:r w:rsidR="005E15A7" w:rsidRPr="00100BF5">
              <w:rPr>
                <w:sz w:val="16"/>
              </w:rPr>
              <w:t>582</w:t>
            </w:r>
            <w:r w:rsidRPr="00100BF5">
              <w:rPr>
                <w:sz w:val="16"/>
              </w:rPr>
              <w:t>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7,</w:t>
            </w:r>
            <w:r w:rsidR="005E15A7" w:rsidRPr="00100BF5">
              <w:rPr>
                <w:sz w:val="16"/>
              </w:rPr>
              <w:t>294</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Cyprus</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128 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51 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196 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127 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323 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Greece</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67 </w:t>
            </w:r>
            <w:r w:rsidRPr="00100BF5">
              <w:rPr>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18 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106 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26 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132 </w:t>
            </w:r>
          </w:p>
        </w:tc>
      </w:tr>
    </w:tbl>
    <w:p w:rsidR="00A12DCA" w:rsidRPr="00100BF5" w:rsidRDefault="00A12DCA"/>
    <w:p w:rsidR="00A12DCA" w:rsidRPr="00100BF5" w:rsidRDefault="00A12DCA" w:rsidP="00F43884">
      <w:pPr>
        <w:pStyle w:val="Level1Bullet-BarcRA03"/>
      </w:pPr>
      <w:r w:rsidRPr="00100BF5">
        <w:t xml:space="preserve">During the first half of 2012 the Group’s sovereign exposure to Spain, Italy, Portugal, Ireland, Cyprus and Greece reduced by </w:t>
      </w:r>
      <w:r w:rsidR="00197647" w:rsidRPr="00100BF5">
        <w:t>22</w:t>
      </w:r>
      <w:r w:rsidRPr="00100BF5">
        <w:t>% to £</w:t>
      </w:r>
      <w:r w:rsidR="00197647" w:rsidRPr="00100BF5">
        <w:t>5.6</w:t>
      </w:r>
      <w:r w:rsidRPr="00100BF5">
        <w:t xml:space="preserve">bn </w:t>
      </w:r>
    </w:p>
    <w:p w:rsidR="00A12DCA" w:rsidRPr="00100BF5" w:rsidRDefault="00A12DCA" w:rsidP="00F43884">
      <w:pPr>
        <w:pStyle w:val="Level2Bullet-BarcRA2"/>
        <w:numPr>
          <w:ilvl w:val="2"/>
          <w:numId w:val="9"/>
        </w:numPr>
        <w:tabs>
          <w:tab w:val="num" w:pos="567"/>
        </w:tabs>
        <w:ind w:left="567" w:hanging="283"/>
        <w:rPr>
          <w:lang w:val="en-GB"/>
        </w:rPr>
      </w:pPr>
      <w:r w:rsidRPr="00100BF5">
        <w:rPr>
          <w:lang w:val="en-GB"/>
        </w:rPr>
        <w:t xml:space="preserve">Spanish sovereign exposure reduced </w:t>
      </w:r>
      <w:r w:rsidR="00197647" w:rsidRPr="00100BF5">
        <w:rPr>
          <w:lang w:val="en-GB"/>
        </w:rPr>
        <w:t>13</w:t>
      </w:r>
      <w:r w:rsidRPr="00100BF5">
        <w:rPr>
          <w:lang w:val="en-GB"/>
        </w:rPr>
        <w:t>% to £</w:t>
      </w:r>
      <w:r w:rsidR="007A2656" w:rsidRPr="00100BF5">
        <w:rPr>
          <w:lang w:val="en-GB"/>
        </w:rPr>
        <w:t>2.2</w:t>
      </w:r>
      <w:r w:rsidRPr="00100BF5">
        <w:rPr>
          <w:lang w:val="en-GB"/>
        </w:rPr>
        <w:t xml:space="preserve">bn due to the disposal of available for sale government bonds, held for the purpose of interest </w:t>
      </w:r>
      <w:r w:rsidR="008B50A4" w:rsidRPr="00100BF5">
        <w:rPr>
          <w:lang w:val="en-GB"/>
        </w:rPr>
        <w:t>rate hedging and liquidity, which</w:t>
      </w:r>
      <w:r w:rsidRPr="00100BF5">
        <w:rPr>
          <w:lang w:val="en-GB"/>
        </w:rPr>
        <w:t xml:space="preserve"> have been replaced by interest rate swaps with alternative counterparties</w:t>
      </w:r>
    </w:p>
    <w:p w:rsidR="000C3F6A" w:rsidRDefault="00A12DCA" w:rsidP="00F43884">
      <w:pPr>
        <w:pStyle w:val="Level2Bullet-BarcRA2"/>
        <w:numPr>
          <w:ilvl w:val="2"/>
          <w:numId w:val="9"/>
        </w:numPr>
        <w:tabs>
          <w:tab w:val="num" w:pos="567"/>
        </w:tabs>
        <w:ind w:left="567" w:hanging="283"/>
        <w:rPr>
          <w:lang w:val="en-GB"/>
        </w:rPr>
      </w:pPr>
      <w:r w:rsidRPr="000C3F6A">
        <w:rPr>
          <w:lang w:val="en-GB"/>
        </w:rPr>
        <w:t xml:space="preserve">Italian sovereign exposure decreased </w:t>
      </w:r>
      <w:r w:rsidR="007A2656" w:rsidRPr="000C3F6A">
        <w:rPr>
          <w:lang w:val="en-GB"/>
        </w:rPr>
        <w:t>27</w:t>
      </w:r>
      <w:r w:rsidRPr="000C3F6A">
        <w:rPr>
          <w:lang w:val="en-GB"/>
        </w:rPr>
        <w:t xml:space="preserve">% to £2.6bn principally due to a reduction in government bonds held </w:t>
      </w:r>
      <w:r w:rsidR="00522A46" w:rsidRPr="000C3F6A">
        <w:rPr>
          <w:lang w:val="en-GB"/>
        </w:rPr>
        <w:t>at fair value</w:t>
      </w:r>
    </w:p>
    <w:p w:rsidR="00A12DCA" w:rsidRPr="000C3F6A" w:rsidRDefault="00A12DCA" w:rsidP="00F43884">
      <w:pPr>
        <w:pStyle w:val="Level2Bullet-BarcRA2"/>
        <w:numPr>
          <w:ilvl w:val="2"/>
          <w:numId w:val="9"/>
        </w:numPr>
        <w:tabs>
          <w:tab w:val="num" w:pos="567"/>
        </w:tabs>
        <w:ind w:left="567" w:hanging="283"/>
        <w:rPr>
          <w:lang w:val="en-GB"/>
        </w:rPr>
      </w:pPr>
      <w:r w:rsidRPr="000C3F6A">
        <w:rPr>
          <w:lang w:val="en-GB"/>
        </w:rPr>
        <w:t xml:space="preserve">Portuguese sovereign exposure reduced </w:t>
      </w:r>
      <w:r w:rsidR="007A2656" w:rsidRPr="000C3F6A">
        <w:rPr>
          <w:lang w:val="en-GB"/>
        </w:rPr>
        <w:t>27</w:t>
      </w:r>
      <w:r w:rsidRPr="000C3F6A">
        <w:rPr>
          <w:lang w:val="en-GB"/>
        </w:rPr>
        <w:t>% to £0.6bn due to a reduction in government bonds held as available for sale</w:t>
      </w:r>
    </w:p>
    <w:p w:rsidR="00351861" w:rsidRDefault="00351861" w:rsidP="00351861">
      <w:pPr>
        <w:pStyle w:val="HeadingLevel1-BarcRA"/>
      </w:pPr>
      <w:r>
        <w:rPr>
          <w:lang w:val="en-GB"/>
        </w:rPr>
        <w:br w:type="page"/>
      </w:r>
      <w:r>
        <w:t>Credit Risk</w:t>
      </w:r>
    </w:p>
    <w:p w:rsidR="00A12DCA" w:rsidRPr="00100BF5" w:rsidRDefault="00A12DCA" w:rsidP="00F43884">
      <w:pPr>
        <w:pStyle w:val="Level1Bullet-BarcRA03"/>
        <w:rPr>
          <w:lang w:val="en-GB"/>
        </w:rPr>
      </w:pPr>
      <w:r w:rsidRPr="00100BF5">
        <w:rPr>
          <w:lang w:val="en-GB"/>
        </w:rPr>
        <w:t>Italian non-sovereign exposures decreased £1.5bn to £20.4bn, principally due to a £0.5bn decrease in residential mortgages (with an average LTV of 46.5%), and a £0.4bn reduction in exposures to financial institutions</w:t>
      </w:r>
    </w:p>
    <w:p w:rsidR="00A12DCA" w:rsidRPr="00100BF5" w:rsidRDefault="00A12DCA" w:rsidP="00F43884">
      <w:pPr>
        <w:pStyle w:val="Level1Bullet-BarcRA03"/>
        <w:rPr>
          <w:lang w:val="en-GB"/>
        </w:rPr>
      </w:pPr>
      <w:r w:rsidRPr="00100BF5">
        <w:rPr>
          <w:lang w:val="en-GB"/>
        </w:rPr>
        <w:t>Ireland exposures remained flat at £</w:t>
      </w:r>
      <w:r w:rsidR="007A2656" w:rsidRPr="00100BF5">
        <w:rPr>
          <w:lang w:val="en-GB"/>
        </w:rPr>
        <w:t>5.7</w:t>
      </w:r>
      <w:r w:rsidRPr="00100BF5">
        <w:rPr>
          <w:lang w:val="en-GB"/>
        </w:rPr>
        <w:t xml:space="preserve">bn, with </w:t>
      </w:r>
      <w:r w:rsidR="000C354E" w:rsidRPr="00100BF5">
        <w:rPr>
          <w:lang w:val="en-GB"/>
        </w:rPr>
        <w:t>e</w:t>
      </w:r>
      <w:r w:rsidRPr="00100BF5">
        <w:rPr>
          <w:lang w:val="en-GB"/>
        </w:rPr>
        <w:t>xposure to domestic Irish banks remain</w:t>
      </w:r>
      <w:r w:rsidR="000C354E" w:rsidRPr="00100BF5">
        <w:rPr>
          <w:lang w:val="en-GB"/>
        </w:rPr>
        <w:t>ing</w:t>
      </w:r>
      <w:r w:rsidRPr="00100BF5">
        <w:rPr>
          <w:lang w:val="en-GB"/>
        </w:rPr>
        <w:t xml:space="preserve"> minimal</w:t>
      </w:r>
    </w:p>
    <w:p w:rsidR="00A12DCA" w:rsidRPr="00100BF5" w:rsidRDefault="00A12DCA" w:rsidP="00F43884">
      <w:pPr>
        <w:pStyle w:val="Level1Bullet-BarcRA03"/>
        <w:rPr>
          <w:lang w:val="en-GB"/>
        </w:rPr>
      </w:pPr>
      <w:r w:rsidRPr="00100BF5">
        <w:rPr>
          <w:lang w:val="en-GB"/>
        </w:rPr>
        <w:t xml:space="preserve">Exposure to Cyprus, which received external support for its funding during the </w:t>
      </w:r>
      <w:r w:rsidR="00EA010D" w:rsidRPr="00100BF5">
        <w:rPr>
          <w:lang w:val="en-GB"/>
        </w:rPr>
        <w:t>period, remained flat at £0.2bn</w:t>
      </w:r>
      <w:r w:rsidRPr="00100BF5">
        <w:rPr>
          <w:lang w:val="en-GB"/>
        </w:rPr>
        <w:t xml:space="preserve"> </w:t>
      </w:r>
    </w:p>
    <w:p w:rsidR="00A12DCA" w:rsidRPr="00100BF5" w:rsidRDefault="00A12DCA" w:rsidP="00F43884">
      <w:pPr>
        <w:pStyle w:val="Level1Bullet-BarcRA03"/>
        <w:rPr>
          <w:lang w:val="en-GB"/>
        </w:rPr>
      </w:pPr>
      <w:r w:rsidRPr="00100BF5">
        <w:rPr>
          <w:lang w:val="en-GB"/>
        </w:rPr>
        <w:t xml:space="preserve">Exposure to Greece remains minimal </w:t>
      </w:r>
    </w:p>
    <w:p w:rsidR="00A12DCA" w:rsidRPr="00100BF5" w:rsidRDefault="00A12DCA" w:rsidP="00F43884">
      <w:pPr>
        <w:pStyle w:val="Level1Bullet-BarcRA03"/>
        <w:rPr>
          <w:lang w:val="en-GB"/>
        </w:rPr>
      </w:pPr>
      <w:r w:rsidRPr="00100BF5">
        <w:rPr>
          <w:lang w:val="en-GB"/>
        </w:rPr>
        <w:t>Retail lending in Spain, Italy and Portugal decreased 5% to £39.6bn while lending to corporates decreased 13% to £10.0bn reflecting continued prudent risk management of portfolios</w:t>
      </w:r>
    </w:p>
    <w:p w:rsidR="008B50A4" w:rsidRPr="00100BF5" w:rsidRDefault="008B50A4" w:rsidP="005833AC">
      <w:pPr>
        <w:pStyle w:val="Level1Bullet-BarcRA26"/>
        <w:numPr>
          <w:ilvl w:val="0"/>
          <w:numId w:val="0"/>
        </w:numPr>
        <w:spacing w:before="360"/>
        <w:rPr>
          <w:b/>
          <w:sz w:val="20"/>
          <w:lang w:val="en-GB"/>
        </w:rPr>
      </w:pPr>
      <w:r w:rsidRPr="00100BF5">
        <w:rPr>
          <w:b/>
          <w:sz w:val="20"/>
          <w:lang w:val="en-GB"/>
        </w:rPr>
        <w:t>Exposures to other Eurozone countries</w:t>
      </w:r>
    </w:p>
    <w:p w:rsidR="008B50A4" w:rsidRPr="00100BF5" w:rsidRDefault="008B50A4" w:rsidP="000C3F6A">
      <w:pPr>
        <w:pStyle w:val="Level1Bullet-BarcRA03"/>
        <w:spacing w:after="120"/>
        <w:rPr>
          <w:lang w:val="en-GB"/>
        </w:rPr>
      </w:pPr>
      <w:r w:rsidRPr="00100BF5">
        <w:rPr>
          <w:lang w:val="en-GB"/>
        </w:rPr>
        <w:t>Barclays has net exposures to other Eurozone countries as set out below. The net exposures are shown as they provide the best measure of counterparty credit risk. Exposures to individual countries that are less than £1bn are reported in aggregate under O</w:t>
      </w:r>
      <w:r w:rsidR="005833AC" w:rsidRPr="00100BF5">
        <w:rPr>
          <w:lang w:val="en-GB"/>
        </w:rPr>
        <w:t>ther</w:t>
      </w:r>
      <w:r w:rsidRPr="00100BF5">
        <w:rPr>
          <w:lang w:val="en-GB"/>
        </w:rPr>
        <w:t xml:space="preserve"> </w:t>
      </w:r>
    </w:p>
    <w:p w:rsidR="00A12DCA" w:rsidRPr="00100BF5" w:rsidRDefault="00A12DCA"/>
    <w:tbl>
      <w:tblPr>
        <w:tblW w:w="0" w:type="auto"/>
        <w:tblLayout w:type="fixed"/>
        <w:tblLook w:val="0000" w:firstRow="0" w:lastRow="0" w:firstColumn="0" w:lastColumn="0" w:noHBand="0" w:noVBand="0"/>
      </w:tblPr>
      <w:tblGrid>
        <w:gridCol w:w="1155"/>
        <w:gridCol w:w="1065"/>
        <w:gridCol w:w="1065"/>
        <w:gridCol w:w="1065"/>
        <w:gridCol w:w="1065"/>
        <w:gridCol w:w="1065"/>
        <w:gridCol w:w="1125"/>
        <w:gridCol w:w="1125"/>
        <w:gridCol w:w="1065"/>
      </w:tblGrid>
      <w:tr w:rsidR="00A12DCA" w:rsidRPr="00100BF5">
        <w:tblPrEx>
          <w:tblCellMar>
            <w:top w:w="0" w:type="dxa"/>
            <w:bottom w:w="0" w:type="dxa"/>
          </w:tblCellMar>
        </w:tblPrEx>
        <w:trPr>
          <w:trHeight w:val="1035"/>
        </w:trPr>
        <w:tc>
          <w:tcPr>
            <w:tcW w:w="1155"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b/>
                <w:sz w:val="16"/>
              </w:rPr>
              <w:t>As at 30.06.12</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Sovereign</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Financial institutions</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Corporate</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Residential mortgages</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Other retail lending</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 net on-balance sheet exposure</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Off-balance sheet contingent liabilities and commitments</w:t>
            </w:r>
          </w:p>
        </w:tc>
        <w:tc>
          <w:tcPr>
            <w:tcW w:w="106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 exposure</w:t>
            </w:r>
          </w:p>
        </w:tc>
      </w:tr>
      <w:tr w:rsidR="00A12DCA" w:rsidRPr="00100BF5">
        <w:tblPrEx>
          <w:tblCellMar>
            <w:top w:w="0" w:type="dxa"/>
            <w:bottom w:w="0" w:type="dxa"/>
          </w:tblCellMar>
        </w:tblPrEx>
        <w:trPr>
          <w:trHeight w:val="240"/>
        </w:trPr>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2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2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tblPrEx>
          <w:tblCellMar>
            <w:top w:w="0" w:type="dxa"/>
            <w:bottom w:w="0" w:type="dxa"/>
          </w:tblCellMar>
        </w:tblPrEx>
        <w:trPr>
          <w:trHeight w:val="240"/>
        </w:trPr>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France</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7A2656">
            <w:pPr>
              <w:jc w:val="right"/>
              <w:rPr>
                <w:sz w:val="16"/>
              </w:rPr>
            </w:pPr>
            <w:r w:rsidRPr="00100BF5">
              <w:rPr>
                <w:sz w:val="16"/>
              </w:rPr>
              <w:t xml:space="preserve"> 3,867</w:t>
            </w:r>
            <w:r w:rsidR="00A12DCA" w:rsidRPr="00100BF5">
              <w:rPr>
                <w:sz w:val="16"/>
              </w:rPr>
              <w:t>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4,3</w:t>
            </w:r>
            <w:r w:rsidR="007A2656" w:rsidRPr="00100BF5">
              <w:rPr>
                <w:sz w:val="16"/>
              </w:rPr>
              <w:t>50</w:t>
            </w:r>
            <w:r w:rsidRPr="00100BF5">
              <w:rPr>
                <w:sz w:val="16"/>
              </w:rPr>
              <w:t>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3,432 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2,612 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267 </w:t>
            </w:r>
          </w:p>
        </w:tc>
        <w:tc>
          <w:tcPr>
            <w:tcW w:w="1125"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14,</w:t>
            </w:r>
            <w:r w:rsidR="007A2656" w:rsidRPr="00100BF5">
              <w:rPr>
                <w:sz w:val="16"/>
              </w:rPr>
              <w:t>528</w:t>
            </w:r>
            <w:r w:rsidRPr="00100BF5">
              <w:rPr>
                <w:sz w:val="16"/>
              </w:rPr>
              <w:t> </w:t>
            </w:r>
          </w:p>
        </w:tc>
        <w:tc>
          <w:tcPr>
            <w:tcW w:w="112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6,949 </w:t>
            </w:r>
          </w:p>
        </w:tc>
        <w:tc>
          <w:tcPr>
            <w:tcW w:w="1065"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21,</w:t>
            </w:r>
            <w:r w:rsidR="007A2656" w:rsidRPr="00100BF5">
              <w:rPr>
                <w:sz w:val="16"/>
              </w:rPr>
              <w:t>477</w:t>
            </w:r>
            <w:r w:rsidRPr="00100BF5">
              <w:rPr>
                <w:sz w:val="16"/>
              </w:rPr>
              <w:t>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Germany</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7A2656">
            <w:pPr>
              <w:jc w:val="right"/>
              <w:rPr>
                <w:sz w:val="16"/>
              </w:rPr>
            </w:pPr>
            <w:r w:rsidRPr="00100BF5">
              <w:rPr>
                <w:sz w:val="16"/>
              </w:rPr>
              <w:t xml:space="preserve"> 1,170</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5,3</w:t>
            </w:r>
            <w:r w:rsidR="007A2656" w:rsidRPr="00100BF5">
              <w:rPr>
                <w:sz w:val="16"/>
              </w:rPr>
              <w:t>77</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2,985 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26 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1,605 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11,1</w:t>
            </w:r>
            <w:r w:rsidR="007A2656" w:rsidRPr="00100BF5">
              <w:rPr>
                <w:sz w:val="16"/>
              </w:rPr>
              <w:t>63</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6,457 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17,6</w:t>
            </w:r>
            <w:r w:rsidR="007A2656" w:rsidRPr="00100BF5">
              <w:rPr>
                <w:sz w:val="16"/>
              </w:rPr>
              <w:t>2</w:t>
            </w:r>
            <w:r w:rsidRPr="00100BF5">
              <w:rPr>
                <w:sz w:val="16"/>
              </w:rPr>
              <w:t>0 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Netherlands</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2,</w:t>
            </w:r>
            <w:r w:rsidR="007A2656" w:rsidRPr="00100BF5">
              <w:rPr>
                <w:sz w:val="16"/>
              </w:rPr>
              <w:t>513</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4,6</w:t>
            </w:r>
            <w:r w:rsidR="007A2656" w:rsidRPr="00100BF5">
              <w:rPr>
                <w:sz w:val="16"/>
              </w:rPr>
              <w:t>46</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1,857 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16 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23 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7A2656" w:rsidP="007A2656">
            <w:pPr>
              <w:jc w:val="right"/>
              <w:rPr>
                <w:sz w:val="16"/>
              </w:rPr>
            </w:pPr>
            <w:r w:rsidRPr="00100BF5">
              <w:rPr>
                <w:sz w:val="16"/>
              </w:rPr>
              <w:t xml:space="preserve"> 9,055</w:t>
            </w:r>
            <w:r w:rsidR="00A12DCA"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1,918 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10,9</w:t>
            </w:r>
            <w:r w:rsidR="007A2656" w:rsidRPr="00100BF5">
              <w:rPr>
                <w:sz w:val="16"/>
              </w:rPr>
              <w:t>73</w:t>
            </w:r>
            <w:r w:rsidRPr="00100BF5">
              <w:rPr>
                <w:sz w:val="16"/>
              </w:rPr>
              <w:t>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Luxembourg</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3,</w:t>
            </w:r>
            <w:r w:rsidR="007A2656" w:rsidRPr="00100BF5">
              <w:rPr>
                <w:sz w:val="16"/>
              </w:rPr>
              <w:t>10</w:t>
            </w:r>
            <w:r w:rsidRPr="00100BF5">
              <w:rPr>
                <w:sz w:val="16"/>
              </w:rPr>
              <w:t>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551 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91 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3,8</w:t>
            </w:r>
            <w:r w:rsidR="007A2656" w:rsidRPr="00100BF5">
              <w:rPr>
                <w:sz w:val="16"/>
              </w:rPr>
              <w:t>7</w:t>
            </w:r>
            <w:r w:rsidRPr="00100BF5">
              <w:rPr>
                <w:sz w:val="16"/>
              </w:rPr>
              <w:t>0 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760 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4,</w:t>
            </w:r>
            <w:r w:rsidR="007A2656" w:rsidRPr="00100BF5">
              <w:rPr>
                <w:sz w:val="16"/>
              </w:rPr>
              <w:t>63</w:t>
            </w:r>
            <w:r w:rsidRPr="00100BF5">
              <w:rPr>
                <w:sz w:val="16"/>
              </w:rPr>
              <w:t>0 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Belgium</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2,6</w:t>
            </w:r>
            <w:r w:rsidR="007A2656" w:rsidRPr="00100BF5">
              <w:rPr>
                <w:sz w:val="16"/>
              </w:rPr>
              <w:t>7</w:t>
            </w:r>
            <w:r w:rsidRPr="00100BF5">
              <w:rPr>
                <w:sz w:val="16"/>
              </w:rPr>
              <w:t>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88 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303 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3,0</w:t>
            </w:r>
            <w:r w:rsidR="007A2656" w:rsidRPr="00100BF5">
              <w:rPr>
                <w:sz w:val="16"/>
              </w:rPr>
              <w:t>75</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1,660 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4,</w:t>
            </w:r>
            <w:r w:rsidR="007A2656" w:rsidRPr="00100BF5">
              <w:rPr>
                <w:sz w:val="16"/>
              </w:rPr>
              <w:t>735</w:t>
            </w:r>
            <w:r w:rsidRPr="00100BF5">
              <w:rPr>
                <w:sz w:val="16"/>
              </w:rPr>
              <w:t>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Austria</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6</w:t>
            </w:r>
            <w:r w:rsidR="007A2656" w:rsidRPr="00100BF5">
              <w:rPr>
                <w:sz w:val="16"/>
              </w:rPr>
              <w:t>75</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300 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178 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1,1</w:t>
            </w:r>
            <w:r w:rsidR="007A2656" w:rsidRPr="00100BF5">
              <w:rPr>
                <w:sz w:val="16"/>
              </w:rPr>
              <w:t>59</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182 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1,3</w:t>
            </w:r>
            <w:r w:rsidR="007A2656" w:rsidRPr="00100BF5">
              <w:rPr>
                <w:sz w:val="16"/>
              </w:rPr>
              <w:t>41</w:t>
            </w:r>
            <w:r w:rsidRPr="00100BF5">
              <w:rPr>
                <w:sz w:val="16"/>
              </w:rPr>
              <w:t> </w:t>
            </w:r>
          </w:p>
        </w:tc>
      </w:tr>
      <w:tr w:rsidR="00A12DCA" w:rsidRPr="00100BF5">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Other</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772 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136 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91 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42 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1,071 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479 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1,550 </w:t>
            </w:r>
          </w:p>
        </w:tc>
      </w:tr>
      <w:tr w:rsidR="00A12DCA" w:rsidRPr="00100BF5">
        <w:tblPrEx>
          <w:tblCellMar>
            <w:top w:w="0" w:type="dxa"/>
            <w:bottom w:w="0" w:type="dxa"/>
          </w:tblCellMar>
        </w:tblPrEx>
        <w:trPr>
          <w:trHeight w:hRule="exac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AF0B6D">
        <w:tblPrEx>
          <w:tblCellMar>
            <w:top w:w="0" w:type="dxa"/>
            <w:bottom w:w="0" w:type="dxa"/>
          </w:tblCellMar>
        </w:tblPrEx>
        <w:trPr>
          <w:trHeight w:val="240"/>
        </w:trPr>
        <w:tc>
          <w:tcPr>
            <w:tcW w:w="115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rsidP="00AF0B6D">
            <w:pPr>
              <w:rPr>
                <w:b/>
                <w:sz w:val="16"/>
              </w:rPr>
            </w:pPr>
            <w:r w:rsidRPr="00100BF5">
              <w:rPr>
                <w:b/>
                <w:sz w:val="16"/>
              </w:rPr>
              <w:t>As at 31.12.11</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AF0B6D">
        <w:tblPrEx>
          <w:tblCellMar>
            <w:top w:w="0" w:type="dxa"/>
            <w:bottom w:w="0" w:type="dxa"/>
          </w:tblCellMar>
        </w:tblPrEx>
        <w:trPr>
          <w:trHeight w:val="240"/>
        </w:trPr>
        <w:tc>
          <w:tcPr>
            <w:tcW w:w="115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rsidP="00AF0B6D">
            <w:pPr>
              <w:rPr>
                <w:sz w:val="16"/>
              </w:rPr>
            </w:pPr>
            <w:r w:rsidRPr="00100BF5">
              <w:rPr>
                <w:sz w:val="16"/>
              </w:rPr>
              <w:t>France</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4,189 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4,969 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4,232 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2,796 </w:t>
            </w:r>
          </w:p>
        </w:tc>
        <w:tc>
          <w:tcPr>
            <w:tcW w:w="106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260 </w:t>
            </w:r>
          </w:p>
        </w:tc>
        <w:tc>
          <w:tcPr>
            <w:tcW w:w="1125"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16,446 </w:t>
            </w:r>
          </w:p>
        </w:tc>
        <w:tc>
          <w:tcPr>
            <w:tcW w:w="1125" w:type="dxa"/>
            <w:tcBorders>
              <w:top w:val="single" w:sz="6" w:space="0" w:color="A5A5A5"/>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8,121 </w:t>
            </w:r>
          </w:p>
        </w:tc>
        <w:tc>
          <w:tcPr>
            <w:tcW w:w="1065" w:type="dxa"/>
            <w:tcBorders>
              <w:top w:val="single" w:sz="6" w:space="0" w:color="A5A5A5"/>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24,567 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rPr>
                <w:b/>
                <w:sz w:val="16"/>
              </w:rPr>
            </w:pPr>
            <w:r w:rsidRPr="00100BF5">
              <w:rPr>
                <w:sz w:val="16"/>
              </w:rPr>
              <w:t>Germany</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3,444 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2,570 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2,963 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1,551 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10,542 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6,623 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17,165 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rPr>
                <w:b/>
                <w:sz w:val="16"/>
              </w:rPr>
            </w:pPr>
            <w:r w:rsidRPr="00100BF5">
              <w:rPr>
                <w:sz w:val="16"/>
              </w:rPr>
              <w:t>Netherlands</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244 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7C49A8">
            <w:pPr>
              <w:jc w:val="right"/>
              <w:rPr>
                <w:sz w:val="16"/>
              </w:rPr>
            </w:pPr>
            <w:r w:rsidRPr="00100BF5">
              <w:rPr>
                <w:sz w:val="16"/>
              </w:rPr>
              <w:t xml:space="preserve"> 4,596</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7C49A8" w:rsidP="007C49A8">
            <w:pPr>
              <w:jc w:val="right"/>
              <w:rPr>
                <w:sz w:val="16"/>
              </w:rPr>
            </w:pPr>
            <w:r w:rsidRPr="00100BF5">
              <w:rPr>
                <w:sz w:val="16"/>
              </w:rPr>
              <w:t xml:space="preserve"> 1</w:t>
            </w:r>
            <w:r w:rsidR="00A12DCA" w:rsidRPr="00100BF5">
              <w:rPr>
                <w:sz w:val="16"/>
              </w:rPr>
              <w:t>,</w:t>
            </w:r>
            <w:r w:rsidRPr="00100BF5">
              <w:rPr>
                <w:sz w:val="16"/>
              </w:rPr>
              <w:t>807</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6,665 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1,899 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8,564 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rPr>
                <w:b/>
                <w:sz w:val="16"/>
              </w:rPr>
            </w:pPr>
            <w:r w:rsidRPr="00100BF5">
              <w:rPr>
                <w:sz w:val="16"/>
              </w:rPr>
              <w:t>Luxembourg</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2,557 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rsidP="000C354E">
            <w:pPr>
              <w:jc w:val="right"/>
              <w:rPr>
                <w:sz w:val="16"/>
              </w:rPr>
            </w:pPr>
            <w:r w:rsidRPr="00100BF5">
              <w:rPr>
                <w:sz w:val="16"/>
              </w:rPr>
              <w:t xml:space="preserve"> </w:t>
            </w:r>
            <w:r w:rsidR="000C354E" w:rsidRPr="00100BF5">
              <w:rPr>
                <w:sz w:val="16"/>
              </w:rPr>
              <w:t>809</w:t>
            </w:r>
            <w:r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103 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85 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0C354E">
            <w:pPr>
              <w:jc w:val="right"/>
              <w:rPr>
                <w:sz w:val="16"/>
              </w:rPr>
            </w:pPr>
            <w:r w:rsidRPr="00100BF5">
              <w:rPr>
                <w:sz w:val="16"/>
              </w:rPr>
              <w:t xml:space="preserve"> 3,</w:t>
            </w:r>
            <w:r w:rsidR="000C354E" w:rsidRPr="00100BF5">
              <w:rPr>
                <w:sz w:val="16"/>
              </w:rPr>
              <w:t>554</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765 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0C354E">
            <w:pPr>
              <w:jc w:val="right"/>
              <w:rPr>
                <w:sz w:val="16"/>
              </w:rPr>
            </w:pPr>
            <w:r w:rsidRPr="00100BF5">
              <w:rPr>
                <w:sz w:val="16"/>
              </w:rPr>
              <w:t xml:space="preserve"> 4,</w:t>
            </w:r>
            <w:r w:rsidR="000C354E" w:rsidRPr="00100BF5">
              <w:rPr>
                <w:sz w:val="16"/>
              </w:rPr>
              <w:t>319</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rPr>
                <w:b/>
                <w:sz w:val="16"/>
              </w:rPr>
            </w:pPr>
            <w:r w:rsidRPr="00100BF5">
              <w:rPr>
                <w:sz w:val="16"/>
              </w:rPr>
              <w:t>Belgium</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2,033 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42 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282 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2,367 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881 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3,248 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rPr>
                <w:b/>
                <w:sz w:val="16"/>
              </w:rPr>
            </w:pPr>
            <w:r w:rsidRPr="00100BF5">
              <w:rPr>
                <w:sz w:val="16"/>
              </w:rPr>
              <w:t>Austria</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134 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360 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0C354E">
            <w:pPr>
              <w:jc w:val="right"/>
              <w:rPr>
                <w:sz w:val="16"/>
              </w:rPr>
            </w:pPr>
            <w:r w:rsidRPr="00100BF5">
              <w:rPr>
                <w:sz w:val="16"/>
              </w:rPr>
              <w:t>237</w:t>
            </w:r>
            <w:r w:rsidR="00A12DCA" w:rsidRPr="00100BF5">
              <w:rPr>
                <w:sz w:val="16"/>
              </w:rPr>
              <w:t>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0C354E">
            <w:pPr>
              <w:jc w:val="right"/>
              <w:rPr>
                <w:sz w:val="16"/>
              </w:rPr>
            </w:pPr>
            <w:r w:rsidRPr="00100BF5">
              <w:rPr>
                <w:sz w:val="16"/>
              </w:rPr>
              <w:t>738</w:t>
            </w:r>
            <w:r w:rsidR="00A12DCA"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119 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rsidP="000C354E">
            <w:pPr>
              <w:jc w:val="right"/>
              <w:rPr>
                <w:sz w:val="16"/>
              </w:rPr>
            </w:pPr>
            <w:r w:rsidRPr="00100BF5">
              <w:rPr>
                <w:sz w:val="16"/>
              </w:rPr>
              <w:t xml:space="preserve"> </w:t>
            </w:r>
            <w:r w:rsidR="000C354E" w:rsidRPr="00100BF5">
              <w:rPr>
                <w:sz w:val="16"/>
              </w:rPr>
              <w:t>857</w:t>
            </w:r>
            <w:r w:rsidRPr="00100BF5">
              <w:rPr>
                <w:sz w:val="16"/>
              </w:rPr>
              <w:t> </w:t>
            </w:r>
          </w:p>
        </w:tc>
      </w:tr>
      <w:tr w:rsidR="00A12DCA" w:rsidRPr="00100BF5" w:rsidTr="00AF0B6D">
        <w:tblPrEx>
          <w:tblCellMar>
            <w:top w:w="0" w:type="dxa"/>
            <w:bottom w:w="0" w:type="dxa"/>
          </w:tblCellMar>
        </w:tblPrEx>
        <w:trPr>
          <w:trHeight w:val="240"/>
        </w:trPr>
        <w:tc>
          <w:tcPr>
            <w:tcW w:w="115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rPr>
                <w:b/>
                <w:sz w:val="16"/>
              </w:rPr>
            </w:pPr>
            <w:r w:rsidRPr="00100BF5">
              <w:rPr>
                <w:sz w:val="16"/>
              </w:rPr>
              <w:t>Other</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500 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50 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78 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35 </w:t>
            </w:r>
          </w:p>
        </w:tc>
        <w:tc>
          <w:tcPr>
            <w:tcW w:w="106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43 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706 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sz w:val="16"/>
              </w:rPr>
              <w:t xml:space="preserve"> 496 </w:t>
            </w:r>
          </w:p>
        </w:tc>
        <w:tc>
          <w:tcPr>
            <w:tcW w:w="106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1,202 </w:t>
            </w:r>
          </w:p>
        </w:tc>
      </w:tr>
    </w:tbl>
    <w:p w:rsidR="00632095" w:rsidRPr="00100BF5" w:rsidRDefault="00632095">
      <w:pPr>
        <w:spacing w:line="14" w:lineRule="exact"/>
      </w:pPr>
    </w:p>
    <w:p w:rsidR="00632095" w:rsidRPr="00100BF5" w:rsidRDefault="00632095">
      <w:pPr>
        <w:spacing w:line="14" w:lineRule="exact"/>
      </w:pPr>
    </w:p>
    <w:p w:rsidR="00632095" w:rsidRPr="00100BF5" w:rsidRDefault="00632095">
      <w:pPr>
        <w:spacing w:line="14" w:lineRule="exact"/>
      </w:pPr>
    </w:p>
    <w:p w:rsidR="00632095" w:rsidRPr="00100BF5" w:rsidRDefault="00632095" w:rsidP="00632095">
      <w:pPr>
        <w:pStyle w:val="BodyText-BarcRA66"/>
        <w:rPr>
          <w:b/>
          <w:sz w:val="20"/>
        </w:rPr>
      </w:pPr>
    </w:p>
    <w:p w:rsidR="005F437E" w:rsidRDefault="005833AC" w:rsidP="005F437E">
      <w:pPr>
        <w:pStyle w:val="HeadingLevel1-BarcRA"/>
      </w:pPr>
      <w:r w:rsidRPr="00100BF5">
        <w:br w:type="page"/>
      </w:r>
      <w:r w:rsidR="005F437E">
        <w:t>Credit Risk</w:t>
      </w:r>
    </w:p>
    <w:p w:rsidR="00632095" w:rsidRPr="00100BF5" w:rsidRDefault="00632095" w:rsidP="000C3F6A">
      <w:pPr>
        <w:pStyle w:val="BodyText-BarcRA66"/>
        <w:spacing w:before="0"/>
        <w:rPr>
          <w:b/>
          <w:sz w:val="20"/>
        </w:rPr>
      </w:pPr>
      <w:r w:rsidRPr="00100BF5">
        <w:rPr>
          <w:b/>
          <w:sz w:val="20"/>
        </w:rPr>
        <w:t>Credit Derivatives Referencing Eurozone Sovereign Debt</w:t>
      </w:r>
    </w:p>
    <w:p w:rsidR="00632095" w:rsidRPr="00100BF5" w:rsidRDefault="00632095" w:rsidP="00F43884">
      <w:pPr>
        <w:pStyle w:val="Level1Bullet-BarcRA03"/>
        <w:rPr>
          <w:lang w:val="en-GB"/>
        </w:rPr>
      </w:pPr>
      <w:r w:rsidRPr="00100BF5">
        <w:rPr>
          <w:lang w:val="en-GB"/>
        </w:rPr>
        <w:t>The Group enters into credit mitigation arrangements (principally credit default swaps and total return swaps) primarily for risk management purposes for which the reference asset is government debt. These have the net effect of reducing the Group’s exposure in the event of sovereign default</w:t>
      </w:r>
    </w:p>
    <w:p w:rsidR="00632095" w:rsidRPr="00100BF5" w:rsidRDefault="00632095" w:rsidP="00632095"/>
    <w:tbl>
      <w:tblPr>
        <w:tblW w:w="0" w:type="auto"/>
        <w:tblLayout w:type="fixed"/>
        <w:tblLook w:val="0000" w:firstRow="0" w:lastRow="0" w:firstColumn="0" w:lastColumn="0" w:noHBand="0" w:noVBand="0"/>
      </w:tblPr>
      <w:tblGrid>
        <w:gridCol w:w="4140"/>
        <w:gridCol w:w="930"/>
        <w:gridCol w:w="915"/>
        <w:gridCol w:w="915"/>
        <w:gridCol w:w="915"/>
        <w:gridCol w:w="915"/>
        <w:gridCol w:w="915"/>
      </w:tblGrid>
      <w:tr w:rsidR="00632095" w:rsidRPr="00100BF5" w:rsidTr="00632095">
        <w:tblPrEx>
          <w:tblCellMar>
            <w:top w:w="0" w:type="dxa"/>
            <w:bottom w:w="0" w:type="dxa"/>
          </w:tblCellMar>
        </w:tblPrEx>
        <w:trPr>
          <w:trHeight w:val="240"/>
        </w:trPr>
        <w:tc>
          <w:tcPr>
            <w:tcW w:w="414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r w:rsidRPr="00100BF5">
              <w:rPr>
                <w:b/>
                <w:sz w:val="16"/>
              </w:rPr>
              <w:t>As at 30.06.12</w:t>
            </w:r>
          </w:p>
        </w:tc>
        <w:tc>
          <w:tcPr>
            <w:tcW w:w="93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Spain</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Italy</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Portugal</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Ireland</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Cyprus</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Greece</w:t>
            </w:r>
          </w:p>
        </w:tc>
      </w:tr>
      <w:tr w:rsidR="00632095" w:rsidRPr="00100BF5" w:rsidTr="00632095">
        <w:tblPrEx>
          <w:tblCellMar>
            <w:top w:w="0" w:type="dxa"/>
            <w:bottom w:w="0" w:type="dxa"/>
          </w:tblCellMar>
        </w:tblPrEx>
        <w:trPr>
          <w:trHeight w:val="240"/>
        </w:trPr>
        <w:tc>
          <w:tcPr>
            <w:tcW w:w="4140"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rPr>
                <w:b/>
                <w:sz w:val="16"/>
              </w:rPr>
            </w:pPr>
            <w:r w:rsidRPr="00100BF5">
              <w:rPr>
                <w:sz w:val="16"/>
              </w:rPr>
              <w:t xml:space="preserve"> </w:t>
            </w:r>
          </w:p>
        </w:tc>
        <w:tc>
          <w:tcPr>
            <w:tcW w:w="930" w:type="dxa"/>
            <w:tcBorders>
              <w:top w:val="nil"/>
              <w:left w:val="nil"/>
              <w:bottom w:val="single" w:sz="6" w:space="0" w:color="A5A5A5"/>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£m</w:t>
            </w:r>
          </w:p>
        </w:tc>
      </w:tr>
      <w:tr w:rsidR="00632095" w:rsidRPr="00100BF5" w:rsidTr="00632095">
        <w:tblPrEx>
          <w:tblCellMar>
            <w:top w:w="0" w:type="dxa"/>
            <w:bottom w:w="0" w:type="dxa"/>
          </w:tblCellMar>
        </w:tblPrEx>
        <w:trPr>
          <w:trHeight w:val="240"/>
        </w:trPr>
        <w:tc>
          <w:tcPr>
            <w:tcW w:w="4140"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rPr>
                <w:sz w:val="16"/>
              </w:rPr>
            </w:pPr>
            <w:r w:rsidRPr="00100BF5">
              <w:rPr>
                <w:b/>
                <w:sz w:val="16"/>
              </w:rPr>
              <w:t>Fair value</w:t>
            </w:r>
          </w:p>
        </w:tc>
        <w:tc>
          <w:tcPr>
            <w:tcW w:w="930" w:type="dxa"/>
            <w:tcBorders>
              <w:top w:val="single" w:sz="6" w:space="0" w:color="A5A5A5"/>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r>
      <w:tr w:rsidR="00632095" w:rsidRPr="00100BF5" w:rsidTr="00632095">
        <w:tblPrEx>
          <w:tblCellMar>
            <w:top w:w="0" w:type="dxa"/>
            <w:bottom w:w="0" w:type="dxa"/>
          </w:tblCellMar>
        </w:tblPrEx>
        <w:trPr>
          <w:trHeight w:val="240"/>
        </w:trPr>
        <w:tc>
          <w:tcPr>
            <w:tcW w:w="414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rPr>
                <w:sz w:val="16"/>
              </w:rPr>
            </w:pPr>
            <w:r w:rsidRPr="00100BF5">
              <w:rPr>
                <w:sz w:val="16"/>
              </w:rPr>
              <w:t>- Bought</w:t>
            </w:r>
          </w:p>
        </w:tc>
        <w:tc>
          <w:tcPr>
            <w:tcW w:w="93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400 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541 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225 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166 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w:t>
            </w:r>
          </w:p>
        </w:tc>
      </w:tr>
      <w:tr w:rsidR="00632095" w:rsidRPr="00100BF5" w:rsidTr="00632095">
        <w:tblPrEx>
          <w:tblCellMar>
            <w:top w:w="0" w:type="dxa"/>
            <w:bottom w:w="0" w:type="dxa"/>
          </w:tblCellMar>
        </w:tblPrEx>
        <w:trPr>
          <w:trHeight w:val="240"/>
        </w:trPr>
        <w:tc>
          <w:tcPr>
            <w:tcW w:w="4140"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rPr>
                <w:sz w:val="16"/>
              </w:rPr>
            </w:pPr>
            <w:r w:rsidRPr="00100BF5">
              <w:rPr>
                <w:sz w:val="16"/>
              </w:rPr>
              <w:t>- Sold</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(389)</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(443)</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(218)</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(173)</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w:t>
            </w:r>
          </w:p>
        </w:tc>
      </w:tr>
      <w:tr w:rsidR="00632095" w:rsidRPr="00100BF5" w:rsidTr="00632095">
        <w:tblPrEx>
          <w:tblCellMar>
            <w:top w:w="0" w:type="dxa"/>
            <w:bottom w:w="0" w:type="dxa"/>
          </w:tblCellMar>
        </w:tblPrEx>
        <w:trPr>
          <w:trHeight w:val="240"/>
        </w:trPr>
        <w:tc>
          <w:tcPr>
            <w:tcW w:w="4140"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rPr>
                <w:sz w:val="16"/>
              </w:rPr>
            </w:pPr>
            <w:r w:rsidRPr="00100BF5">
              <w:rPr>
                <w:b/>
                <w:sz w:val="16"/>
              </w:rPr>
              <w:t>Net derivative fair value</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11 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98 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7 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(7)</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w:t>
            </w:r>
          </w:p>
        </w:tc>
      </w:tr>
      <w:tr w:rsidR="00632095" w:rsidRPr="00100BF5" w:rsidTr="00632095">
        <w:tblPrEx>
          <w:tblCellMar>
            <w:top w:w="0" w:type="dxa"/>
            <w:bottom w:w="0" w:type="dxa"/>
          </w:tblCellMar>
        </w:tblPrEx>
        <w:trPr>
          <w:trHeight w:hRule="exact" w:val="240"/>
        </w:trPr>
        <w:tc>
          <w:tcPr>
            <w:tcW w:w="414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rPr>
                <w:b/>
                <w:sz w:val="16"/>
              </w:rPr>
            </w:pPr>
            <w:r w:rsidRPr="00100BF5">
              <w:rPr>
                <w:b/>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r>
      <w:tr w:rsidR="00632095" w:rsidRPr="00100BF5" w:rsidTr="00632095">
        <w:tblPrEx>
          <w:tblCellMar>
            <w:top w:w="0" w:type="dxa"/>
            <w:bottom w:w="0" w:type="dxa"/>
          </w:tblCellMar>
        </w:tblPrEx>
        <w:trPr>
          <w:trHeight w:val="240"/>
        </w:trPr>
        <w:tc>
          <w:tcPr>
            <w:tcW w:w="414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rPr>
                <w:sz w:val="16"/>
              </w:rPr>
            </w:pPr>
            <w:r w:rsidRPr="00100BF5">
              <w:rPr>
                <w:b/>
                <w:sz w:val="16"/>
              </w:rPr>
              <w:t>Contract notional amount</w:t>
            </w:r>
          </w:p>
        </w:tc>
        <w:tc>
          <w:tcPr>
            <w:tcW w:w="93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xml:space="preserve"> </w:t>
            </w:r>
          </w:p>
        </w:tc>
      </w:tr>
      <w:tr w:rsidR="00632095" w:rsidRPr="00100BF5" w:rsidTr="00632095">
        <w:tblPrEx>
          <w:tblCellMar>
            <w:top w:w="0" w:type="dxa"/>
            <w:bottom w:w="0" w:type="dxa"/>
          </w:tblCellMar>
        </w:tblPrEx>
        <w:trPr>
          <w:trHeight w:val="240"/>
        </w:trPr>
        <w:tc>
          <w:tcPr>
            <w:tcW w:w="414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rPr>
                <w:sz w:val="16"/>
              </w:rPr>
            </w:pPr>
            <w:r w:rsidRPr="00100BF5">
              <w:rPr>
                <w:sz w:val="16"/>
              </w:rPr>
              <w:t>- Bought</w:t>
            </w:r>
          </w:p>
        </w:tc>
        <w:tc>
          <w:tcPr>
            <w:tcW w:w="930"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(2,773)</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(4,040)</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(1,126)</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(1,177)</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(4)</w:t>
            </w:r>
          </w:p>
        </w:tc>
        <w:tc>
          <w:tcPr>
            <w:tcW w:w="915" w:type="dxa"/>
            <w:tcBorders>
              <w:top w:val="nil"/>
              <w:left w:val="nil"/>
              <w:bottom w:val="nil"/>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w:t>
            </w:r>
          </w:p>
        </w:tc>
      </w:tr>
      <w:tr w:rsidR="00632095" w:rsidRPr="00100BF5" w:rsidTr="00632095">
        <w:tblPrEx>
          <w:tblCellMar>
            <w:top w:w="0" w:type="dxa"/>
            <w:bottom w:w="0" w:type="dxa"/>
          </w:tblCellMar>
        </w:tblPrEx>
        <w:trPr>
          <w:trHeight w:val="240"/>
        </w:trPr>
        <w:tc>
          <w:tcPr>
            <w:tcW w:w="4140"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rPr>
                <w:sz w:val="16"/>
              </w:rPr>
            </w:pPr>
            <w:r w:rsidRPr="00100BF5">
              <w:rPr>
                <w:sz w:val="16"/>
              </w:rPr>
              <w:t>- Sold</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2,545 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3,621 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1,048 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1,077 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4 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sz w:val="16"/>
              </w:rPr>
            </w:pPr>
            <w:r w:rsidRPr="00100BF5">
              <w:rPr>
                <w:sz w:val="16"/>
              </w:rPr>
              <w:t>- </w:t>
            </w:r>
          </w:p>
        </w:tc>
      </w:tr>
      <w:tr w:rsidR="00632095" w:rsidRPr="00100BF5" w:rsidTr="00632095">
        <w:tblPrEx>
          <w:tblCellMar>
            <w:top w:w="0" w:type="dxa"/>
            <w:bottom w:w="0" w:type="dxa"/>
          </w:tblCellMar>
        </w:tblPrEx>
        <w:trPr>
          <w:trHeight w:val="240"/>
        </w:trPr>
        <w:tc>
          <w:tcPr>
            <w:tcW w:w="4140"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rPr>
                <w:sz w:val="16"/>
              </w:rPr>
            </w:pPr>
            <w:r w:rsidRPr="00100BF5">
              <w:rPr>
                <w:b/>
                <w:sz w:val="16"/>
              </w:rPr>
              <w:t>Net derivative notional amount</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(228)</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(419)</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(78)</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(100)</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w:t>
            </w:r>
          </w:p>
        </w:tc>
      </w:tr>
      <w:tr w:rsidR="00632095" w:rsidRPr="00100BF5" w:rsidTr="00632095">
        <w:tblPrEx>
          <w:tblCellMar>
            <w:top w:w="0" w:type="dxa"/>
            <w:bottom w:w="0" w:type="dxa"/>
          </w:tblCellMar>
        </w:tblPrEx>
        <w:trPr>
          <w:trHeight w:hRule="exact" w:val="240"/>
        </w:trPr>
        <w:tc>
          <w:tcPr>
            <w:tcW w:w="4140" w:type="dxa"/>
            <w:tcBorders>
              <w:top w:val="nil"/>
              <w:left w:val="nil"/>
              <w:bottom w:val="single" w:sz="6" w:space="0" w:color="969696"/>
              <w:right w:val="nil"/>
            </w:tcBorders>
            <w:shd w:val="clear" w:color="auto" w:fill="FFFFFF"/>
            <w:tcMar>
              <w:left w:w="36" w:type="dxa"/>
              <w:right w:w="36" w:type="dxa"/>
            </w:tcMar>
            <w:vAlign w:val="bottom"/>
          </w:tcPr>
          <w:p w:rsidR="00632095" w:rsidRPr="00100BF5" w:rsidRDefault="00632095" w:rsidP="00632095">
            <w:pPr>
              <w:jc w:val="both"/>
              <w:rPr>
                <w:b/>
                <w:sz w:val="16"/>
              </w:rPr>
            </w:pPr>
            <w:r w:rsidRPr="00100BF5">
              <w:rPr>
                <w:b/>
                <w:sz w:val="16"/>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632095" w:rsidRPr="00100BF5" w:rsidRDefault="00632095" w:rsidP="00632095">
            <w:pPr>
              <w:jc w:val="right"/>
              <w:rPr>
                <w:b/>
                <w:sz w:val="16"/>
              </w:rPr>
            </w:pPr>
            <w:r w:rsidRPr="00100BF5">
              <w:rPr>
                <w:b/>
                <w:sz w:val="16"/>
              </w:rPr>
              <w:t xml:space="preserve"> </w:t>
            </w:r>
          </w:p>
        </w:tc>
      </w:tr>
      <w:tr w:rsidR="00632095" w:rsidRPr="00100BF5" w:rsidTr="00632095">
        <w:tblPrEx>
          <w:tblCellMar>
            <w:top w:w="0" w:type="dxa"/>
            <w:bottom w:w="0" w:type="dxa"/>
          </w:tblCellMar>
        </w:tblPrEx>
        <w:trPr>
          <w:trHeight w:val="495"/>
        </w:trPr>
        <w:tc>
          <w:tcPr>
            <w:tcW w:w="4140" w:type="dxa"/>
            <w:tcBorders>
              <w:top w:val="single" w:sz="6" w:space="0" w:color="969696"/>
              <w:left w:val="nil"/>
              <w:bottom w:val="nil"/>
              <w:right w:val="nil"/>
            </w:tcBorders>
            <w:shd w:val="clear" w:color="auto" w:fill="FFFFFF"/>
            <w:tcMar>
              <w:left w:w="36" w:type="dxa"/>
              <w:right w:w="36" w:type="dxa"/>
            </w:tcMar>
            <w:vAlign w:val="center"/>
          </w:tcPr>
          <w:p w:rsidR="00632095" w:rsidRPr="00100BF5" w:rsidRDefault="00DD6AC8" w:rsidP="00DD6AC8">
            <w:pPr>
              <w:rPr>
                <w:b/>
                <w:sz w:val="16"/>
              </w:rPr>
            </w:pPr>
            <w:r>
              <w:rPr>
                <w:b/>
                <w:sz w:val="16"/>
              </w:rPr>
              <w:t>Net p</w:t>
            </w:r>
            <w:r w:rsidR="009C5A7D">
              <w:rPr>
                <w:b/>
                <w:sz w:val="16"/>
              </w:rPr>
              <w:t xml:space="preserve">rotection from </w:t>
            </w:r>
            <w:r w:rsidR="00632095" w:rsidRPr="00100BF5">
              <w:rPr>
                <w:b/>
                <w:sz w:val="16"/>
              </w:rPr>
              <w:t>credit derivatives in the event of sovereign default (notional less fair value)</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632095" w:rsidRPr="00100BF5" w:rsidRDefault="00632095" w:rsidP="00632095">
            <w:pPr>
              <w:jc w:val="right"/>
              <w:rPr>
                <w:b/>
                <w:sz w:val="16"/>
              </w:rPr>
            </w:pPr>
            <w:r w:rsidRPr="00100BF5">
              <w:rPr>
                <w:b/>
                <w:sz w:val="16"/>
              </w:rPr>
              <w:t>(217)</w:t>
            </w:r>
          </w:p>
        </w:tc>
        <w:tc>
          <w:tcPr>
            <w:tcW w:w="915" w:type="dxa"/>
            <w:tcBorders>
              <w:top w:val="single" w:sz="6" w:space="0" w:color="969696"/>
              <w:left w:val="nil"/>
              <w:bottom w:val="nil"/>
              <w:right w:val="nil"/>
            </w:tcBorders>
            <w:shd w:val="clear" w:color="auto" w:fill="EAEAEA"/>
            <w:tcMar>
              <w:left w:w="36" w:type="dxa"/>
              <w:right w:w="36" w:type="dxa"/>
            </w:tcMar>
            <w:vAlign w:val="center"/>
          </w:tcPr>
          <w:p w:rsidR="00632095" w:rsidRPr="00100BF5" w:rsidRDefault="00632095" w:rsidP="00632095">
            <w:pPr>
              <w:jc w:val="right"/>
              <w:rPr>
                <w:b/>
                <w:sz w:val="16"/>
              </w:rPr>
            </w:pPr>
            <w:r w:rsidRPr="00100BF5">
              <w:rPr>
                <w:b/>
                <w:sz w:val="16"/>
              </w:rPr>
              <w:t>(321)</w:t>
            </w:r>
          </w:p>
        </w:tc>
        <w:tc>
          <w:tcPr>
            <w:tcW w:w="915" w:type="dxa"/>
            <w:tcBorders>
              <w:top w:val="single" w:sz="6" w:space="0" w:color="969696"/>
              <w:left w:val="nil"/>
              <w:bottom w:val="nil"/>
              <w:right w:val="nil"/>
            </w:tcBorders>
            <w:shd w:val="clear" w:color="auto" w:fill="EAEAEA"/>
            <w:tcMar>
              <w:left w:w="36" w:type="dxa"/>
              <w:right w:w="36" w:type="dxa"/>
            </w:tcMar>
            <w:vAlign w:val="center"/>
          </w:tcPr>
          <w:p w:rsidR="00632095" w:rsidRPr="00100BF5" w:rsidRDefault="00632095" w:rsidP="00632095">
            <w:pPr>
              <w:jc w:val="right"/>
              <w:rPr>
                <w:b/>
                <w:sz w:val="16"/>
              </w:rPr>
            </w:pPr>
            <w:r w:rsidRPr="00100BF5">
              <w:rPr>
                <w:b/>
                <w:sz w:val="16"/>
              </w:rPr>
              <w:t>(71)</w:t>
            </w:r>
          </w:p>
        </w:tc>
        <w:tc>
          <w:tcPr>
            <w:tcW w:w="915" w:type="dxa"/>
            <w:tcBorders>
              <w:top w:val="single" w:sz="6" w:space="0" w:color="969696"/>
              <w:left w:val="nil"/>
              <w:bottom w:val="nil"/>
              <w:right w:val="nil"/>
            </w:tcBorders>
            <w:shd w:val="clear" w:color="auto" w:fill="EAEAEA"/>
            <w:tcMar>
              <w:left w:w="36" w:type="dxa"/>
              <w:right w:w="36" w:type="dxa"/>
            </w:tcMar>
            <w:vAlign w:val="center"/>
          </w:tcPr>
          <w:p w:rsidR="00632095" w:rsidRPr="00100BF5" w:rsidRDefault="00632095" w:rsidP="00632095">
            <w:pPr>
              <w:jc w:val="right"/>
              <w:rPr>
                <w:b/>
                <w:sz w:val="16"/>
              </w:rPr>
            </w:pPr>
            <w:r w:rsidRPr="00100BF5">
              <w:rPr>
                <w:b/>
                <w:sz w:val="16"/>
              </w:rPr>
              <w:t>(107)</w:t>
            </w:r>
          </w:p>
        </w:tc>
        <w:tc>
          <w:tcPr>
            <w:tcW w:w="915" w:type="dxa"/>
            <w:tcBorders>
              <w:top w:val="single" w:sz="6" w:space="0" w:color="969696"/>
              <w:left w:val="nil"/>
              <w:bottom w:val="nil"/>
              <w:right w:val="nil"/>
            </w:tcBorders>
            <w:shd w:val="clear" w:color="auto" w:fill="EAEAEA"/>
            <w:tcMar>
              <w:left w:w="36" w:type="dxa"/>
              <w:right w:w="36" w:type="dxa"/>
            </w:tcMar>
            <w:vAlign w:val="center"/>
          </w:tcPr>
          <w:p w:rsidR="00632095" w:rsidRPr="00100BF5" w:rsidRDefault="00632095" w:rsidP="00632095">
            <w:pPr>
              <w:jc w:val="right"/>
              <w:rPr>
                <w:b/>
                <w:sz w:val="16"/>
              </w:rPr>
            </w:pPr>
            <w:r w:rsidRPr="00100BF5">
              <w:rPr>
                <w:b/>
                <w:sz w:val="16"/>
              </w:rPr>
              <w:t>- </w:t>
            </w:r>
          </w:p>
        </w:tc>
        <w:tc>
          <w:tcPr>
            <w:tcW w:w="915" w:type="dxa"/>
            <w:tcBorders>
              <w:top w:val="single" w:sz="6" w:space="0" w:color="969696"/>
              <w:left w:val="nil"/>
              <w:bottom w:val="nil"/>
              <w:right w:val="nil"/>
            </w:tcBorders>
            <w:shd w:val="clear" w:color="auto" w:fill="EAEAEA"/>
            <w:tcMar>
              <w:left w:w="36" w:type="dxa"/>
              <w:right w:w="36" w:type="dxa"/>
            </w:tcMar>
            <w:vAlign w:val="center"/>
          </w:tcPr>
          <w:p w:rsidR="00632095" w:rsidRPr="00100BF5" w:rsidRDefault="00632095" w:rsidP="00632095">
            <w:pPr>
              <w:jc w:val="right"/>
              <w:rPr>
                <w:b/>
                <w:sz w:val="16"/>
              </w:rPr>
            </w:pPr>
            <w:r w:rsidRPr="00100BF5">
              <w:rPr>
                <w:b/>
                <w:sz w:val="16"/>
              </w:rPr>
              <w:t>- </w:t>
            </w:r>
          </w:p>
        </w:tc>
      </w:tr>
    </w:tbl>
    <w:p w:rsidR="00632095" w:rsidRPr="00100BF5" w:rsidRDefault="00632095" w:rsidP="00632095"/>
    <w:p w:rsidR="00632095" w:rsidRPr="00100BF5" w:rsidRDefault="00632095" w:rsidP="00F43884">
      <w:pPr>
        <w:pStyle w:val="Level1Bullet-BarcRA03"/>
        <w:rPr>
          <w:lang w:val="en-GB"/>
        </w:rPr>
      </w:pPr>
      <w:r w:rsidRPr="00100BF5">
        <w:rPr>
          <w:lang w:val="en-GB"/>
        </w:rPr>
        <w:t>Credit derivatives are arrangements whereby the default risk of an asset (reference asset) is transferred from the buyer to the seller of the protection</w:t>
      </w:r>
    </w:p>
    <w:p w:rsidR="00632095" w:rsidRPr="00100BF5" w:rsidRDefault="00632095" w:rsidP="00F43884">
      <w:pPr>
        <w:pStyle w:val="Level1Bullet-BarcRA03"/>
        <w:rPr>
          <w:lang w:val="en-GB"/>
        </w:rPr>
      </w:pPr>
      <w:r w:rsidRPr="00100BF5">
        <w:rPr>
          <w:lang w:val="en-GB"/>
        </w:rPr>
        <w:t>The majority of credit derivatives referencing sovereign assets are bought and sold to support customer transactions and for risk management purposes</w:t>
      </w:r>
    </w:p>
    <w:p w:rsidR="00632095" w:rsidRPr="00100BF5" w:rsidRDefault="00632095" w:rsidP="00F43884">
      <w:pPr>
        <w:pStyle w:val="Level1Bullet-BarcRA03"/>
        <w:rPr>
          <w:lang w:val="en-GB"/>
        </w:rPr>
      </w:pPr>
      <w:r w:rsidRPr="00100BF5">
        <w:rPr>
          <w:lang w:val="en-GB"/>
        </w:rPr>
        <w:t>The contract notional amount represents the value of the reference asset being insured, while the fair value represents the change in the value of the reference asset, adjusted for the credit worthiness of the counterparty providing the protection</w:t>
      </w:r>
    </w:p>
    <w:p w:rsidR="00632095" w:rsidRPr="00100BF5" w:rsidRDefault="00632095" w:rsidP="00F43884">
      <w:pPr>
        <w:pStyle w:val="Level1Bullet-BarcRA03"/>
        <w:rPr>
          <w:lang w:val="en-GB"/>
        </w:rPr>
      </w:pPr>
      <w:r w:rsidRPr="00100BF5">
        <w:rPr>
          <w:lang w:val="en-GB"/>
        </w:rPr>
        <w:t>The net derivative notional amount represents a reduction in exposures and should be considered alongside the direct exposures as disclosed in the preceding pages</w:t>
      </w:r>
    </w:p>
    <w:p w:rsidR="00632095" w:rsidRPr="00100BF5" w:rsidRDefault="00632095" w:rsidP="00F43884">
      <w:pPr>
        <w:pStyle w:val="Level1Bullet-BarcRA03"/>
        <w:rPr>
          <w:lang w:val="en-GB"/>
        </w:rPr>
      </w:pPr>
      <w:r w:rsidRPr="00100BF5">
        <w:rPr>
          <w:lang w:val="en-GB"/>
        </w:rPr>
        <w:t>In addition, the Group has indirect sovereign exposure through the guarantee of certain savings and investment funds, which hold a proportion of their assets in sovereign debt. As at 30 June 2012, the net liability in respect of these guarantees was £45m (31 December 2011: £41m)</w:t>
      </w:r>
    </w:p>
    <w:p w:rsidR="00632095" w:rsidRPr="00100BF5" w:rsidRDefault="00632095" w:rsidP="00632095">
      <w:pPr>
        <w:pStyle w:val="HeadingLevel2-BarcRA110"/>
        <w:rPr>
          <w:color w:val="auto"/>
          <w:lang w:val="en-GB"/>
        </w:rPr>
      </w:pPr>
      <w:r w:rsidRPr="00100BF5">
        <w:rPr>
          <w:color w:val="auto"/>
        </w:rPr>
        <w:t xml:space="preserve">Eurozone balance sheet funding </w:t>
      </w:r>
      <w:r w:rsidR="001A3DB1" w:rsidRPr="00100BF5">
        <w:rPr>
          <w:color w:val="auto"/>
          <w:lang w:val="en-GB"/>
        </w:rPr>
        <w:t>mismatches</w:t>
      </w:r>
    </w:p>
    <w:p w:rsidR="001A3DB1" w:rsidRPr="00100BF5" w:rsidRDefault="001A3DB1" w:rsidP="00F43884">
      <w:pPr>
        <w:pStyle w:val="Level1Bullet-BarcRA03"/>
        <w:rPr>
          <w:lang w:val="en-GB"/>
        </w:rPr>
      </w:pPr>
      <w:r w:rsidRPr="00100BF5">
        <w:rPr>
          <w:lang w:val="en-GB"/>
        </w:rPr>
        <w:t>Redenomination risk is the risk of financial loss to the Group should one or more countries exit from the Euro, leading to the devaluation of local balance sheet assets and liabilities.  The Group is directly exposed to redenomination risk where there is a mismatch between the level of locally denominated assets and funding</w:t>
      </w:r>
    </w:p>
    <w:p w:rsidR="00632095" w:rsidRPr="00100BF5" w:rsidRDefault="00632095" w:rsidP="00F43884">
      <w:pPr>
        <w:pStyle w:val="Level1Bullet-BarcRA03"/>
        <w:rPr>
          <w:lang w:val="en-GB"/>
        </w:rPr>
      </w:pPr>
      <w:r w:rsidRPr="00100BF5">
        <w:rPr>
          <w:lang w:val="en-GB"/>
        </w:rPr>
        <w:t xml:space="preserve">Within Barclays, retail banking, corporate banking and wealth activities in the Eurozone are generally booked locally within each country. Locally booked external customer assets and liabilities, primarily loans and advances to customers and customer deposits, are predominantly denominated in Euros. The remaining funding mismatch between local external assets and liabilities is met through local funding secured against customer loans and advances, with any residual </w:t>
      </w:r>
      <w:r w:rsidR="001A3DB1" w:rsidRPr="00100BF5">
        <w:rPr>
          <w:lang w:val="en-GB"/>
        </w:rPr>
        <w:t>mismatch</w:t>
      </w:r>
      <w:r w:rsidRPr="00100BF5">
        <w:rPr>
          <w:lang w:val="en-GB"/>
        </w:rPr>
        <w:t xml:space="preserve"> funded through the Group</w:t>
      </w:r>
    </w:p>
    <w:p w:rsidR="00632095" w:rsidRPr="00100BF5" w:rsidRDefault="00632095" w:rsidP="00F43884">
      <w:pPr>
        <w:pStyle w:val="Level1Bullet-BarcRA03"/>
        <w:rPr>
          <w:lang w:val="en-GB"/>
        </w:rPr>
      </w:pPr>
      <w:r w:rsidRPr="00100BF5">
        <w:rPr>
          <w:lang w:val="en-GB"/>
        </w:rPr>
        <w:t>Barclays continues to monitor and take mitigating actions to limit the potential impact of the Eurozone volatility on local balance sheet funding</w:t>
      </w:r>
    </w:p>
    <w:p w:rsidR="00632095" w:rsidRPr="00100BF5" w:rsidRDefault="00632095" w:rsidP="00F43884">
      <w:pPr>
        <w:pStyle w:val="Level1Bullet-BarcRA03"/>
        <w:rPr>
          <w:lang w:val="en-GB"/>
        </w:rPr>
      </w:pPr>
      <w:r w:rsidRPr="00100BF5">
        <w:rPr>
          <w:lang w:val="en-GB"/>
        </w:rPr>
        <w:t xml:space="preserve">During 2012, a series of mitigating actions has been taken to reduce local net funding mismatches including the drawdown of €8.2bn </w:t>
      </w:r>
      <w:r w:rsidR="00770396">
        <w:rPr>
          <w:lang w:val="en-GB"/>
        </w:rPr>
        <w:t>in the European Central Bank's three</w:t>
      </w:r>
      <w:r w:rsidRPr="00100BF5">
        <w:rPr>
          <w:lang w:val="en-GB"/>
        </w:rPr>
        <w:t xml:space="preserve"> year LTRO in Spain and Portugal and additional deposit taking in Spain. As a result of these mitigating actions the Group reduced the aggregate net funding mismatch in local balance sheets from £12.1bn to £2.5bn in Spain and from £6.9bn to £3.7bn in Portugal during the six months to 30 June 2012</w:t>
      </w:r>
    </w:p>
    <w:p w:rsidR="00632095" w:rsidRPr="00100BF5" w:rsidRDefault="00632095" w:rsidP="00F43884">
      <w:pPr>
        <w:pStyle w:val="Level1Bullet-BarcRA03"/>
        <w:rPr>
          <w:lang w:val="en-GB"/>
        </w:rPr>
      </w:pPr>
      <w:r w:rsidRPr="00100BF5">
        <w:rPr>
          <w:lang w:val="en-GB"/>
        </w:rPr>
        <w:t>In Italy, where the risk of redenomination is judged to be significantly lower, net funding by the Group as at 30 June 2012 is materially unchanged at £11.9bn compared to 31 December 2011. Collateral is available to support additional secured funding in Italy should the risk of redenomination increase</w:t>
      </w:r>
    </w:p>
    <w:p w:rsidR="00351861" w:rsidRPr="00351861" w:rsidRDefault="00351861" w:rsidP="00351861">
      <w:pPr>
        <w:pStyle w:val="HeadingLevel1-BarcRA"/>
        <w:rPr>
          <w:lang w:val="en-GB"/>
        </w:rPr>
      </w:pPr>
      <w:r>
        <w:rPr>
          <w:lang w:val="en-GB"/>
        </w:rPr>
        <w:br w:type="page"/>
      </w:r>
      <w:r>
        <w:t>Credit Risk</w:t>
      </w:r>
    </w:p>
    <w:p w:rsidR="00F43884" w:rsidRPr="00100BF5" w:rsidRDefault="00632095" w:rsidP="00F43884">
      <w:pPr>
        <w:pStyle w:val="Level1Bullet-BarcRA03"/>
        <w:rPr>
          <w:lang w:val="en-GB"/>
        </w:rPr>
      </w:pPr>
      <w:r w:rsidRPr="00100BF5">
        <w:rPr>
          <w:lang w:val="en-GB"/>
        </w:rPr>
        <w:t>Direct exposure to Greece is very small with negligible net funding required from Group. For Ireland there is no local balance sheet funding requirement by the Group as total liabilities in this country exceed total assets</w:t>
      </w:r>
    </w:p>
    <w:p w:rsidR="001A3DB1" w:rsidRPr="00100BF5" w:rsidRDefault="001A3DB1" w:rsidP="00F43884">
      <w:pPr>
        <w:pStyle w:val="Level1Bullet-BarcRA03"/>
        <w:numPr>
          <w:ilvl w:val="0"/>
          <w:numId w:val="0"/>
        </w:numPr>
        <w:rPr>
          <w:lang w:val="en-GB"/>
        </w:rPr>
      </w:pPr>
      <w:r w:rsidRPr="00100BF5">
        <w:rPr>
          <w:b/>
          <w:sz w:val="20"/>
        </w:rPr>
        <w:t>Detailed Eurozone credit exposures tables</w:t>
      </w:r>
    </w:p>
    <w:p w:rsidR="00A12DCA" w:rsidRPr="00100BF5" w:rsidRDefault="00A12DCA" w:rsidP="00A12DCA">
      <w:pPr>
        <w:pStyle w:val="HeadingLevel2-BarcRA15"/>
        <w:rPr>
          <w:color w:val="auto"/>
          <w:sz w:val="18"/>
          <w:szCs w:val="18"/>
        </w:rPr>
      </w:pPr>
      <w:r w:rsidRPr="00100BF5">
        <w:rPr>
          <w:color w:val="auto"/>
          <w:sz w:val="18"/>
          <w:szCs w:val="18"/>
        </w:rPr>
        <w:t>Basis of preparation</w:t>
      </w:r>
    </w:p>
    <w:p w:rsidR="00A12DCA" w:rsidRPr="00100BF5" w:rsidRDefault="00A12DCA" w:rsidP="00F43884">
      <w:pPr>
        <w:pStyle w:val="Level1Bullet-BarcRA03"/>
        <w:rPr>
          <w:lang w:val="en-GB"/>
        </w:rPr>
      </w:pPr>
      <w:r w:rsidRPr="00100BF5">
        <w:rPr>
          <w:lang w:val="en-GB"/>
        </w:rPr>
        <w:t xml:space="preserve">Further detail for the Eurozone countries deemed as higher risk and that are the subject of particular market focus is disclosed in the following tables (pages </w:t>
      </w:r>
      <w:r w:rsidR="00D518EE">
        <w:rPr>
          <w:lang w:val="en-GB"/>
        </w:rPr>
        <w:t>62</w:t>
      </w:r>
      <w:r w:rsidRPr="00100BF5">
        <w:rPr>
          <w:lang w:val="en-GB"/>
        </w:rPr>
        <w:t xml:space="preserve"> to </w:t>
      </w:r>
      <w:r w:rsidR="00D518EE">
        <w:rPr>
          <w:lang w:val="en-GB"/>
        </w:rPr>
        <w:t>68</w:t>
      </w:r>
      <w:r w:rsidRPr="00100BF5">
        <w:rPr>
          <w:lang w:val="en-GB"/>
        </w:rPr>
        <w:t>)</w:t>
      </w:r>
    </w:p>
    <w:p w:rsidR="00A12DCA" w:rsidRPr="00100BF5" w:rsidRDefault="00A12DCA" w:rsidP="00F43884">
      <w:pPr>
        <w:pStyle w:val="Level1Bullet-BarcRA03"/>
        <w:rPr>
          <w:lang w:val="en-GB"/>
        </w:rPr>
      </w:pPr>
      <w:r w:rsidRPr="00100BF5">
        <w:rPr>
          <w:lang w:val="en-GB"/>
        </w:rPr>
        <w:t>The following tables are prepared on the same basis as the 2011 Results Announcement and present the direct balance sheet exposure to credit risk by country, with the totals reflecting allowance for impairment, netting and cash collateral held where appropriate</w:t>
      </w:r>
    </w:p>
    <w:p w:rsidR="00A12DCA" w:rsidRPr="00100BF5" w:rsidRDefault="00A12DCA" w:rsidP="00F43884">
      <w:pPr>
        <w:pStyle w:val="Level1Bullet-BarcRA03"/>
        <w:rPr>
          <w:lang w:val="en-GB"/>
        </w:rPr>
      </w:pPr>
      <w:r w:rsidRPr="00100BF5">
        <w:rPr>
          <w:lang w:val="en-GB"/>
        </w:rPr>
        <w:t xml:space="preserve">Trading and derivatives balances relate to investment banking activities, principally as market-maker for government bond positions. Positions are held at fair value, with daily movements taken through profit and loss. Assets and liabilities are presented by counterparty type, whereby positions are netted to the extent allowable under IFRS excluding cross border netting for multinational counterparties. Cash collateral is then presented by counterparty to give a net credit exposure </w:t>
      </w:r>
    </w:p>
    <w:p w:rsidR="00A12DCA" w:rsidRPr="00100BF5" w:rsidRDefault="00A12DCA" w:rsidP="00F43884">
      <w:pPr>
        <w:pStyle w:val="Level1Bullet-BarcRA03"/>
        <w:rPr>
          <w:lang w:val="en-GB"/>
        </w:rPr>
      </w:pPr>
      <w:r w:rsidRPr="00100BF5">
        <w:rPr>
          <w:lang w:val="en-GB"/>
        </w:rPr>
        <w:t>Available for sale assets are principally investments in government bonds and other debt securities held for the purposes of interest rate hedging and liquidity for local banking activities. Balances are reported on a fair value basis, with movements in fair value going through equity</w:t>
      </w:r>
    </w:p>
    <w:p w:rsidR="00A12DCA" w:rsidRPr="00100BF5" w:rsidRDefault="00A12DCA" w:rsidP="00F43884">
      <w:pPr>
        <w:pStyle w:val="Level1Bullet-BarcRA03"/>
        <w:rPr>
          <w:lang w:val="en-GB"/>
        </w:rPr>
      </w:pPr>
      <w:r w:rsidRPr="00100BF5">
        <w:rPr>
          <w:lang w:val="en-GB"/>
        </w:rPr>
        <w:t>Loans and advances held at amortised cost</w:t>
      </w:r>
      <w:r w:rsidRPr="00100BF5">
        <w:rPr>
          <w:vertAlign w:val="superscript"/>
          <w:lang w:val="en-GB"/>
        </w:rPr>
        <w:t>1</w:t>
      </w:r>
      <w:r w:rsidRPr="00100BF5">
        <w:rPr>
          <w:lang w:val="en-GB"/>
        </w:rPr>
        <w:t xml:space="preserve"> comprise: (i) retail lending portfolios, predominantly mortgages secured on residential property; and (ii) corporate lending portfolios, largely reflecting established corporate banking businesses in Spain, Italy and Portugal and investment banking services provided to multinational and large national corporate clients. Settlement balances and cash collateral are excluded from this analysis</w:t>
      </w:r>
    </w:p>
    <w:p w:rsidR="00A12DCA" w:rsidRPr="00100BF5" w:rsidRDefault="00A12DCA" w:rsidP="00F43884">
      <w:pPr>
        <w:pStyle w:val="Level1Bullet-BarcRA03"/>
        <w:rPr>
          <w:lang w:val="en-GB"/>
        </w:rPr>
      </w:pPr>
      <w:r w:rsidRPr="00100BF5">
        <w:rPr>
          <w:lang w:val="en-GB"/>
        </w:rPr>
        <w:t>Sovereign exposures reflect direct exposures to central and local governments</w:t>
      </w:r>
      <w:r w:rsidRPr="00100BF5">
        <w:rPr>
          <w:vertAlign w:val="superscript"/>
          <w:lang w:val="en-GB"/>
        </w:rPr>
        <w:t>2</w:t>
      </w:r>
      <w:r w:rsidRPr="00100BF5">
        <w:rPr>
          <w:lang w:val="en-GB"/>
        </w:rPr>
        <w:t>, the majority of which are used for hedging interest rate risk relating to local activities. These positions are being actively replaced by non-government instruments such as interest rate swaps. The remaining portion is actively managed reflecting our role as a</w:t>
      </w:r>
      <w:r w:rsidR="00EF5141">
        <w:rPr>
          <w:lang w:val="en-GB"/>
        </w:rPr>
        <w:t xml:space="preserve"> leading primary dealer, market-</w:t>
      </w:r>
      <w:r w:rsidRPr="00100BF5">
        <w:rPr>
          <w:lang w:val="en-GB"/>
        </w:rPr>
        <w:t>maker and liquidity provider to our clients</w:t>
      </w:r>
    </w:p>
    <w:p w:rsidR="00A12DCA" w:rsidRPr="00100BF5" w:rsidRDefault="00A12DCA" w:rsidP="00F43884">
      <w:pPr>
        <w:pStyle w:val="Level1Bullet-BarcRA03"/>
        <w:rPr>
          <w:lang w:val="en-GB"/>
        </w:rPr>
      </w:pPr>
      <w:r w:rsidRPr="00100BF5">
        <w:rPr>
          <w:lang w:val="en-GB"/>
        </w:rPr>
        <w:t>Financial institution and corporate exposures reflect the country of operations of the counterparty (including foreign subsidiaries and without reference to cross-border guarantees)</w:t>
      </w:r>
    </w:p>
    <w:p w:rsidR="00A12DCA" w:rsidRPr="00100BF5" w:rsidRDefault="00A12DCA" w:rsidP="00F43884">
      <w:pPr>
        <w:pStyle w:val="Level1Bullet-BarcRA03"/>
        <w:rPr>
          <w:lang w:val="en-GB"/>
        </w:rPr>
      </w:pPr>
      <w:r w:rsidRPr="00100BF5">
        <w:rPr>
          <w:lang w:val="en-GB"/>
        </w:rPr>
        <w:t>Retail exposures reflect the country of residence of retail customers</w:t>
      </w:r>
    </w:p>
    <w:p w:rsidR="00A12DCA" w:rsidRPr="00100BF5" w:rsidRDefault="00A12DCA" w:rsidP="00F43884">
      <w:pPr>
        <w:pStyle w:val="Level1Bullet-BarcRA03"/>
        <w:rPr>
          <w:lang w:val="en-GB"/>
        </w:rPr>
      </w:pPr>
      <w:r w:rsidRPr="00100BF5">
        <w:rPr>
          <w:lang w:val="en-GB"/>
        </w:rPr>
        <w:t xml:space="preserve">Exposures on loans and advances to other geographies including Europe as a whole are set out on page </w:t>
      </w:r>
      <w:r w:rsidR="00D518EE">
        <w:rPr>
          <w:lang w:val="en-GB"/>
        </w:rPr>
        <w:t>46</w:t>
      </w:r>
    </w:p>
    <w:p w:rsidR="00A12DCA" w:rsidRPr="00100BF5" w:rsidRDefault="00A12DCA" w:rsidP="00F43884">
      <w:pPr>
        <w:pStyle w:val="Level1Bullet-BarcRA03"/>
        <w:rPr>
          <w:lang w:val="en-GB"/>
        </w:rPr>
      </w:pPr>
      <w:r w:rsidRPr="00100BF5">
        <w:rPr>
          <w:lang w:val="en-GB"/>
        </w:rPr>
        <w:t>Off-balance sheet exposure consists primarily of undrawn commitments and guarantees issued to third parties on behalf of our corporate clients. Information on the terms and potential limitations of such faci</w:t>
      </w:r>
      <w:r w:rsidR="005F1542">
        <w:rPr>
          <w:lang w:val="en-GB"/>
        </w:rPr>
        <w:t>lities is presented on page 83</w:t>
      </w: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12DCA">
      <w:pPr>
        <w:pStyle w:val="Level1Bullet-BarcRA29"/>
        <w:numPr>
          <w:ilvl w:val="0"/>
          <w:numId w:val="0"/>
        </w:numPr>
        <w:ind w:left="284" w:hanging="284"/>
        <w:rPr>
          <w:lang w:val="en-GB"/>
        </w:rPr>
      </w:pPr>
    </w:p>
    <w:p w:rsidR="00A12DCA" w:rsidRPr="00100BF5" w:rsidRDefault="00A12DCA"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F72CF" w:rsidRPr="00100BF5" w:rsidRDefault="00AF72CF" w:rsidP="00AF72CF">
      <w:pPr>
        <w:pStyle w:val="Level1Bullet-BarcRA29"/>
        <w:numPr>
          <w:ilvl w:val="0"/>
          <w:numId w:val="0"/>
        </w:numPr>
        <w:spacing w:before="0" w:after="0"/>
        <w:ind w:left="284" w:hanging="284"/>
        <w:rPr>
          <w:sz w:val="2"/>
          <w:szCs w:val="2"/>
          <w:lang w:val="en-GB"/>
        </w:rPr>
      </w:pPr>
    </w:p>
    <w:p w:rsidR="00A12DCA" w:rsidRPr="00100BF5" w:rsidRDefault="00A12DCA" w:rsidP="002D090C">
      <w:pPr>
        <w:pStyle w:val="NoteandSourceText-BarcRA10"/>
        <w:numPr>
          <w:ilvl w:val="0"/>
          <w:numId w:val="101"/>
        </w:numPr>
        <w:tabs>
          <w:tab w:val="clear" w:pos="284"/>
        </w:tabs>
        <w:ind w:left="284" w:hanging="284"/>
      </w:pPr>
      <w:r w:rsidRPr="00100BF5">
        <w:t>The Group also enters into reverse repurchase agreements and other similar secured lending, which are fully collateralised</w:t>
      </w:r>
      <w:r w:rsidR="00620D21" w:rsidRPr="00100BF5">
        <w:t>.</w:t>
      </w:r>
    </w:p>
    <w:p w:rsidR="00A12DCA" w:rsidRPr="00100BF5" w:rsidRDefault="00A12DCA" w:rsidP="002D090C">
      <w:pPr>
        <w:pStyle w:val="NoteandSourceText-BarcRA10"/>
        <w:numPr>
          <w:ilvl w:val="0"/>
          <w:numId w:val="101"/>
        </w:numPr>
        <w:tabs>
          <w:tab w:val="clear" w:pos="284"/>
        </w:tabs>
        <w:ind w:left="284" w:hanging="284"/>
      </w:pPr>
      <w:r w:rsidRPr="00100BF5">
        <w:t>In addition, the Group held cash with the central banks of these countries totalling £0.4bn as at 30 June 2012. Other immaterial balances with central banks are classified within loans to financial institutions.</w:t>
      </w:r>
    </w:p>
    <w:p w:rsidR="00A12DCA" w:rsidRPr="00100BF5" w:rsidRDefault="00A12DCA" w:rsidP="005F437E">
      <w:pPr>
        <w:pStyle w:val="HeadingLevel1-BarcRA"/>
      </w:pPr>
      <w:r w:rsidRPr="00100BF5">
        <w:br w:type="page"/>
      </w:r>
      <w:r w:rsidR="005F437E">
        <w:t>Credit Risk</w:t>
      </w:r>
    </w:p>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Spain</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center"/>
              <w:rPr>
                <w:b/>
                <w:sz w:val="24"/>
              </w:rPr>
            </w:pPr>
            <w:r w:rsidRPr="00100BF5">
              <w:rPr>
                <w:b/>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Derivatives</w:t>
            </w:r>
          </w:p>
        </w:tc>
        <w:tc>
          <w:tcPr>
            <w:tcW w:w="930"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r>
      <w:tr w:rsidR="00A12DCA" w:rsidRPr="00100BF5" w:rsidTr="00E940CE">
        <w:tblPrEx>
          <w:tblCellMar>
            <w:top w:w="0" w:type="dxa"/>
            <w:bottom w:w="0" w:type="dxa"/>
          </w:tblCellMar>
        </w:tblPrEx>
        <w:trPr>
          <w:trHeight w:val="554"/>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Fair Value through Profit and Loss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Trading Portfolio Assets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Trading Portfolio Liabilities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w:t>
            </w:r>
          </w:p>
          <w:p w:rsidR="00A12DCA" w:rsidRPr="00100BF5" w:rsidRDefault="00A12DCA">
            <w:pPr>
              <w:jc w:val="right"/>
              <w:rPr>
                <w:b/>
                <w:sz w:val="16"/>
              </w:rPr>
            </w:pPr>
            <w:r w:rsidRPr="00100BF5">
              <w:rPr>
                <w:b/>
                <w:sz w:val="16"/>
              </w:rPr>
              <w:t xml:space="preserve"> 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Gross Assets</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Gross Liabilities</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Cash Collateral</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 Derivatives</w:t>
            </w:r>
          </w:p>
        </w:tc>
        <w:tc>
          <w:tcPr>
            <w:tcW w:w="930"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Total </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E940CE">
        <w:tblPrEx>
          <w:tblCellMar>
            <w:top w:w="0" w:type="dxa"/>
            <w:bottom w:w="0" w:type="dxa"/>
          </w:tblCellMar>
        </w:tblPrEx>
        <w:trPr>
          <w:trHeight w:val="95"/>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r>
      <w:tr w:rsidR="00A12DCA" w:rsidRPr="00100BF5" w:rsidTr="00AF0B6D">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1,063 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(831)</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232 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67 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(67)</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232 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 </w:t>
            </w:r>
          </w:p>
        </w:tc>
      </w:tr>
      <w:tr w:rsidR="00A12DCA" w:rsidRPr="00100BF5" w:rsidTr="00AF0B6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385 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(159)</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226 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8,327 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(7,548)</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(779)</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141 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367 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221 </w:t>
            </w:r>
          </w:p>
        </w:tc>
      </w:tr>
      <w:tr w:rsidR="00A12DCA" w:rsidRPr="00100BF5" w:rsidTr="00AF0B6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996 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(326)</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670 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393 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(81)</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312 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309 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1,291 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629 </w:t>
            </w:r>
          </w:p>
        </w:tc>
      </w:tr>
      <w:tr w:rsidR="00A12DCA" w:rsidRPr="00100BF5" w:rsidTr="00167BA9">
        <w:tblPrEx>
          <w:tblCellMar>
            <w:top w:w="0" w:type="dxa"/>
            <w:bottom w:w="0" w:type="dxa"/>
          </w:tblCellMar>
        </w:tblPrEx>
        <w:trPr>
          <w:trHeight w:hRule="exact" w:val="126"/>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Available for Sale Assets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Fair Value through Equity</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b/>
                <w:sz w:val="16"/>
              </w:rPr>
              <w:t>Cost</w:t>
            </w:r>
            <w:r w:rsidRPr="00100BF5">
              <w:rPr>
                <w:b/>
                <w:sz w:val="16"/>
                <w:vertAlign w:val="superscript"/>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vertAlign w:val="superscript"/>
              </w:rPr>
            </w:pPr>
            <w:r w:rsidRPr="00100BF5">
              <w:rPr>
                <w:b/>
                <w:sz w:val="16"/>
              </w:rPr>
              <w:t>AFS Reserve</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p>
        </w:tc>
      </w:tr>
      <w:tr w:rsidR="00A12DCA" w:rsidRPr="00100BF5" w:rsidTr="00E940CE">
        <w:tblPrEx>
          <w:tblCellMar>
            <w:top w:w="0" w:type="dxa"/>
            <w:bottom w:w="0" w:type="dxa"/>
          </w:tblCellMar>
        </w:tblPrEx>
        <w:trPr>
          <w:trHeight w:val="221"/>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425"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r w:rsidRPr="00100BF5">
              <w:rPr>
                <w:sz w:val="16"/>
                <w:vertAlign w:val="superscript"/>
              </w:rPr>
              <w:t xml:space="preserve"> </w:t>
            </w:r>
          </w:p>
        </w:tc>
        <w:tc>
          <w:tcPr>
            <w:tcW w:w="1770"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r>
      <w:tr w:rsidR="00A12DCA" w:rsidRPr="00100BF5" w:rsidTr="006926BB">
        <w:tblPrEx>
          <w:tblCellMar>
            <w:top w:w="0" w:type="dxa"/>
            <w:bottom w:w="0" w:type="dxa"/>
          </w:tblCellMar>
        </w:tblPrEx>
        <w:trPr>
          <w:trHeight w:val="240"/>
        </w:trPr>
        <w:tc>
          <w:tcPr>
            <w:tcW w:w="231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2,</w:t>
            </w:r>
            <w:r w:rsidR="007A2656" w:rsidRPr="00100BF5">
              <w:rPr>
                <w:sz w:val="16"/>
              </w:rPr>
              <w:t>084</w:t>
            </w:r>
            <w:r w:rsidRPr="00100BF5">
              <w:rPr>
                <w:sz w:val="16"/>
              </w:rPr>
              <w:t>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(158)</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rPr>
            </w:pPr>
            <w:r w:rsidRPr="00100BF5">
              <w:rPr>
                <w:sz w:val="16"/>
              </w:rPr>
              <w:t xml:space="preserve"> </w:t>
            </w:r>
            <w:r w:rsidR="007A2656" w:rsidRPr="00100BF5">
              <w:rPr>
                <w:sz w:val="16"/>
              </w:rPr>
              <w:t>1,926</w:t>
            </w:r>
            <w:r w:rsidRPr="00100BF5">
              <w:rPr>
                <w:sz w:val="16"/>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2,468 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rPr>
            </w:pPr>
            <w:r w:rsidRPr="00100BF5">
              <w:rPr>
                <w:sz w:val="16"/>
              </w:rPr>
              <w:t xml:space="preserve"> </w:t>
            </w:r>
            <w:r w:rsidR="007A2656" w:rsidRPr="00100BF5">
              <w:rPr>
                <w:sz w:val="16"/>
              </w:rPr>
              <w:t>495</w:t>
            </w:r>
            <w:r w:rsidRPr="00100BF5">
              <w:rPr>
                <w:sz w:val="16"/>
              </w:rPr>
              <w:t>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(28)</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7A2656" w:rsidP="007A2656">
            <w:pPr>
              <w:jc w:val="right"/>
              <w:rPr>
                <w:sz w:val="16"/>
              </w:rPr>
            </w:pPr>
            <w:r w:rsidRPr="00100BF5">
              <w:rPr>
                <w:sz w:val="16"/>
              </w:rPr>
              <w:t>467</w:t>
            </w:r>
            <w:r w:rsidR="00A12DCA" w:rsidRPr="00100BF5">
              <w:rPr>
                <w:sz w:val="16"/>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490 </w:t>
            </w:r>
          </w:p>
        </w:tc>
      </w:tr>
      <w:tr w:rsidR="00A12DCA" w:rsidRPr="00100BF5" w:rsidTr="00AF0B6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5 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2 </w:t>
            </w:r>
          </w:p>
        </w:tc>
      </w:tr>
    </w:tbl>
    <w:p w:rsidR="00F00A12" w:rsidRPr="00100BF5" w:rsidRDefault="00F00A12"/>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E940CE">
        <w:tblPrEx>
          <w:tblCellMar>
            <w:top w:w="0" w:type="dxa"/>
            <w:bottom w:w="0" w:type="dxa"/>
          </w:tblCellMar>
        </w:tblPrEx>
        <w:trPr>
          <w:trHeight w:val="8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rsidP="00E940CE">
            <w:pPr>
              <w:rPr>
                <w:sz w:val="16"/>
              </w:rPr>
            </w:pP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6926BB"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bottom"/>
          </w:tcPr>
          <w:p w:rsidR="006926BB" w:rsidRPr="00100BF5" w:rsidRDefault="006926BB" w:rsidP="006926BB">
            <w:pPr>
              <w:rPr>
                <w:b/>
                <w:sz w:val="16"/>
              </w:rPr>
            </w:pPr>
            <w:r w:rsidRPr="00100BF5">
              <w:rPr>
                <w:sz w:val="16"/>
              </w:rPr>
              <w:t xml:space="preserve"> </w:t>
            </w:r>
          </w:p>
          <w:p w:rsidR="006926BB" w:rsidRPr="00100BF5" w:rsidRDefault="006926BB" w:rsidP="006926BB">
            <w:pPr>
              <w:rPr>
                <w:sz w:val="16"/>
              </w:rPr>
            </w:pPr>
            <w:r w:rsidRPr="00100BF5">
              <w:rPr>
                <w:sz w:val="16"/>
              </w:rPr>
              <w:t xml:space="preserve"> </w:t>
            </w:r>
            <w:r w:rsidRPr="00100BF5">
              <w:rPr>
                <w:b/>
                <w:sz w:val="16"/>
              </w:rPr>
              <w:t>Held at Amortised Cost</w:t>
            </w:r>
          </w:p>
        </w:tc>
        <w:tc>
          <w:tcPr>
            <w:tcW w:w="795" w:type="dxa"/>
            <w:tcBorders>
              <w:top w:val="nil"/>
              <w:left w:val="nil"/>
              <w:bottom w:val="nil"/>
              <w:right w:val="nil"/>
            </w:tcBorders>
            <w:shd w:val="clear" w:color="auto" w:fill="FFFFFF"/>
            <w:tcMar>
              <w:left w:w="36" w:type="dxa"/>
              <w:right w:w="36" w:type="dxa"/>
            </w:tcMar>
            <w:vAlign w:val="bottom"/>
          </w:tcPr>
          <w:p w:rsidR="006926BB" w:rsidRPr="00100BF5" w:rsidRDefault="006926BB" w:rsidP="006926BB">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6926BB" w:rsidRPr="00100BF5" w:rsidRDefault="006926BB" w:rsidP="006926BB">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6926BB" w:rsidRPr="00100BF5" w:rsidRDefault="006926BB" w:rsidP="006926BB">
            <w:pPr>
              <w:rPr>
                <w:sz w:val="16"/>
              </w:rPr>
            </w:pPr>
            <w:r w:rsidRPr="00100BF5">
              <w:rPr>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bottom"/>
          </w:tcPr>
          <w:p w:rsidR="006926BB" w:rsidRPr="00100BF5" w:rsidRDefault="006926BB" w:rsidP="006926BB">
            <w:pPr>
              <w:jc w:val="center"/>
              <w:rPr>
                <w:sz w:val="16"/>
              </w:rPr>
            </w:pPr>
            <w:r w:rsidRPr="00100BF5">
              <w:rPr>
                <w:b/>
                <w:sz w:val="16"/>
              </w:rPr>
              <w:t>Loans and Advances as at 30.06.12</w:t>
            </w:r>
          </w:p>
        </w:tc>
        <w:tc>
          <w:tcPr>
            <w:tcW w:w="180" w:type="dxa"/>
            <w:tcBorders>
              <w:top w:val="nil"/>
              <w:left w:val="nil"/>
              <w:bottom w:val="nil"/>
              <w:right w:val="nil"/>
            </w:tcBorders>
            <w:shd w:val="clear" w:color="auto" w:fill="FFFFFF"/>
            <w:tcMar>
              <w:left w:w="36" w:type="dxa"/>
              <w:right w:w="36" w:type="dxa"/>
            </w:tcMar>
            <w:vAlign w:val="bottom"/>
          </w:tcPr>
          <w:p w:rsidR="006926BB" w:rsidRPr="00100BF5" w:rsidRDefault="006926BB" w:rsidP="006926BB">
            <w:pPr>
              <w:jc w:val="center"/>
              <w:rPr>
                <w:b/>
                <w:sz w:val="16"/>
              </w:rPr>
            </w:pPr>
          </w:p>
        </w:tc>
        <w:tc>
          <w:tcPr>
            <w:tcW w:w="705" w:type="dxa"/>
            <w:vMerge/>
            <w:tcBorders>
              <w:top w:val="nil"/>
              <w:left w:val="nil"/>
              <w:bottom w:val="nil"/>
              <w:right w:val="nil"/>
            </w:tcBorders>
            <w:shd w:val="clear" w:color="auto" w:fill="FFFFFF"/>
            <w:tcMar>
              <w:left w:w="36" w:type="dxa"/>
              <w:right w:w="36" w:type="dxa"/>
            </w:tcMar>
            <w:vAlign w:val="bottom"/>
          </w:tcPr>
          <w:p w:rsidR="006926BB" w:rsidRPr="00100BF5" w:rsidRDefault="006926BB">
            <w:pPr>
              <w:rPr>
                <w:b/>
                <w:sz w:val="16"/>
              </w:rPr>
            </w:pPr>
          </w:p>
        </w:tc>
      </w:tr>
      <w:tr w:rsidR="00A12DCA" w:rsidRPr="00100BF5" w:rsidTr="00E940CE">
        <w:tblPrEx>
          <w:tblCellMar>
            <w:top w:w="0" w:type="dxa"/>
            <w:bottom w:w="0" w:type="dxa"/>
          </w:tblCellMar>
        </w:tblPrEx>
        <w:trPr>
          <w:trHeight w:val="316"/>
        </w:trPr>
        <w:tc>
          <w:tcPr>
            <w:tcW w:w="3810"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 xml:space="preserve">Gross </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Impairment Allowances</w:t>
            </w:r>
          </w:p>
        </w:tc>
        <w:tc>
          <w:tcPr>
            <w:tcW w:w="93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rsidTr="00E940CE">
        <w:tblPrEx>
          <w:tblCellMar>
            <w:top w:w="0" w:type="dxa"/>
            <w:bottom w:w="0" w:type="dxa"/>
          </w:tblCellMar>
        </w:tblPrEx>
        <w:trPr>
          <w:trHeight w:val="166"/>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£m </w:t>
            </w:r>
          </w:p>
        </w:tc>
      </w:tr>
      <w:tr w:rsidR="00A12DCA" w:rsidRPr="00100BF5" w:rsidTr="00AF0B6D">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49 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49 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62 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259 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(11)</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248 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276 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13,724 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(79)</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13,645 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14,654 </w:t>
            </w:r>
          </w:p>
        </w:tc>
      </w:tr>
      <w:tr w:rsidR="00A12DCA" w:rsidRPr="00100BF5" w:rsidTr="00AF0B6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4,903 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(1,082)</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3,821 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4,714 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3,068 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(80)</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2,988 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3,031 </w:t>
            </w:r>
          </w:p>
        </w:tc>
      </w:tr>
      <w:tr w:rsidR="00A12DCA" w:rsidRPr="00100BF5" w:rsidTr="00167BA9">
        <w:tblPrEx>
          <w:tblCellMar>
            <w:top w:w="0" w:type="dxa"/>
            <w:bottom w:w="0" w:type="dxa"/>
          </w:tblCellMar>
        </w:tblPrEx>
        <w:trPr>
          <w:trHeight w:hRule="exact" w:val="159"/>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rsidTr="00E940CE">
        <w:tblPrEx>
          <w:tblCellMar>
            <w:top w:w="0" w:type="dxa"/>
            <w:bottom w:w="0" w:type="dxa"/>
          </w:tblCellMar>
        </w:tblPrEx>
        <w:trPr>
          <w:trHeight w:val="213"/>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9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80"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b/>
                <w:sz w:val="16"/>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A12DCA" w:rsidRPr="00100BF5" w:rsidRDefault="00A12DCA" w:rsidP="00AF0B6D">
            <w:pPr>
              <w:jc w:val="right"/>
              <w:rPr>
                <w:b/>
                <w:sz w:val="16"/>
              </w:rPr>
            </w:pPr>
            <w:r w:rsidRPr="00100BF5">
              <w:rPr>
                <w:b/>
                <w:sz w:val="16"/>
              </w:rPr>
              <w:t>£m</w:t>
            </w:r>
          </w:p>
        </w:tc>
      </w:tr>
      <w:tr w:rsidR="00A12DCA" w:rsidRPr="00100BF5" w:rsidTr="00AF0B6D">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single" w:sz="6" w:space="0" w:color="7F7F7F"/>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single" w:sz="6" w:space="0" w:color="7F7F7F"/>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162 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single" w:sz="6" w:space="0" w:color="7F7F7F"/>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188 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22 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20 </w:t>
            </w:r>
          </w:p>
        </w:tc>
      </w:tr>
      <w:tr w:rsidR="00A12DCA" w:rsidRPr="00100BF5" w:rsidTr="00AF0B6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2,027 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2,510 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AF0B6D">
            <w:pPr>
              <w:jc w:val="right"/>
              <w:rPr>
                <w:sz w:val="16"/>
              </w:rPr>
            </w:pPr>
            <w:r w:rsidRPr="00100BF5">
              <w:rPr>
                <w:sz w:val="16"/>
              </w:rPr>
              <w:t xml:space="preserve"> 1,024 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AF0B6D">
            <w:pPr>
              <w:jc w:val="right"/>
              <w:rPr>
                <w:sz w:val="16"/>
              </w:rPr>
            </w:pPr>
            <w:r w:rsidRPr="00100BF5">
              <w:rPr>
                <w:sz w:val="16"/>
              </w:rPr>
              <w:t xml:space="preserve"> 1,102 </w:t>
            </w:r>
          </w:p>
        </w:tc>
      </w:tr>
    </w:tbl>
    <w:p w:rsidR="00A12DCA" w:rsidRPr="00100BF5" w:rsidRDefault="00A12DCA"/>
    <w:p w:rsidR="00A12DCA" w:rsidRPr="00100BF5" w:rsidRDefault="00A12DCA" w:rsidP="003B473F">
      <w:pPr>
        <w:pStyle w:val="Level1Bullet-BarcRA03"/>
        <w:spacing w:before="120" w:after="120"/>
        <w:rPr>
          <w:b/>
          <w:lang w:val="en-GB"/>
        </w:rPr>
      </w:pPr>
      <w:r w:rsidRPr="00100BF5">
        <w:rPr>
          <w:b/>
          <w:lang w:val="en-GB"/>
        </w:rPr>
        <w:t>Sovereign</w:t>
      </w:r>
    </w:p>
    <w:p w:rsidR="00A12DCA" w:rsidRPr="00100BF5" w:rsidRDefault="00A12DCA" w:rsidP="003B473F">
      <w:pPr>
        <w:pStyle w:val="Level2Bullet-BarcRA2"/>
        <w:numPr>
          <w:ilvl w:val="2"/>
          <w:numId w:val="9"/>
        </w:numPr>
        <w:tabs>
          <w:tab w:val="num" w:pos="567"/>
        </w:tabs>
        <w:spacing w:before="120"/>
        <w:ind w:left="568" w:hanging="284"/>
        <w:rPr>
          <w:lang w:val="en-GB"/>
        </w:rPr>
      </w:pPr>
      <w:r w:rsidRPr="00100BF5">
        <w:rPr>
          <w:lang w:val="en-GB"/>
        </w:rPr>
        <w:t xml:space="preserve">Largely AFS holdings in government bonds </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 xml:space="preserve">No impairment and £158m (2011: £51m) cumulative loss held in the AFS reserve </w:t>
      </w:r>
    </w:p>
    <w:p w:rsidR="00A12DCA" w:rsidRPr="00100BF5" w:rsidRDefault="00A12DCA" w:rsidP="003B473F">
      <w:pPr>
        <w:pStyle w:val="Level1Bullet-BarcRA03"/>
        <w:spacing w:before="120" w:after="120"/>
        <w:rPr>
          <w:b/>
          <w:lang w:val="en-GB"/>
        </w:rPr>
      </w:pPr>
      <w:r w:rsidRPr="00100BF5">
        <w:rPr>
          <w:b/>
          <w:lang w:val="en-GB"/>
        </w:rPr>
        <w:t>Financial institutions</w:t>
      </w:r>
    </w:p>
    <w:p w:rsidR="00A12DCA" w:rsidRPr="00100BF5" w:rsidRDefault="00A12DCA" w:rsidP="003B473F">
      <w:pPr>
        <w:pStyle w:val="Level2Bullet-BarcRA2"/>
        <w:numPr>
          <w:ilvl w:val="2"/>
          <w:numId w:val="9"/>
        </w:numPr>
        <w:tabs>
          <w:tab w:val="num" w:pos="567"/>
        </w:tabs>
        <w:spacing w:before="120"/>
        <w:ind w:left="568" w:hanging="284"/>
        <w:rPr>
          <w:lang w:val="en-GB"/>
        </w:rPr>
      </w:pPr>
      <w:r w:rsidRPr="00100BF5">
        <w:rPr>
          <w:lang w:val="en-GB"/>
        </w:rPr>
        <w:t xml:space="preserve">£367m (2011: £221m) held at fair value through profit and loss, predominantly debt securities held by the Investment Bank to support trading and market making activities </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£4</w:t>
      </w:r>
      <w:r w:rsidR="007A2656" w:rsidRPr="00100BF5">
        <w:rPr>
          <w:lang w:val="en-GB"/>
        </w:rPr>
        <w:t>67</w:t>
      </w:r>
      <w:r w:rsidRPr="00100BF5">
        <w:rPr>
          <w:lang w:val="en-GB"/>
        </w:rPr>
        <w:t>m (2011: £490m) AFS assets with £28m (2011: £17m) cumulative loss held in the AFS reserve</w:t>
      </w:r>
    </w:p>
    <w:p w:rsidR="00A12DCA" w:rsidRPr="00100BF5" w:rsidRDefault="00A12DCA" w:rsidP="003B473F">
      <w:pPr>
        <w:pStyle w:val="Level1Bullet-BarcRA03"/>
        <w:spacing w:before="120" w:after="120"/>
        <w:rPr>
          <w:b/>
          <w:lang w:val="en-GB"/>
        </w:rPr>
      </w:pPr>
      <w:r w:rsidRPr="00100BF5">
        <w:rPr>
          <w:b/>
          <w:lang w:val="en-GB"/>
        </w:rPr>
        <w:t>Residential mortgages</w:t>
      </w:r>
    </w:p>
    <w:p w:rsidR="00A12DCA" w:rsidRPr="00100BF5" w:rsidRDefault="00A12DCA" w:rsidP="003B473F">
      <w:pPr>
        <w:pStyle w:val="Level2Bullet-BarcRA2"/>
        <w:numPr>
          <w:ilvl w:val="2"/>
          <w:numId w:val="9"/>
        </w:numPr>
        <w:tabs>
          <w:tab w:val="num" w:pos="567"/>
        </w:tabs>
        <w:spacing w:before="120"/>
        <w:ind w:left="568" w:hanging="284"/>
        <w:rPr>
          <w:lang w:val="en-GB"/>
        </w:rPr>
      </w:pPr>
      <w:r w:rsidRPr="00100BF5">
        <w:rPr>
          <w:lang w:val="en-GB"/>
        </w:rPr>
        <w:t>Fully secured on residential property with average marked to market LTV of 62.7% (2011: 60.1%), which is reflected in the CRL coverage of 26% (2011: 28%)</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90 day arrears rates and annualised loan loss rates have increased above 2011 levels</w:t>
      </w:r>
    </w:p>
    <w:p w:rsidR="00167BA9" w:rsidRPr="00100BF5" w:rsidRDefault="00167BA9" w:rsidP="003B473F">
      <w:pPr>
        <w:pStyle w:val="Level1Bullet-BarcRA03"/>
        <w:spacing w:before="120" w:after="120"/>
        <w:rPr>
          <w:b/>
          <w:lang w:val="en-GB"/>
        </w:rPr>
      </w:pPr>
      <w:r w:rsidRPr="00100BF5">
        <w:rPr>
          <w:b/>
          <w:lang w:val="en-GB"/>
        </w:rPr>
        <w:t>Corporate</w:t>
      </w:r>
    </w:p>
    <w:p w:rsidR="00167BA9" w:rsidRPr="00100BF5" w:rsidRDefault="00167BA9" w:rsidP="003B473F">
      <w:pPr>
        <w:pStyle w:val="Level2Bullet-BarcRA2"/>
        <w:numPr>
          <w:ilvl w:val="2"/>
          <w:numId w:val="9"/>
        </w:numPr>
        <w:tabs>
          <w:tab w:val="num" w:pos="567"/>
        </w:tabs>
        <w:spacing w:before="120"/>
        <w:ind w:left="568" w:hanging="284"/>
        <w:rPr>
          <w:lang w:val="en-GB"/>
        </w:rPr>
      </w:pPr>
      <w:r w:rsidRPr="00100BF5">
        <w:rPr>
          <w:lang w:val="en-GB"/>
        </w:rPr>
        <w:t>£3,821m (2011: £4,714m) net lending to corporates with impairment allowance of £1,082m (2011: £1,187m) and CRL coverage of 54% (2011: 57%)</w:t>
      </w:r>
    </w:p>
    <w:p w:rsidR="00A12DCA" w:rsidRPr="00100BF5" w:rsidRDefault="00A12DCA" w:rsidP="00E940CE">
      <w:pPr>
        <w:pStyle w:val="NoteandSourceText-BarcRA11"/>
        <w:spacing w:before="0" w:after="0"/>
        <w:ind w:left="284" w:hanging="284"/>
      </w:pPr>
      <w:r w:rsidRPr="00100BF5">
        <w:t xml:space="preserve">‘Cost’ refers to the fair value of the asset at recognition, less any impairment booked. ‘AFS Reserve’ is the cumulative fair value gain or loss on the assets that is held in equity. ‘Total’ is the fair value of the assets at the balance sheet date. </w:t>
      </w:r>
    </w:p>
    <w:p w:rsidR="005F437E" w:rsidRDefault="00A12DCA" w:rsidP="005F437E">
      <w:pPr>
        <w:pStyle w:val="HeadingLevel1-BarcRA"/>
      </w:pPr>
      <w:r w:rsidRPr="00100BF5">
        <w:br w:type="page"/>
      </w:r>
      <w:r w:rsidR="005F437E">
        <w:t>Credit Risk</w:t>
      </w:r>
    </w:p>
    <w:p w:rsidR="00A12DCA" w:rsidRPr="00100BF5" w:rsidRDefault="00A12DCA" w:rsidP="00FB0640">
      <w:pPr>
        <w:pStyle w:val="Level2Bullet-BarcRA2"/>
        <w:numPr>
          <w:ilvl w:val="2"/>
          <w:numId w:val="9"/>
        </w:numPr>
        <w:tabs>
          <w:tab w:val="num" w:pos="567"/>
        </w:tabs>
        <w:spacing w:before="0"/>
        <w:ind w:left="568" w:hanging="284"/>
        <w:rPr>
          <w:lang w:val="en-GB"/>
        </w:rPr>
      </w:pPr>
      <w:r w:rsidRPr="00100BF5">
        <w:rPr>
          <w:lang w:val="en-GB"/>
        </w:rPr>
        <w:t>Lending to property and construction industry of £1,556m (2011: £1,866m) which is largely secured on real estate collateral, with impairment allowance of £795m (2011: 810m) and CRL coverage of 58% (2011: 49%)</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Balances on early warning lists peaked in September 2009. Portfolio kept under close review and impairment incurred as appropriate</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 xml:space="preserve">Corporate impairment in Spain was at its highest level in H1 2010 when commercial property declines were </w:t>
      </w:r>
      <w:r w:rsidR="00EA010D" w:rsidRPr="00100BF5">
        <w:rPr>
          <w:lang w:val="en-GB"/>
        </w:rPr>
        <w:t>reflected earlier in the cycle</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£368m (2011: £</w:t>
      </w:r>
      <w:r w:rsidR="0052473E">
        <w:rPr>
          <w:lang w:val="en-GB"/>
        </w:rPr>
        <w:t>488</w:t>
      </w:r>
      <w:r w:rsidRPr="00100BF5">
        <w:rPr>
          <w:lang w:val="en-GB"/>
        </w:rPr>
        <w:t>m) Investment Bank lending to multinational and large national corporates, which continues to perform</w:t>
      </w:r>
    </w:p>
    <w:p w:rsidR="00A12DCA" w:rsidRPr="00100BF5" w:rsidRDefault="00A12DCA" w:rsidP="001A45A4">
      <w:pPr>
        <w:pStyle w:val="Level1Bullet-BarcRA03"/>
        <w:rPr>
          <w:b/>
          <w:lang w:val="en-GB"/>
        </w:rPr>
      </w:pPr>
      <w:r w:rsidRPr="00100BF5">
        <w:rPr>
          <w:b/>
          <w:lang w:val="en-GB"/>
        </w:rPr>
        <w:t>Other retail lending</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£1,045m (2011: £1,115m) credit cards and unsecured loans. Early and late</w:t>
      </w:r>
      <w:r w:rsidR="00C02DB6">
        <w:rPr>
          <w:lang w:val="en-GB"/>
        </w:rPr>
        <w:t xml:space="preserve"> cycle arrears rates and charge-</w:t>
      </w:r>
      <w:r w:rsidRPr="00100BF5">
        <w:rPr>
          <w:lang w:val="en-GB"/>
        </w:rPr>
        <w:t>off rates in credit cards and unsecured loans were stable in the first half of 2012</w:t>
      </w:r>
    </w:p>
    <w:p w:rsidR="00A12DCA" w:rsidRPr="00100BF5" w:rsidRDefault="00A12DCA" w:rsidP="001A45A4">
      <w:pPr>
        <w:pStyle w:val="Level2Bullet-BarcRA2"/>
        <w:numPr>
          <w:ilvl w:val="2"/>
          <w:numId w:val="9"/>
        </w:numPr>
        <w:tabs>
          <w:tab w:val="num" w:pos="567"/>
        </w:tabs>
        <w:ind w:left="567" w:hanging="283"/>
        <w:rPr>
          <w:lang w:val="en-GB"/>
        </w:rPr>
      </w:pPr>
      <w:r w:rsidRPr="00100BF5">
        <w:rPr>
          <w:lang w:val="en-GB"/>
        </w:rPr>
        <w:t>£1,542m (2011: £1,529m) lending to small and medium enterprises (SMEs), largely secured against commercial property</w:t>
      </w:r>
    </w:p>
    <w:p w:rsidR="00A12DCA" w:rsidRPr="00100BF5" w:rsidRDefault="00A12DCA" w:rsidP="001A45A4">
      <w:pPr>
        <w:pStyle w:val="Level1Bullet-BarcRA03"/>
        <w:rPr>
          <w:lang w:val="en-GB"/>
        </w:rPr>
      </w:pPr>
      <w:r w:rsidRPr="00100BF5">
        <w:rPr>
          <w:b/>
          <w:lang w:val="en-GB"/>
        </w:rPr>
        <w:t>Contingent liabilities and commitments</w:t>
      </w:r>
      <w:r w:rsidRPr="00100BF5">
        <w:rPr>
          <w:lang w:val="en-GB"/>
        </w:rPr>
        <w:t xml:space="preserve"> of £2,027m (2011: £2,510m) to corporate customers and £1,024m (2011: £1,102m) principally to undrawn facilities to SMEs and undrawn credit lines</w:t>
      </w:r>
    </w:p>
    <w:p w:rsidR="00A12DCA" w:rsidRPr="00100BF5" w:rsidRDefault="00A12DCA">
      <w:pPr>
        <w:spacing w:line="14" w:lineRule="exact"/>
        <w:rPr>
          <w:i/>
          <w:lang w:val="en-GB"/>
        </w:rPr>
      </w:pPr>
    </w:p>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i/>
                <w:lang w:val="en-GB"/>
              </w:rPr>
            </w:pPr>
            <w:r w:rsidRPr="00100BF5">
              <w:rPr>
                <w:b/>
                <w:sz w:val="24"/>
                <w:lang w:val="en-GB"/>
              </w:rPr>
              <w:t>Italy</w:t>
            </w:r>
          </w:p>
        </w:tc>
        <w:tc>
          <w:tcPr>
            <w:tcW w:w="2205" w:type="dxa"/>
            <w:gridSpan w:val="3"/>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24"/>
                <w:lang w:val="en-GB"/>
              </w:rPr>
            </w:pPr>
            <w:r w:rsidRPr="00100BF5">
              <w:rPr>
                <w:b/>
                <w:sz w:val="16"/>
                <w:lang w:val="en-GB"/>
              </w:rPr>
              <w:t>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lang w:val="en-GB"/>
              </w:rPr>
            </w:pPr>
            <w:r w:rsidRPr="00100BF5">
              <w:rPr>
                <w:b/>
                <w:sz w:val="16"/>
                <w:lang w:val="en-GB"/>
              </w:rPr>
              <w:t xml:space="preserve"> </w:t>
            </w:r>
          </w:p>
        </w:tc>
        <w:tc>
          <w:tcPr>
            <w:tcW w:w="3195"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lang w:val="en-GB"/>
              </w:rPr>
            </w:pPr>
            <w:r w:rsidRPr="00100BF5">
              <w:rPr>
                <w:b/>
                <w:sz w:val="16"/>
                <w:lang w:val="en-GB"/>
              </w:rPr>
              <w:t>Derivatives</w:t>
            </w:r>
          </w:p>
        </w:tc>
        <w:tc>
          <w:tcPr>
            <w:tcW w:w="930"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lang w:val="en-GB"/>
              </w:rPr>
            </w:pPr>
            <w:r w:rsidRPr="00100BF5">
              <w:rPr>
                <w:b/>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lang w:val="en-GB"/>
              </w:rPr>
            </w:pPr>
            <w:r w:rsidRPr="00100BF5">
              <w:rPr>
                <w:b/>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lang w:val="en-GB"/>
              </w:rPr>
            </w:pPr>
            <w:r w:rsidRPr="00100BF5">
              <w:rPr>
                <w:b/>
                <w:sz w:val="16"/>
                <w:lang w:val="en-GB"/>
              </w:rPr>
              <w:t xml:space="preserve"> </w:t>
            </w:r>
          </w:p>
        </w:tc>
      </w:tr>
      <w:tr w:rsidR="00A12DCA" w:rsidRPr="00100BF5" w:rsidTr="00E940CE">
        <w:tblPrEx>
          <w:tblCellMar>
            <w:top w:w="0" w:type="dxa"/>
            <w:bottom w:w="0" w:type="dxa"/>
          </w:tblCellMar>
        </w:tblPrEx>
        <w:trPr>
          <w:trHeight w:val="626"/>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lang w:val="en-GB"/>
              </w:rPr>
            </w:pPr>
            <w:r w:rsidRPr="00100BF5">
              <w:rPr>
                <w:b/>
                <w:sz w:val="16"/>
                <w:lang w:val="en-GB"/>
              </w:rPr>
              <w:t>Fair Value through Profit and Loss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 xml:space="preserve">Trading Portfolio Assets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Trading Portfolio Liabilities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Net</w:t>
            </w:r>
          </w:p>
          <w:p w:rsidR="00A12DCA" w:rsidRPr="00100BF5" w:rsidRDefault="00A12DCA">
            <w:pPr>
              <w:jc w:val="right"/>
              <w:rPr>
                <w:b/>
                <w:sz w:val="16"/>
                <w:lang w:val="en-GB"/>
              </w:rPr>
            </w:pPr>
            <w:r w:rsidRPr="00100BF5">
              <w:rPr>
                <w:b/>
                <w:sz w:val="16"/>
                <w:lang w:val="en-GB"/>
              </w:rPr>
              <w:t xml:space="preserve"> 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b/>
                <w:sz w:val="16"/>
                <w:lang w:val="en-GB"/>
              </w:rPr>
              <w:t>Gross Assets</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Gross Liabilities</w:t>
            </w:r>
            <w:r w:rsidRPr="00100BF5">
              <w:rPr>
                <w:b/>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lang w:val="en-GB"/>
              </w:rPr>
            </w:pPr>
            <w:r w:rsidRPr="00100BF5">
              <w:rPr>
                <w:b/>
                <w:sz w:val="16"/>
                <w:lang w:val="en-GB"/>
              </w:rPr>
              <w:t>Cash Collateral</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Net Derivatives</w:t>
            </w:r>
          </w:p>
        </w:tc>
        <w:tc>
          <w:tcPr>
            <w:tcW w:w="930"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Total</w:t>
            </w:r>
          </w:p>
          <w:p w:rsidR="00A12DCA" w:rsidRPr="00100BF5" w:rsidRDefault="00A12DCA">
            <w:pPr>
              <w:jc w:val="right"/>
              <w:rPr>
                <w:b/>
                <w:sz w:val="16"/>
                <w:lang w:val="en-GB"/>
              </w:rPr>
            </w:pPr>
            <w:r w:rsidRPr="00100BF5">
              <w:rPr>
                <w:b/>
                <w:sz w:val="16"/>
                <w:lang w:val="en-GB"/>
              </w:rPr>
              <w:t>as at 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Total</w:t>
            </w:r>
          </w:p>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31.12.11</w:t>
            </w:r>
          </w:p>
        </w:tc>
      </w:tr>
      <w:tr w:rsidR="00A12DCA" w:rsidRPr="00100BF5" w:rsidTr="007332DF">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r w:rsidRPr="00100BF5">
              <w:rPr>
                <w:sz w:val="16"/>
                <w:vertAlign w:val="superscript"/>
                <w:lang w:val="en-GB"/>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r>
      <w:tr w:rsidR="00A12DCA" w:rsidRPr="00100BF5" w:rsidTr="007332DF">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2,411 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(2,102)</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309 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1,293 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(1,004)</w:t>
            </w:r>
            <w:r w:rsidRPr="00100BF5">
              <w:rPr>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289 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598 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1,144 </w:t>
            </w:r>
          </w:p>
        </w:tc>
      </w:tr>
      <w:tr w:rsidR="00A12DCA" w:rsidRPr="00100BF5" w:rsidTr="007332DF">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163 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(153)</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6,413 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(4,614)</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(1,799)</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119 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129 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456 </w:t>
            </w:r>
          </w:p>
        </w:tc>
      </w:tr>
      <w:tr w:rsidR="00A12DCA" w:rsidRPr="00100BF5" w:rsidTr="007332DF">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122 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(122)</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418 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(246)</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172 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243 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415 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171 </w:t>
            </w:r>
          </w:p>
        </w:tc>
      </w:tr>
      <w:tr w:rsidR="00A12DCA" w:rsidRPr="00100BF5" w:rsidTr="00167BA9">
        <w:tblPrEx>
          <w:tblCellMar>
            <w:top w:w="0" w:type="dxa"/>
            <w:bottom w:w="0" w:type="dxa"/>
          </w:tblCellMar>
        </w:tblPrEx>
        <w:trPr>
          <w:trHeight w:hRule="exact" w:val="109"/>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EA010D">
        <w:tblPrEx>
          <w:tblCellMar>
            <w:top w:w="0" w:type="dxa"/>
            <w:bottom w:w="0" w:type="dxa"/>
          </w:tblCellMar>
        </w:tblPrEx>
        <w:trPr>
          <w:trHeight w:val="215"/>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b/>
                <w:sz w:val="16"/>
                <w:lang w:val="en-GB"/>
              </w:rPr>
              <w:t>Total</w:t>
            </w:r>
          </w:p>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31.12.11</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Fair Value through Equity</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lang w:val="en-GB"/>
              </w:rPr>
            </w:pPr>
            <w:r w:rsidRPr="00100BF5">
              <w:rPr>
                <w:b/>
                <w:sz w:val="16"/>
                <w:lang w:val="en-GB"/>
              </w:rPr>
              <w:t>Available for Sale Assets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b/>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b/>
                <w:sz w:val="16"/>
                <w:lang w:val="en-GB"/>
              </w:rPr>
              <w:t>Cost</w:t>
            </w:r>
            <w:r w:rsidRPr="00100BF5">
              <w:rPr>
                <w:b/>
                <w:sz w:val="16"/>
                <w:vertAlign w:val="superscript"/>
                <w:lang w:val="en-GB"/>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b/>
                <w:sz w:val="16"/>
                <w:vertAlign w:val="superscript"/>
                <w:lang w:val="en-GB"/>
              </w:rPr>
            </w:pPr>
            <w:r w:rsidRPr="00100BF5">
              <w:rPr>
                <w:b/>
                <w:sz w:val="16"/>
                <w:lang w:val="en-GB"/>
              </w:rPr>
              <w:t>AFS Reserve</w:t>
            </w:r>
          </w:p>
        </w:tc>
        <w:tc>
          <w:tcPr>
            <w:tcW w:w="163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b/>
                <w:sz w:val="16"/>
                <w:lang w:val="en-GB"/>
              </w:rPr>
            </w:pPr>
            <w:r w:rsidRPr="00100BF5">
              <w:rPr>
                <w:b/>
                <w:sz w:val="16"/>
                <w:lang w:val="en-GB"/>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p>
        </w:tc>
      </w:tr>
      <w:tr w:rsidR="00A12DCA" w:rsidRPr="00100BF5" w:rsidTr="006926BB">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42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r w:rsidRPr="00100BF5">
              <w:rPr>
                <w:sz w:val="16"/>
                <w:vertAlign w:val="superscript"/>
                <w:lang w:val="en-GB"/>
              </w:rPr>
              <w:t xml:space="preserve"> </w:t>
            </w:r>
          </w:p>
        </w:tc>
        <w:tc>
          <w:tcPr>
            <w:tcW w:w="17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£m </w:t>
            </w:r>
          </w:p>
        </w:tc>
        <w:tc>
          <w:tcPr>
            <w:tcW w:w="163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£m</w:t>
            </w:r>
          </w:p>
        </w:tc>
      </w:tr>
      <w:tr w:rsidR="00A12DCA" w:rsidRPr="00100BF5" w:rsidTr="006926BB">
        <w:tblPrEx>
          <w:tblCellMar>
            <w:top w:w="0" w:type="dxa"/>
            <w:bottom w:w="0" w:type="dxa"/>
          </w:tblCellMar>
        </w:tblPrEx>
        <w:trPr>
          <w:trHeight w:val="240"/>
        </w:trPr>
        <w:tc>
          <w:tcPr>
            <w:tcW w:w="231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Sovereign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lang w:val="en-GB"/>
              </w:rPr>
            </w:pPr>
            <w:r w:rsidRPr="00100BF5">
              <w:rPr>
                <w:sz w:val="16"/>
                <w:lang w:val="en-GB"/>
              </w:rPr>
              <w:t xml:space="preserve"> 2,0</w:t>
            </w:r>
            <w:r w:rsidR="007A2656" w:rsidRPr="00100BF5">
              <w:rPr>
                <w:sz w:val="16"/>
                <w:lang w:val="en-GB"/>
              </w:rPr>
              <w:t>20</w:t>
            </w:r>
            <w:r w:rsidRPr="00100BF5">
              <w:rPr>
                <w:sz w:val="16"/>
                <w:lang w:val="en-GB"/>
              </w:rPr>
              <w:t> </w:t>
            </w:r>
            <w:r w:rsidRPr="00100BF5">
              <w:rPr>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(80)</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7A2656" w:rsidP="007332DF">
            <w:pPr>
              <w:jc w:val="right"/>
              <w:rPr>
                <w:sz w:val="16"/>
                <w:lang w:val="en-GB"/>
              </w:rPr>
            </w:pPr>
            <w:r w:rsidRPr="00100BF5">
              <w:rPr>
                <w:sz w:val="16"/>
                <w:lang w:val="en-GB"/>
              </w:rPr>
              <w:t>1,940</w:t>
            </w:r>
            <w:r w:rsidR="00A12DCA" w:rsidRPr="00100BF5">
              <w:rPr>
                <w:sz w:val="16"/>
                <w:lang w:val="en-GB"/>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2,334 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7A2656" w:rsidP="007332DF">
            <w:pPr>
              <w:jc w:val="right"/>
              <w:rPr>
                <w:sz w:val="16"/>
                <w:lang w:val="en-GB"/>
              </w:rPr>
            </w:pPr>
            <w:r w:rsidRPr="00100BF5">
              <w:rPr>
                <w:sz w:val="16"/>
                <w:lang w:val="en-GB"/>
              </w:rPr>
              <w:t xml:space="preserve"> 132</w:t>
            </w:r>
            <w:r w:rsidR="00A12DCA" w:rsidRPr="00100BF5">
              <w:rPr>
                <w:sz w:val="16"/>
                <w:lang w:val="en-GB"/>
              </w:rPr>
              <w:t> </w:t>
            </w:r>
            <w:r w:rsidR="00A12DCA"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(5)</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A2656">
            <w:pPr>
              <w:jc w:val="right"/>
              <w:rPr>
                <w:sz w:val="16"/>
                <w:lang w:val="en-GB"/>
              </w:rPr>
            </w:pPr>
            <w:r w:rsidRPr="00100BF5">
              <w:rPr>
                <w:sz w:val="16"/>
                <w:lang w:val="en-GB"/>
              </w:rPr>
              <w:t xml:space="preserve"> 1</w:t>
            </w:r>
            <w:r w:rsidR="007A2656" w:rsidRPr="00100BF5">
              <w:rPr>
                <w:sz w:val="16"/>
                <w:lang w:val="en-GB"/>
              </w:rPr>
              <w:t>27</w:t>
            </w:r>
            <w:r w:rsidRPr="00100BF5">
              <w:rPr>
                <w:sz w:val="16"/>
                <w:lang w:val="en-GB"/>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138 </w:t>
            </w:r>
          </w:p>
        </w:tc>
      </w:tr>
      <w:tr w:rsidR="00A12DCA" w:rsidRPr="00100BF5" w:rsidTr="007332DF">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A2656">
            <w:pPr>
              <w:jc w:val="right"/>
              <w:rPr>
                <w:sz w:val="16"/>
                <w:lang w:val="en-GB"/>
              </w:rPr>
            </w:pPr>
            <w:r w:rsidRPr="00100BF5">
              <w:rPr>
                <w:sz w:val="16"/>
                <w:lang w:val="en-GB"/>
              </w:rPr>
              <w:t xml:space="preserve"> 2</w:t>
            </w:r>
            <w:r w:rsidR="007A2656" w:rsidRPr="00100BF5">
              <w:rPr>
                <w:sz w:val="16"/>
                <w:lang w:val="en-GB"/>
              </w:rPr>
              <w:t>9</w:t>
            </w:r>
            <w:r w:rsidRPr="00100BF5">
              <w:rPr>
                <w:sz w:val="16"/>
                <w:lang w:val="en-GB"/>
              </w:rPr>
              <w:t>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7A2656" w:rsidP="007332DF">
            <w:pPr>
              <w:jc w:val="right"/>
              <w:rPr>
                <w:sz w:val="16"/>
                <w:lang w:val="en-GB"/>
              </w:rPr>
            </w:pPr>
            <w:r w:rsidRPr="00100BF5">
              <w:rPr>
                <w:sz w:val="16"/>
                <w:lang w:val="en-GB"/>
              </w:rPr>
              <w:t>30</w:t>
            </w:r>
            <w:r w:rsidR="00A12DCA" w:rsidRPr="00100BF5">
              <w:rPr>
                <w:sz w:val="16"/>
                <w:lang w:val="en-GB"/>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27 </w:t>
            </w:r>
          </w:p>
        </w:tc>
      </w:tr>
      <w:tr w:rsidR="00A12DCA" w:rsidRPr="00100BF5" w:rsidTr="00167BA9">
        <w:tblPrEx>
          <w:tblCellMar>
            <w:top w:w="0" w:type="dxa"/>
            <w:bottom w:w="0" w:type="dxa"/>
          </w:tblCellMar>
        </w:tblPrEx>
        <w:trPr>
          <w:trHeight w:hRule="exact" w:val="136"/>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EA010D">
        <w:tblPrEx>
          <w:tblCellMar>
            <w:top w:w="0" w:type="dxa"/>
            <w:bottom w:w="0" w:type="dxa"/>
          </w:tblCellMar>
        </w:tblPrEx>
        <w:trPr>
          <w:trHeight w:val="74"/>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b/>
                <w:sz w:val="16"/>
                <w:lang w:val="en-GB"/>
              </w:rPr>
              <w:t>Total</w:t>
            </w:r>
          </w:p>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31.12.11</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Held at Amortised Cost</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4830" w:type="dxa"/>
            <w:gridSpan w:val="6"/>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lang w:val="en-GB"/>
              </w:rPr>
            </w:pPr>
            <w:r w:rsidRPr="00100BF5">
              <w:rPr>
                <w:b/>
                <w:sz w:val="16"/>
                <w:lang w:val="en-GB"/>
              </w:rPr>
              <w:t>Loans and Advances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b/>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lang w:val="en-GB"/>
              </w:rPr>
            </w:pPr>
          </w:p>
        </w:tc>
      </w:tr>
      <w:tr w:rsidR="00A12DCA" w:rsidRPr="00100BF5">
        <w:tblPrEx>
          <w:tblCellMar>
            <w:top w:w="0" w:type="dxa"/>
            <w:bottom w:w="0" w:type="dxa"/>
          </w:tblCellMar>
        </w:tblPrEx>
        <w:trPr>
          <w:trHeight w:val="48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b/>
                <w:sz w:val="16"/>
                <w:lang w:val="en-GB"/>
              </w:rPr>
              <w:t xml:space="preserve">Gross </w:t>
            </w:r>
            <w:r w:rsidRPr="00100BF5">
              <w:rPr>
                <w:b/>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lang w:val="en-GB"/>
              </w:rPr>
            </w:pPr>
            <w:r w:rsidRPr="00100BF5">
              <w:rPr>
                <w:b/>
                <w:sz w:val="16"/>
                <w:lang w:val="en-GB"/>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Impairment Allowances</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b/>
                <w:sz w:val="16"/>
                <w:lang w:val="en-GB"/>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p>
        </w:tc>
      </w:tr>
      <w:tr w:rsidR="00A12DCA" w:rsidRPr="00100BF5" w:rsidTr="007332DF">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r w:rsidRPr="00100BF5">
              <w:rPr>
                <w:sz w:val="16"/>
                <w:vertAlign w:val="superscript"/>
                <w:lang w:val="en-GB"/>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£m </w:t>
            </w:r>
          </w:p>
        </w:tc>
      </w:tr>
      <w:tr w:rsidR="00A12DCA" w:rsidRPr="00100BF5" w:rsidTr="007332DF">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13 </w:t>
            </w:r>
            <w:r w:rsidRPr="00100BF5">
              <w:rPr>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15 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14 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75 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15,542 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(95)</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15,447 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15,934 </w:t>
            </w:r>
          </w:p>
        </w:tc>
      </w:tr>
      <w:tr w:rsidR="00A12DCA" w:rsidRPr="00100BF5" w:rsidTr="007332DF">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2,210 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(155)</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2,055 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2,720 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2,325 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(191)</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2,134 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2,335 </w:t>
            </w:r>
          </w:p>
        </w:tc>
      </w:tr>
      <w:tr w:rsidR="00A12DCA" w:rsidRPr="00100BF5" w:rsidTr="007332DF">
        <w:tblPrEx>
          <w:tblCellMar>
            <w:top w:w="0" w:type="dxa"/>
            <w:bottom w:w="0" w:type="dxa"/>
          </w:tblCellMar>
        </w:tblPrEx>
        <w:trPr>
          <w:trHeight w:hRule="exact" w:val="115"/>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lang w:val="en-GB"/>
              </w:rPr>
            </w:pPr>
            <w:r w:rsidRPr="00100BF5">
              <w:rPr>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sz w:val="16"/>
                <w:lang w:val="en-GB"/>
              </w:rPr>
              <w:t xml:space="preserve">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lang w:val="en-GB"/>
              </w:rPr>
            </w:pPr>
            <w:r w:rsidRPr="00100BF5">
              <w:rPr>
                <w:b/>
                <w:sz w:val="16"/>
                <w:lang w:val="en-GB"/>
              </w:rPr>
              <w:t>Total</w:t>
            </w:r>
          </w:p>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Total</w:t>
            </w:r>
          </w:p>
          <w:p w:rsidR="00A12DCA" w:rsidRPr="00100BF5" w:rsidRDefault="00A12DCA">
            <w:pPr>
              <w:jc w:val="right"/>
              <w:rPr>
                <w:b/>
                <w:sz w:val="16"/>
                <w:lang w:val="en-GB"/>
              </w:rPr>
            </w:pPr>
            <w:r w:rsidRPr="00100BF5">
              <w:rPr>
                <w:b/>
                <w:sz w:val="16"/>
                <w:lang w:val="en-GB"/>
              </w:rPr>
              <w:t>as at</w:t>
            </w:r>
          </w:p>
          <w:p w:rsidR="00A12DCA" w:rsidRPr="00100BF5" w:rsidRDefault="00A12DCA">
            <w:pPr>
              <w:jc w:val="right"/>
              <w:rPr>
                <w:b/>
                <w:sz w:val="16"/>
                <w:lang w:val="en-GB"/>
              </w:rPr>
            </w:pPr>
            <w:r w:rsidRPr="00100BF5">
              <w:rPr>
                <w:b/>
                <w:sz w:val="16"/>
                <w:lang w:val="en-GB"/>
              </w:rPr>
              <w:t>31.12.11</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lang w:val="en-GB"/>
              </w:rPr>
            </w:pPr>
            <w:r w:rsidRPr="00100BF5">
              <w:rPr>
                <w:b/>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p>
        </w:tc>
      </w:tr>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lang w:val="en-GB"/>
              </w:rPr>
            </w:pPr>
            <w:r w:rsidRPr="00100BF5">
              <w:rPr>
                <w:b/>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p>
        </w:tc>
      </w:tr>
      <w:tr w:rsidR="00A12DCA" w:rsidRPr="00100BF5" w:rsidTr="007332DF">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9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 xml:space="preserve"> </w:t>
            </w:r>
          </w:p>
        </w:tc>
        <w:tc>
          <w:tcPr>
            <w:tcW w:w="18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b/>
                <w:sz w:val="16"/>
                <w:lang w:val="en-GB"/>
              </w:rPr>
            </w:pPr>
            <w:r w:rsidRPr="00100BF5">
              <w:rPr>
                <w:rFonts w:ascii="Arial" w:eastAsia="Arial" w:hAnsi="Arial" w:cs="Arial"/>
                <w:sz w:val="20"/>
                <w:lang w:val="en-GB"/>
              </w:rPr>
              <w:t xml:space="preserve"> </w:t>
            </w:r>
          </w:p>
        </w:tc>
        <w:tc>
          <w:tcPr>
            <w:tcW w:w="615"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sz w:val="16"/>
                <w:lang w:val="en-GB"/>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vertAlign w:val="superscript"/>
                <w:lang w:val="en-GB"/>
              </w:rPr>
            </w:pPr>
            <w:r w:rsidRPr="00100BF5">
              <w:rPr>
                <w:sz w:val="16"/>
                <w:lang w:val="en-GB"/>
              </w:rPr>
              <w:t xml:space="preserve"> </w:t>
            </w:r>
          </w:p>
        </w:tc>
        <w:tc>
          <w:tcPr>
            <w:tcW w:w="96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93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lang w:val="en-GB"/>
              </w:rPr>
            </w:pPr>
            <w:r w:rsidRPr="00100BF5">
              <w:rPr>
                <w:sz w:val="16"/>
                <w:lang w:val="en-GB"/>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b/>
                <w:sz w:val="16"/>
                <w:lang w:val="en-GB"/>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b/>
                <w:sz w:val="16"/>
                <w:lang w:val="en-GB"/>
              </w:rPr>
            </w:pPr>
            <w:r w:rsidRPr="00100BF5">
              <w:rPr>
                <w:b/>
                <w:sz w:val="16"/>
                <w:lang w:val="en-GB"/>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7332DF">
            <w:pPr>
              <w:jc w:val="right"/>
              <w:rPr>
                <w:b/>
                <w:sz w:val="16"/>
                <w:lang w:val="en-GB"/>
              </w:rPr>
            </w:pPr>
            <w:r w:rsidRPr="00100BF5">
              <w:rPr>
                <w:b/>
                <w:sz w:val="16"/>
                <w:lang w:val="en-GB"/>
              </w:rPr>
              <w:t>£m</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13 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17 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Residential mortgages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60 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101 </w:t>
            </w:r>
          </w:p>
        </w:tc>
      </w:tr>
      <w:tr w:rsidR="00A12DCA" w:rsidRPr="00100BF5" w:rsidTr="007332DF">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1,668 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2,034 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r w:rsidRPr="00100BF5">
              <w:rPr>
                <w:rFonts w:ascii="Arial" w:eastAsia="Arial" w:hAnsi="Arial" w:cs="Arial"/>
                <w:sz w:val="20"/>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lang w:val="en-GB"/>
              </w:rPr>
            </w:pPr>
            <w:r w:rsidRPr="00100BF5">
              <w:rPr>
                <w:rFonts w:ascii="Arial" w:eastAsia="Arial" w:hAnsi="Arial" w:cs="Arial"/>
                <w:sz w:val="20"/>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7332DF">
            <w:pPr>
              <w:jc w:val="right"/>
              <w:rPr>
                <w:rFonts w:ascii="Arial" w:eastAsia="Arial" w:hAnsi="Arial" w:cs="Arial"/>
                <w:sz w:val="20"/>
                <w:lang w:val="en-GB"/>
              </w:rPr>
            </w:pPr>
            <w:r w:rsidRPr="00100BF5">
              <w:rPr>
                <w:sz w:val="16"/>
                <w:lang w:val="en-GB"/>
              </w:rPr>
              <w:t xml:space="preserve"> 875 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7332DF">
            <w:pPr>
              <w:jc w:val="right"/>
              <w:rPr>
                <w:sz w:val="16"/>
                <w:lang w:val="en-GB"/>
              </w:rPr>
            </w:pPr>
            <w:r w:rsidRPr="00100BF5">
              <w:rPr>
                <w:rFonts w:ascii="Arial" w:eastAsia="Arial" w:hAnsi="Arial" w:cs="Arial"/>
                <w:sz w:val="20"/>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C02DB6" w:rsidP="00C02DB6">
            <w:pPr>
              <w:jc w:val="right"/>
              <w:rPr>
                <w:rFonts w:eastAsia="Arial" w:cs="Arial"/>
                <w:sz w:val="16"/>
                <w:szCs w:val="16"/>
              </w:rPr>
            </w:pPr>
            <w:r>
              <w:rPr>
                <w:sz w:val="16"/>
                <w:lang w:val="en-GB"/>
              </w:rPr>
              <w:t>988</w:t>
            </w:r>
            <w:r w:rsidRPr="00100BF5">
              <w:rPr>
                <w:sz w:val="16"/>
                <w:lang w:val="en-GB"/>
              </w:rPr>
              <w:t> </w:t>
            </w:r>
          </w:p>
        </w:tc>
      </w:tr>
    </w:tbl>
    <w:p w:rsidR="001F0BC8" w:rsidRPr="00100BF5" w:rsidRDefault="001F0BC8" w:rsidP="001F0BC8">
      <w:pPr>
        <w:pStyle w:val="NoteandSourceText-BarcRA12"/>
        <w:numPr>
          <w:ilvl w:val="0"/>
          <w:numId w:val="0"/>
        </w:numPr>
        <w:tabs>
          <w:tab w:val="clear" w:pos="284"/>
        </w:tabs>
        <w:rPr>
          <w:sz w:val="2"/>
          <w:szCs w:val="2"/>
        </w:rPr>
      </w:pPr>
    </w:p>
    <w:p w:rsidR="001F0BC8" w:rsidRPr="00100BF5" w:rsidRDefault="001F0BC8" w:rsidP="001F0BC8">
      <w:pPr>
        <w:pStyle w:val="NoteandSourceText-BarcRA12"/>
        <w:numPr>
          <w:ilvl w:val="0"/>
          <w:numId w:val="0"/>
        </w:numPr>
        <w:tabs>
          <w:tab w:val="clear" w:pos="284"/>
        </w:tabs>
        <w:rPr>
          <w:sz w:val="2"/>
          <w:szCs w:val="2"/>
        </w:rPr>
      </w:pPr>
    </w:p>
    <w:p w:rsidR="001F0BC8" w:rsidRDefault="001F0BC8" w:rsidP="001F0BC8">
      <w:pPr>
        <w:pStyle w:val="NoteandSourceText-BarcRA12"/>
        <w:numPr>
          <w:ilvl w:val="0"/>
          <w:numId w:val="0"/>
        </w:numPr>
        <w:tabs>
          <w:tab w:val="clear" w:pos="284"/>
        </w:tabs>
        <w:rPr>
          <w:sz w:val="2"/>
          <w:szCs w:val="2"/>
        </w:rPr>
      </w:pPr>
    </w:p>
    <w:p w:rsidR="00FB0640" w:rsidRDefault="00FB0640" w:rsidP="001F0BC8">
      <w:pPr>
        <w:pStyle w:val="NoteandSourceText-BarcRA12"/>
        <w:numPr>
          <w:ilvl w:val="0"/>
          <w:numId w:val="0"/>
        </w:numPr>
        <w:tabs>
          <w:tab w:val="clear" w:pos="284"/>
        </w:tabs>
        <w:rPr>
          <w:sz w:val="2"/>
          <w:szCs w:val="2"/>
        </w:rPr>
      </w:pPr>
    </w:p>
    <w:p w:rsidR="00FB0640" w:rsidRDefault="00FB0640" w:rsidP="001F0BC8">
      <w:pPr>
        <w:pStyle w:val="NoteandSourceText-BarcRA12"/>
        <w:numPr>
          <w:ilvl w:val="0"/>
          <w:numId w:val="0"/>
        </w:numPr>
        <w:tabs>
          <w:tab w:val="clear" w:pos="284"/>
        </w:tabs>
        <w:rPr>
          <w:sz w:val="2"/>
          <w:szCs w:val="2"/>
        </w:rPr>
      </w:pPr>
    </w:p>
    <w:p w:rsidR="00FB0640" w:rsidRDefault="00FB0640" w:rsidP="001F0BC8">
      <w:pPr>
        <w:pStyle w:val="NoteandSourceText-BarcRA12"/>
        <w:numPr>
          <w:ilvl w:val="0"/>
          <w:numId w:val="0"/>
        </w:numPr>
        <w:tabs>
          <w:tab w:val="clear" w:pos="284"/>
        </w:tabs>
        <w:rPr>
          <w:sz w:val="2"/>
          <w:szCs w:val="2"/>
        </w:rPr>
      </w:pPr>
    </w:p>
    <w:p w:rsidR="00FB0640" w:rsidRPr="00100BF5" w:rsidRDefault="00FB0640" w:rsidP="001F0BC8">
      <w:pPr>
        <w:pStyle w:val="NoteandSourceText-BarcRA12"/>
        <w:numPr>
          <w:ilvl w:val="0"/>
          <w:numId w:val="0"/>
        </w:numPr>
        <w:tabs>
          <w:tab w:val="clear" w:pos="284"/>
        </w:tabs>
        <w:rPr>
          <w:sz w:val="2"/>
          <w:szCs w:val="2"/>
        </w:rPr>
      </w:pPr>
    </w:p>
    <w:p w:rsidR="001F0BC8" w:rsidRPr="00100BF5" w:rsidRDefault="001F0BC8" w:rsidP="001F0BC8">
      <w:pPr>
        <w:pStyle w:val="NoteandSourceText-BarcRA12"/>
        <w:numPr>
          <w:ilvl w:val="0"/>
          <w:numId w:val="0"/>
        </w:numPr>
        <w:tabs>
          <w:tab w:val="clear" w:pos="284"/>
        </w:tabs>
        <w:rPr>
          <w:sz w:val="2"/>
          <w:szCs w:val="2"/>
        </w:rPr>
      </w:pPr>
    </w:p>
    <w:p w:rsidR="00167BA9" w:rsidRPr="00100BF5" w:rsidRDefault="00167BA9" w:rsidP="00167BA9">
      <w:pPr>
        <w:pStyle w:val="NoteandSourceText-BarcRA12"/>
        <w:tabs>
          <w:tab w:val="clear" w:pos="284"/>
        </w:tabs>
        <w:ind w:left="284" w:hanging="284"/>
      </w:pPr>
      <w:r w:rsidRPr="00100BF5">
        <w:t xml:space="preserve">‘Cost’ refers to the fair value of the asset at recognition, less any impairment booked. ‘AFS Reserve’ is the cumulative fair value gain or loss on the assets that is held in equity. ‘Total’ is the fair value of the assets at the balance sheet date. </w:t>
      </w:r>
    </w:p>
    <w:p w:rsidR="00351861" w:rsidRDefault="00351861" w:rsidP="00351861">
      <w:pPr>
        <w:pStyle w:val="HeadingLevel1-BarcRA"/>
      </w:pPr>
      <w:r>
        <w:rPr>
          <w:b w:val="0"/>
          <w:lang w:val="en-GB"/>
        </w:rPr>
        <w:br w:type="page"/>
      </w:r>
      <w:r>
        <w:t>Credit Risk</w:t>
      </w:r>
    </w:p>
    <w:p w:rsidR="00A12DCA" w:rsidRPr="00100BF5" w:rsidRDefault="00167BA9" w:rsidP="00FB0640">
      <w:pPr>
        <w:pStyle w:val="Level1Bullet-BarcRA03"/>
        <w:spacing w:before="0"/>
        <w:rPr>
          <w:b/>
          <w:lang w:val="en-GB"/>
        </w:rPr>
      </w:pPr>
      <w:r w:rsidRPr="00100BF5">
        <w:rPr>
          <w:b/>
          <w:lang w:val="en-GB"/>
        </w:rPr>
        <w:t>S</w:t>
      </w:r>
      <w:r w:rsidR="00A12DCA" w:rsidRPr="00100BF5">
        <w:rPr>
          <w:b/>
          <w:lang w:val="en-GB"/>
        </w:rPr>
        <w:t xml:space="preserve">overeign </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Largely holdings in government bonds held at fair value</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£309m (2011: £566m) trading portfolio and £</w:t>
      </w:r>
      <w:r w:rsidR="007A2656" w:rsidRPr="00100BF5">
        <w:rPr>
          <w:lang w:val="en-GB"/>
        </w:rPr>
        <w:t>1,940</w:t>
      </w:r>
      <w:r w:rsidR="00C02DB6">
        <w:rPr>
          <w:lang w:val="en-GB"/>
        </w:rPr>
        <w:t>m (2011: £2,3</w:t>
      </w:r>
      <w:r w:rsidRPr="00100BF5">
        <w:rPr>
          <w:lang w:val="en-GB"/>
        </w:rPr>
        <w:t>34m) AFS assets with £80m (2011: £123m) cumulative loss held in the AFS reserve</w:t>
      </w:r>
    </w:p>
    <w:p w:rsidR="00A12DCA" w:rsidRPr="00100BF5" w:rsidRDefault="00A12DCA" w:rsidP="006D0086">
      <w:pPr>
        <w:pStyle w:val="Level1Bullet-BarcRA03"/>
        <w:rPr>
          <w:b/>
          <w:lang w:val="en-GB"/>
        </w:rPr>
      </w:pPr>
      <w:r w:rsidRPr="00100BF5">
        <w:rPr>
          <w:b/>
          <w:lang w:val="en-GB"/>
        </w:rPr>
        <w:t xml:space="preserve">Financial institutions </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Predominantly investments in debt securities, including £</w:t>
      </w:r>
      <w:r w:rsidR="007A2656" w:rsidRPr="00100BF5">
        <w:rPr>
          <w:lang w:val="en-GB"/>
        </w:rPr>
        <w:t>127</w:t>
      </w:r>
      <w:r w:rsidRPr="00100BF5">
        <w:rPr>
          <w:lang w:val="en-GB"/>
        </w:rPr>
        <w:t>m (2011: £138m) AFS assets and £10m (2011: £287m) trading portfolio, the majority held by the Investment Bank to support trading and market making activities</w:t>
      </w:r>
    </w:p>
    <w:p w:rsidR="00A12DCA" w:rsidRPr="00100BF5" w:rsidRDefault="00A12DCA" w:rsidP="006D0086">
      <w:pPr>
        <w:pStyle w:val="Level1Bullet-BarcRA03"/>
        <w:rPr>
          <w:b/>
          <w:lang w:val="en-GB"/>
        </w:rPr>
      </w:pPr>
      <w:r w:rsidRPr="00100BF5">
        <w:rPr>
          <w:b/>
          <w:lang w:val="en-GB"/>
        </w:rPr>
        <w:t xml:space="preserve">Residential mortgages </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 xml:space="preserve">Fully </w:t>
      </w:r>
      <w:r w:rsidR="008C1856">
        <w:rPr>
          <w:lang w:val="en-GB"/>
        </w:rPr>
        <w:t>secured on residential property</w:t>
      </w:r>
      <w:r w:rsidRPr="00100BF5">
        <w:rPr>
          <w:lang w:val="en-GB"/>
        </w:rPr>
        <w:t xml:space="preserve"> with average marked to market LTVs of 46.5% (2011: 46.9%)</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90 day ar</w:t>
      </w:r>
      <w:r w:rsidR="00882E4A">
        <w:rPr>
          <w:lang w:val="en-GB"/>
        </w:rPr>
        <w:t xml:space="preserve">rears rates were stable in H1 </w:t>
      </w:r>
      <w:r w:rsidRPr="00100BF5">
        <w:rPr>
          <w:lang w:val="en-GB"/>
        </w:rPr>
        <w:t>12</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The CRL coverage of 23% (2011: 25%) reflects the above</w:t>
      </w:r>
    </w:p>
    <w:p w:rsidR="00A12DCA" w:rsidRPr="00100BF5" w:rsidRDefault="00A12DCA" w:rsidP="006D0086">
      <w:pPr>
        <w:pStyle w:val="Level1Bullet-BarcRA03"/>
        <w:rPr>
          <w:b/>
          <w:lang w:val="en-GB"/>
        </w:rPr>
      </w:pPr>
      <w:r w:rsidRPr="00100BF5">
        <w:rPr>
          <w:b/>
          <w:lang w:val="en-GB"/>
        </w:rPr>
        <w:t xml:space="preserve">Corporate </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Focused on large corporate clients with very limi</w:t>
      </w:r>
      <w:r w:rsidR="000C354E" w:rsidRPr="00100BF5">
        <w:rPr>
          <w:lang w:val="en-GB"/>
        </w:rPr>
        <w:t>ted exposure to property sector</w:t>
      </w:r>
      <w:r w:rsidRPr="00100BF5">
        <w:rPr>
          <w:lang w:val="en-GB"/>
        </w:rPr>
        <w:t xml:space="preserve"> </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Balances in early warning lists bro</w:t>
      </w:r>
      <w:r w:rsidR="000C354E" w:rsidRPr="00100BF5">
        <w:rPr>
          <w:lang w:val="en-GB"/>
        </w:rPr>
        <w:t>adly stable since December 2011</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Majority of exposures categorised as Strong or Satisfactory</w:t>
      </w:r>
    </w:p>
    <w:p w:rsidR="00A12DCA" w:rsidRPr="00100BF5" w:rsidRDefault="00A12DCA" w:rsidP="006D0086">
      <w:pPr>
        <w:pStyle w:val="Level1Bullet-BarcRA03"/>
        <w:rPr>
          <w:b/>
          <w:lang w:val="en-GB"/>
        </w:rPr>
      </w:pPr>
      <w:r w:rsidRPr="00100BF5">
        <w:rPr>
          <w:b/>
          <w:lang w:val="en-GB"/>
        </w:rPr>
        <w:t xml:space="preserve">Other retail lending </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£1,503m (2011: £1,615m) Italian salary advance loans (repayment deducted at source by qualifying employers and Barclays is insured in the event of termination of employment or death). Arrears rates on salary loans improved i</w:t>
      </w:r>
      <w:r w:rsidR="00882E4A">
        <w:rPr>
          <w:lang w:val="en-GB"/>
        </w:rPr>
        <w:t xml:space="preserve">n H1 </w:t>
      </w:r>
      <w:r w:rsidRPr="00100BF5">
        <w:rPr>
          <w:lang w:val="en-GB"/>
        </w:rPr>
        <w:t>12 while charge</w:t>
      </w:r>
      <w:r w:rsidR="00C02DB6">
        <w:rPr>
          <w:lang w:val="en-GB"/>
        </w:rPr>
        <w:t>-</w:t>
      </w:r>
      <w:r w:rsidRPr="00100BF5">
        <w:rPr>
          <w:lang w:val="en-GB"/>
        </w:rPr>
        <w:t>off rates deteriorated in the same period</w:t>
      </w:r>
    </w:p>
    <w:p w:rsidR="00A12DCA" w:rsidRPr="00100BF5" w:rsidRDefault="00A12DCA" w:rsidP="006D0086">
      <w:pPr>
        <w:pStyle w:val="Level2Bullet-BarcRA2"/>
        <w:numPr>
          <w:ilvl w:val="2"/>
          <w:numId w:val="9"/>
        </w:numPr>
        <w:tabs>
          <w:tab w:val="num" w:pos="567"/>
        </w:tabs>
        <w:ind w:left="567" w:hanging="283"/>
        <w:rPr>
          <w:lang w:val="en-GB"/>
        </w:rPr>
      </w:pPr>
      <w:r w:rsidRPr="00100BF5">
        <w:rPr>
          <w:lang w:val="en-GB"/>
        </w:rPr>
        <w:t>£432m (2011: £483m) credit cards and other unsecured loans. While arrears rates have marginally deteriorated, the charge</w:t>
      </w:r>
      <w:r w:rsidR="00C02DB6">
        <w:rPr>
          <w:lang w:val="en-GB"/>
        </w:rPr>
        <w:t>-</w:t>
      </w:r>
      <w:r w:rsidRPr="00100BF5">
        <w:rPr>
          <w:lang w:val="en-GB"/>
        </w:rPr>
        <w:t>off rates have improved within the cards portfolio</w:t>
      </w:r>
    </w:p>
    <w:p w:rsidR="00A12DCA" w:rsidRPr="00100BF5" w:rsidRDefault="00A12DCA" w:rsidP="006D0086">
      <w:pPr>
        <w:pStyle w:val="Level1Bullet-BarcRA03"/>
      </w:pPr>
      <w:r w:rsidRPr="00100BF5">
        <w:rPr>
          <w:b/>
        </w:rPr>
        <w:t>Contingent liabilities and commitments</w:t>
      </w:r>
      <w:r w:rsidRPr="00100BF5">
        <w:t xml:space="preserve"> of £1,668m (2011: £2,034m) to corporate customers and £875m (2011: £988m) principally undrawn credit card lines</w:t>
      </w:r>
    </w:p>
    <w:p w:rsidR="00A12DCA" w:rsidRPr="00100BF5" w:rsidRDefault="00A12DCA" w:rsidP="005F437E">
      <w:pPr>
        <w:pStyle w:val="HeadingLevel1-BarcRA"/>
      </w:pPr>
      <w:r w:rsidRPr="00100BF5">
        <w:br w:type="page"/>
      </w:r>
      <w:r w:rsidR="005F437E">
        <w:t>Credit Risk</w:t>
      </w:r>
    </w:p>
    <w:tbl>
      <w:tblPr>
        <w:tblW w:w="9720" w:type="dxa"/>
        <w:tblLayout w:type="fixed"/>
        <w:tblLook w:val="0000" w:firstRow="0" w:lastRow="0" w:firstColumn="0" w:lastColumn="0" w:noHBand="0" w:noVBand="0"/>
      </w:tblPr>
      <w:tblGrid>
        <w:gridCol w:w="1605"/>
        <w:gridCol w:w="705"/>
        <w:gridCol w:w="795"/>
        <w:gridCol w:w="705"/>
        <w:gridCol w:w="180"/>
        <w:gridCol w:w="615"/>
        <w:gridCol w:w="810"/>
        <w:gridCol w:w="825"/>
        <w:gridCol w:w="960"/>
        <w:gridCol w:w="930"/>
        <w:gridCol w:w="705"/>
        <w:gridCol w:w="180"/>
        <w:gridCol w:w="705"/>
      </w:tblGrid>
      <w:tr w:rsidR="00A12DCA" w:rsidRPr="00100BF5" w:rsidTr="006926BB">
        <w:tblPrEx>
          <w:tblCellMar>
            <w:top w:w="0" w:type="dxa"/>
            <w:bottom w:w="0" w:type="dxa"/>
          </w:tblCellMar>
        </w:tblPrEx>
        <w:trPr>
          <w:trHeight w:val="315"/>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Portugal</w:t>
            </w:r>
          </w:p>
        </w:tc>
        <w:tc>
          <w:tcPr>
            <w:tcW w:w="2205" w:type="dxa"/>
            <w:gridSpan w:val="3"/>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24"/>
              </w:rPr>
            </w:pPr>
            <w:r w:rsidRPr="00100BF5">
              <w:rPr>
                <w:b/>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3210"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Derivatives</w:t>
            </w:r>
          </w:p>
        </w:tc>
        <w:tc>
          <w:tcPr>
            <w:tcW w:w="930"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r>
      <w:tr w:rsidR="00A12DCA" w:rsidRPr="00100BF5" w:rsidTr="00E940CE">
        <w:tblPrEx>
          <w:tblCellMar>
            <w:top w:w="0" w:type="dxa"/>
            <w:bottom w:w="0" w:type="dxa"/>
          </w:tblCellMar>
        </w:tblPrEx>
        <w:trPr>
          <w:trHeight w:val="554"/>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Fair Value through Profit and Loss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Trading Portfolio Assets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Trading Portfolio Liabilities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w:t>
            </w:r>
          </w:p>
          <w:p w:rsidR="00A12DCA" w:rsidRPr="00100BF5" w:rsidRDefault="00A12DCA">
            <w:pPr>
              <w:jc w:val="right"/>
              <w:rPr>
                <w:b/>
                <w:sz w:val="16"/>
              </w:rPr>
            </w:pPr>
            <w:r w:rsidRPr="00100BF5">
              <w:rPr>
                <w:b/>
                <w:sz w:val="16"/>
              </w:rPr>
              <w:t xml:space="preserve"> 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Gross Assets</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Gross Liabilities</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Cash Collateral</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 Derivatives</w:t>
            </w:r>
          </w:p>
        </w:tc>
        <w:tc>
          <w:tcPr>
            <w:tcW w:w="930"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Total </w:t>
            </w:r>
          </w:p>
          <w:p w:rsidR="00A12DCA" w:rsidRPr="00100BF5" w:rsidRDefault="00A12DCA">
            <w:pPr>
              <w:jc w:val="right"/>
              <w:rPr>
                <w:b/>
                <w:sz w:val="16"/>
              </w:rPr>
            </w:pPr>
            <w:r w:rsidRPr="00100BF5">
              <w:rPr>
                <w:b/>
                <w:sz w:val="16"/>
              </w:rPr>
              <w:t>as at 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6926BB">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r>
      <w:tr w:rsidR="00A12DCA" w:rsidRPr="00100BF5" w:rsidTr="006926BB">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64 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(64)</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262 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(262)</w:t>
            </w:r>
            <w:r w:rsidRPr="00100BF5">
              <w:rPr>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69 </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16 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(4)</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12 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293 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(293)</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 </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12 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11 </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47 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(23)</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24 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454 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(212)</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(4)</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238 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262 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328 </w:t>
            </w:r>
          </w:p>
        </w:tc>
      </w:tr>
    </w:tbl>
    <w:p w:rsidR="006926BB" w:rsidRPr="00100BF5" w:rsidRDefault="006926BB"/>
    <w:tbl>
      <w:tblPr>
        <w:tblW w:w="9720" w:type="dxa"/>
        <w:tblLayout w:type="fixed"/>
        <w:tblLook w:val="0000" w:firstRow="0" w:lastRow="0" w:firstColumn="0" w:lastColumn="0" w:noHBand="0" w:noVBand="0"/>
      </w:tblPr>
      <w:tblGrid>
        <w:gridCol w:w="1605"/>
        <w:gridCol w:w="705"/>
        <w:gridCol w:w="795"/>
        <w:gridCol w:w="705"/>
        <w:gridCol w:w="180"/>
        <w:gridCol w:w="615"/>
        <w:gridCol w:w="810"/>
        <w:gridCol w:w="825"/>
        <w:gridCol w:w="960"/>
        <w:gridCol w:w="930"/>
        <w:gridCol w:w="705"/>
        <w:gridCol w:w="180"/>
        <w:gridCol w:w="705"/>
      </w:tblGrid>
      <w:tr w:rsidR="00A12DCA" w:rsidRPr="00100BF5" w:rsidTr="006926BB">
        <w:tblPrEx>
          <w:tblCellMar>
            <w:top w:w="0" w:type="dxa"/>
            <w:bottom w:w="0" w:type="dxa"/>
          </w:tblCellMar>
        </w:tblPrEx>
        <w:trPr>
          <w:trHeight w:hRule="exact" w:val="126"/>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Total </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Fair Value through Equity</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4845" w:type="dxa"/>
            <w:gridSpan w:val="6"/>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Available for Sale Assets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b/>
                <w:sz w:val="16"/>
              </w:rPr>
              <w:t>Cost</w:t>
            </w:r>
            <w:r w:rsidRPr="00100BF5">
              <w:rPr>
                <w:b/>
                <w:sz w:val="16"/>
                <w:vertAlign w:val="superscript"/>
              </w:rPr>
              <w:t>1 </w:t>
            </w:r>
          </w:p>
        </w:tc>
        <w:tc>
          <w:tcPr>
            <w:tcW w:w="178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b/>
                <w:sz w:val="16"/>
                <w:vertAlign w:val="superscript"/>
              </w:rPr>
            </w:pPr>
            <w:r w:rsidRPr="00100BF5">
              <w:rPr>
                <w:b/>
                <w:sz w:val="16"/>
              </w:rPr>
              <w:t>AFS Reserve</w:t>
            </w:r>
          </w:p>
        </w:tc>
        <w:tc>
          <w:tcPr>
            <w:tcW w:w="163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b/>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b/>
                <w:sz w:val="16"/>
              </w:rPr>
            </w:pPr>
            <w:r w:rsidRPr="00100BF5">
              <w:rPr>
                <w:b/>
                <w:sz w:val="16"/>
              </w:rPr>
              <w:t>31.12.11</w:t>
            </w:r>
          </w:p>
        </w:tc>
      </w:tr>
      <w:tr w:rsidR="00A12DCA" w:rsidRPr="00100BF5" w:rsidTr="006926BB">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42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r w:rsidRPr="00100BF5">
              <w:rPr>
                <w:sz w:val="16"/>
                <w:vertAlign w:val="superscript"/>
              </w:rPr>
              <w:t xml:space="preserve"> </w:t>
            </w:r>
          </w:p>
        </w:tc>
        <w:tc>
          <w:tcPr>
            <w:tcW w:w="178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£m </w:t>
            </w:r>
          </w:p>
        </w:tc>
        <w:tc>
          <w:tcPr>
            <w:tcW w:w="1635" w:type="dxa"/>
            <w:gridSpan w:val="2"/>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r>
      <w:tr w:rsidR="00A12DCA" w:rsidRPr="00100BF5" w:rsidTr="006926BB">
        <w:tblPrEx>
          <w:tblCellMar>
            <w:top w:w="0" w:type="dxa"/>
            <w:bottom w:w="0" w:type="dxa"/>
          </w:tblCellMar>
        </w:tblPrEx>
        <w:trPr>
          <w:trHeight w:val="240"/>
        </w:trPr>
        <w:tc>
          <w:tcPr>
            <w:tcW w:w="231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20D21">
            <w:pPr>
              <w:jc w:val="right"/>
              <w:rPr>
                <w:sz w:val="16"/>
              </w:rPr>
            </w:pPr>
            <w:r w:rsidRPr="00100BF5">
              <w:rPr>
                <w:sz w:val="16"/>
              </w:rPr>
              <w:t xml:space="preserve"> </w:t>
            </w:r>
            <w:r w:rsidR="00620D21" w:rsidRPr="00100BF5">
              <w:rPr>
                <w:sz w:val="16"/>
              </w:rPr>
              <w:t>606</w:t>
            </w:r>
            <w:r w:rsidRPr="00100BF5">
              <w:rPr>
                <w:sz w:val="16"/>
              </w:rPr>
              <w:t> </w:t>
            </w:r>
            <w:r w:rsidRPr="00100BF5">
              <w:rPr>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(56)</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20D21">
            <w:pPr>
              <w:jc w:val="right"/>
              <w:rPr>
                <w:sz w:val="16"/>
              </w:rPr>
            </w:pPr>
            <w:r w:rsidRPr="00100BF5">
              <w:rPr>
                <w:sz w:val="16"/>
              </w:rPr>
              <w:t xml:space="preserve"> </w:t>
            </w:r>
            <w:r w:rsidR="00620D21" w:rsidRPr="00100BF5">
              <w:rPr>
                <w:sz w:val="16"/>
              </w:rPr>
              <w:t>550</w:t>
            </w:r>
            <w:r w:rsidRPr="00100BF5">
              <w:rPr>
                <w:sz w:val="16"/>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716 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2 </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536 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534 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677 </w:t>
            </w:r>
          </w:p>
        </w:tc>
      </w:tr>
      <w:tr w:rsidR="00A12DCA" w:rsidRPr="00100BF5" w:rsidTr="006926BB">
        <w:tblPrEx>
          <w:tblCellMar>
            <w:top w:w="0" w:type="dxa"/>
            <w:bottom w:w="0" w:type="dxa"/>
          </w:tblCellMar>
        </w:tblPrEx>
        <w:trPr>
          <w:trHeight w:hRule="exact" w:val="123"/>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27520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6926BB" w:rsidRPr="00100BF5" w:rsidRDefault="006926BB"/>
    <w:p w:rsidR="006926BB" w:rsidRPr="00100BF5" w:rsidRDefault="006926BB"/>
    <w:tbl>
      <w:tblPr>
        <w:tblW w:w="9720" w:type="dxa"/>
        <w:tblLayout w:type="fixed"/>
        <w:tblLook w:val="0000" w:firstRow="0" w:lastRow="0" w:firstColumn="0" w:lastColumn="0" w:noHBand="0" w:noVBand="0"/>
      </w:tblPr>
      <w:tblGrid>
        <w:gridCol w:w="1605"/>
        <w:gridCol w:w="705"/>
        <w:gridCol w:w="795"/>
        <w:gridCol w:w="705"/>
        <w:gridCol w:w="180"/>
        <w:gridCol w:w="615"/>
        <w:gridCol w:w="810"/>
        <w:gridCol w:w="825"/>
        <w:gridCol w:w="960"/>
        <w:gridCol w:w="930"/>
        <w:gridCol w:w="705"/>
        <w:gridCol w:w="180"/>
        <w:gridCol w:w="705"/>
      </w:tblGrid>
      <w:tr w:rsidR="00A12DCA" w:rsidRPr="00100BF5" w:rsidTr="0027520A">
        <w:tblPrEx>
          <w:tblCellMar>
            <w:top w:w="0" w:type="dxa"/>
            <w:bottom w:w="0" w:type="dxa"/>
          </w:tblCellMar>
        </w:tblPrEx>
        <w:trPr>
          <w:trHeight w:val="74"/>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 xml:space="preserve">Total </w:t>
            </w:r>
          </w:p>
          <w:p w:rsidR="00A12DCA" w:rsidRPr="00100BF5" w:rsidRDefault="00A12DCA">
            <w:pPr>
              <w:jc w:val="right"/>
              <w:rPr>
                <w:b/>
                <w:sz w:val="16"/>
              </w:rPr>
            </w:pPr>
            <w:r w:rsidRPr="00100BF5">
              <w:rPr>
                <w:b/>
                <w:sz w:val="16"/>
              </w:rPr>
              <w:t>as at 31.12.11</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6926BB">
            <w:pPr>
              <w:rPr>
                <w:b/>
                <w:sz w:val="16"/>
              </w:rPr>
            </w:pPr>
            <w:r w:rsidRPr="00100BF5">
              <w:rPr>
                <w:b/>
                <w:sz w:val="16"/>
              </w:rPr>
              <w:t>Held at Amortised Cost</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4845" w:type="dxa"/>
            <w:gridSpan w:val="6"/>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Loans and Advances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p>
        </w:tc>
      </w:tr>
      <w:tr w:rsidR="00A12DCA" w:rsidRPr="00100BF5" w:rsidTr="0027520A">
        <w:tblPrEx>
          <w:tblCellMar>
            <w:top w:w="0" w:type="dxa"/>
            <w:bottom w:w="0" w:type="dxa"/>
          </w:tblCellMar>
        </w:tblPrEx>
        <w:trPr>
          <w:trHeight w:val="40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 xml:space="preserve">Gross </w:t>
            </w:r>
            <w:r w:rsidRPr="00100BF5">
              <w:rPr>
                <w:b/>
                <w:sz w:val="16"/>
                <w:vertAlign w:val="superscript"/>
              </w:rPr>
              <w:t xml:space="preserve"> </w:t>
            </w:r>
          </w:p>
        </w:tc>
        <w:tc>
          <w:tcPr>
            <w:tcW w:w="1785" w:type="dxa"/>
            <w:gridSpan w:val="2"/>
            <w:tcBorders>
              <w:top w:val="single" w:sz="6" w:space="0" w:color="969696"/>
              <w:left w:val="nil"/>
              <w:bottom w:val="nil"/>
              <w:right w:val="nil"/>
            </w:tcBorders>
            <w:shd w:val="clear" w:color="auto" w:fill="FFFFFF"/>
            <w:tcMar>
              <w:left w:w="36" w:type="dxa"/>
              <w:right w:w="36" w:type="dxa"/>
            </w:tcMar>
            <w:vAlign w:val="center"/>
          </w:tcPr>
          <w:p w:rsidR="000C354E" w:rsidRPr="00100BF5" w:rsidRDefault="00A12DCA">
            <w:pPr>
              <w:jc w:val="right"/>
              <w:rPr>
                <w:b/>
                <w:sz w:val="16"/>
              </w:rPr>
            </w:pPr>
            <w:r w:rsidRPr="00100BF5">
              <w:rPr>
                <w:b/>
                <w:sz w:val="16"/>
              </w:rPr>
              <w:t xml:space="preserve">Impairment </w:t>
            </w:r>
          </w:p>
          <w:p w:rsidR="00A12DCA" w:rsidRPr="00100BF5" w:rsidRDefault="00A12DCA">
            <w:pPr>
              <w:jc w:val="right"/>
              <w:rPr>
                <w:b/>
                <w:sz w:val="16"/>
                <w:vertAlign w:val="superscript"/>
              </w:rPr>
            </w:pPr>
            <w:r w:rsidRPr="00100BF5">
              <w:rPr>
                <w:b/>
                <w:sz w:val="16"/>
              </w:rPr>
              <w:t>Allowances</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p>
        </w:tc>
      </w:tr>
      <w:tr w:rsidR="00A12DCA" w:rsidRPr="00100BF5" w:rsidTr="006926BB">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b/>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£m </w:t>
            </w:r>
          </w:p>
        </w:tc>
      </w:tr>
      <w:tr w:rsidR="00A12DCA" w:rsidRPr="00100BF5" w:rsidTr="006926BB">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38 </w:t>
            </w:r>
            <w:r w:rsidRPr="00100BF5">
              <w:rPr>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single" w:sz="6" w:space="0" w:color="808080"/>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38 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25 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31 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31 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38 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3,534 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(24)</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3,510 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3,651 </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1,849 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(230)</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1,619 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2,290 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2,047 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(168)</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sz w:val="16"/>
              </w:rPr>
            </w:pPr>
            <w:r w:rsidRPr="00100BF5">
              <w:rPr>
                <w:sz w:val="16"/>
              </w:rPr>
              <w:t xml:space="preserve"> 1,879 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sz w:val="16"/>
              </w:rPr>
              <w:t xml:space="preserve"> 2,053 </w:t>
            </w:r>
          </w:p>
        </w:tc>
      </w:tr>
      <w:tr w:rsidR="00A12DCA" w:rsidRPr="00100BF5" w:rsidTr="006926BB">
        <w:tblPrEx>
          <w:tblCellMar>
            <w:top w:w="0" w:type="dxa"/>
            <w:bottom w:w="0" w:type="dxa"/>
          </w:tblCellMar>
        </w:tblPrEx>
        <w:trPr>
          <w:trHeight w:hRule="exact" w:val="132"/>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r>
    </w:tbl>
    <w:p w:rsidR="006926BB" w:rsidRPr="00100BF5" w:rsidRDefault="006926BB"/>
    <w:tbl>
      <w:tblPr>
        <w:tblW w:w="9720" w:type="dxa"/>
        <w:tblLayout w:type="fixed"/>
        <w:tblLook w:val="0000" w:firstRow="0" w:lastRow="0" w:firstColumn="0" w:lastColumn="0" w:noHBand="0" w:noVBand="0"/>
      </w:tblPr>
      <w:tblGrid>
        <w:gridCol w:w="1605"/>
        <w:gridCol w:w="705"/>
        <w:gridCol w:w="795"/>
        <w:gridCol w:w="705"/>
        <w:gridCol w:w="180"/>
        <w:gridCol w:w="615"/>
        <w:gridCol w:w="810"/>
        <w:gridCol w:w="825"/>
        <w:gridCol w:w="960"/>
        <w:gridCol w:w="930"/>
        <w:gridCol w:w="705"/>
        <w:gridCol w:w="180"/>
        <w:gridCol w:w="705"/>
      </w:tblGrid>
      <w:tr w:rsidR="00A12DCA" w:rsidRPr="00100BF5" w:rsidTr="0027520A">
        <w:tblPrEx>
          <w:tblCellMar>
            <w:top w:w="0" w:type="dxa"/>
            <w:bottom w:w="0" w:type="dxa"/>
          </w:tblCellMar>
        </w:tblPrEx>
        <w:trPr>
          <w:trHeight w:val="76"/>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6926BB">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rsidTr="006926BB">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rsidTr="006926BB">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9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8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b/>
                <w:sz w:val="16"/>
              </w:rPr>
            </w:pPr>
            <w:r w:rsidRPr="00100BF5">
              <w:rPr>
                <w:rFonts w:ascii="Arial" w:eastAsia="Arial" w:hAnsi="Arial" w:cs="Arial"/>
                <w:sz w:val="20"/>
              </w:rPr>
              <w:t xml:space="preserve"> </w:t>
            </w:r>
          </w:p>
        </w:tc>
        <w:tc>
          <w:tcPr>
            <w:tcW w:w="615"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sz w:val="16"/>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25"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b/>
                <w:sz w:val="16"/>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b/>
                <w:sz w:val="16"/>
              </w:rPr>
            </w:pPr>
            <w:r w:rsidRPr="00100BF5">
              <w:rPr>
                <w:b/>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F615AC">
            <w:pPr>
              <w:jc w:val="right"/>
              <w:rPr>
                <w:b/>
                <w:sz w:val="16"/>
              </w:rPr>
            </w:pPr>
            <w:r w:rsidRPr="00100BF5">
              <w:rPr>
                <w:b/>
                <w:sz w:val="16"/>
              </w:rPr>
              <w:t>£m</w:t>
            </w:r>
          </w:p>
        </w:tc>
      </w:tr>
      <w:tr w:rsidR="00A12DCA" w:rsidRPr="00100BF5" w:rsidTr="006926BB">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180"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sz w:val="16"/>
              </w:rPr>
              <w:t xml:space="preserve"> </w:t>
            </w:r>
          </w:p>
        </w:tc>
        <w:tc>
          <w:tcPr>
            <w:tcW w:w="615"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810"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single" w:sz="6" w:space="0" w:color="808080"/>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single" w:sz="6" w:space="0" w:color="808080"/>
              <w:left w:val="nil"/>
              <w:bottom w:val="nil"/>
              <w:right w:val="nil"/>
            </w:tcBorders>
            <w:shd w:val="clear" w:color="auto" w:fill="EAEAEA"/>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rFonts w:ascii="Arial" w:eastAsia="Arial" w:hAnsi="Arial" w:cs="Arial"/>
                <w:sz w:val="20"/>
              </w:rPr>
              <w:t xml:space="preserve"> </w:t>
            </w:r>
          </w:p>
        </w:tc>
        <w:tc>
          <w:tcPr>
            <w:tcW w:w="705" w:type="dxa"/>
            <w:tcBorders>
              <w:top w:val="single" w:sz="6" w:space="0" w:color="808080"/>
              <w:left w:val="nil"/>
              <w:bottom w:val="nil"/>
              <w:right w:val="nil"/>
            </w:tcBorders>
            <w:shd w:val="clear" w:color="auto" w:fill="FFFFFF"/>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3 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3 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39 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52 </w:t>
            </w:r>
          </w:p>
        </w:tc>
      </w:tr>
      <w:tr w:rsidR="00A12DCA" w:rsidRPr="00100BF5" w:rsidTr="006926BB">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1,240 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1,101 </w:t>
            </w:r>
          </w:p>
        </w:tc>
      </w:tr>
      <w:tr w:rsidR="00A12DCA" w:rsidRPr="00100BF5" w:rsidTr="006926BB">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1,449 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F615AC">
            <w:pPr>
              <w:jc w:val="right"/>
              <w:rPr>
                <w:rFonts w:ascii="Arial" w:eastAsia="Arial" w:hAnsi="Arial" w:cs="Arial"/>
                <w:sz w:val="20"/>
              </w:rPr>
            </w:pPr>
            <w:r w:rsidRPr="00100BF5">
              <w:rPr>
                <w:sz w:val="16"/>
              </w:rPr>
              <w:t xml:space="preserve"> 1,377 </w:t>
            </w:r>
          </w:p>
        </w:tc>
      </w:tr>
    </w:tbl>
    <w:p w:rsidR="00A12DCA" w:rsidRPr="00100BF5" w:rsidRDefault="00A12DCA"/>
    <w:p w:rsidR="00A12DCA" w:rsidRPr="00100BF5" w:rsidRDefault="00A12DCA" w:rsidP="006949F6">
      <w:pPr>
        <w:pStyle w:val="Level1Bullet-BarcRA03"/>
        <w:spacing w:before="160" w:after="160"/>
        <w:rPr>
          <w:b/>
          <w:lang w:val="en-GB"/>
        </w:rPr>
      </w:pPr>
      <w:r w:rsidRPr="00100BF5">
        <w:rPr>
          <w:b/>
          <w:lang w:val="en-GB"/>
        </w:rPr>
        <w:t xml:space="preserve">Sovereign </w:t>
      </w:r>
    </w:p>
    <w:p w:rsidR="00A12DCA" w:rsidRPr="00100BF5" w:rsidRDefault="00A12DCA" w:rsidP="006949F6">
      <w:pPr>
        <w:pStyle w:val="Level2Bullet-BarcRA2"/>
        <w:numPr>
          <w:ilvl w:val="2"/>
          <w:numId w:val="9"/>
        </w:numPr>
        <w:tabs>
          <w:tab w:val="num" w:pos="567"/>
        </w:tabs>
        <w:spacing w:before="160"/>
        <w:ind w:left="568" w:hanging="284"/>
        <w:rPr>
          <w:lang w:val="en-GB"/>
        </w:rPr>
      </w:pPr>
      <w:r w:rsidRPr="00100BF5">
        <w:rPr>
          <w:lang w:val="en-GB"/>
        </w:rPr>
        <w:t xml:space="preserve">Largely AFS government bonds </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No impairment and £56m (2011: £159m) cumulative loss held in the AFS reserve</w:t>
      </w:r>
    </w:p>
    <w:p w:rsidR="00A12DCA" w:rsidRPr="00100BF5" w:rsidRDefault="00A12DCA" w:rsidP="006949F6">
      <w:pPr>
        <w:pStyle w:val="Level1Bullet-BarcRA03"/>
        <w:spacing w:after="160"/>
        <w:rPr>
          <w:b/>
          <w:lang w:val="en-GB"/>
        </w:rPr>
      </w:pPr>
      <w:r w:rsidRPr="00100BF5">
        <w:rPr>
          <w:b/>
          <w:lang w:val="en-GB"/>
        </w:rPr>
        <w:t>Residential mortgages</w:t>
      </w:r>
    </w:p>
    <w:p w:rsidR="00A12DCA" w:rsidRPr="00100BF5" w:rsidRDefault="00A12DCA" w:rsidP="006949F6">
      <w:pPr>
        <w:pStyle w:val="Level2Bullet-BarcRA2"/>
        <w:numPr>
          <w:ilvl w:val="2"/>
          <w:numId w:val="9"/>
        </w:numPr>
        <w:tabs>
          <w:tab w:val="num" w:pos="567"/>
        </w:tabs>
        <w:spacing w:before="160"/>
        <w:ind w:left="568" w:hanging="284"/>
        <w:rPr>
          <w:lang w:val="en-GB"/>
        </w:rPr>
      </w:pPr>
      <w:r w:rsidRPr="00100BF5">
        <w:rPr>
          <w:lang w:val="en-GB"/>
        </w:rPr>
        <w:t>Fully secured on residential property with average marked to market LTVs of 73.1% (2011: 69.6%)</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CRL coverage of 21% (2011: 14%)</w:t>
      </w:r>
    </w:p>
    <w:p w:rsidR="00A12DCA" w:rsidRPr="00100BF5" w:rsidRDefault="00A12DCA" w:rsidP="006949F6">
      <w:pPr>
        <w:pStyle w:val="Level1Bullet-BarcRA03"/>
        <w:spacing w:after="160"/>
        <w:rPr>
          <w:b/>
          <w:lang w:val="en-GB"/>
        </w:rPr>
      </w:pPr>
      <w:r w:rsidRPr="00100BF5">
        <w:rPr>
          <w:b/>
          <w:lang w:val="en-GB"/>
        </w:rPr>
        <w:t>Corporate</w:t>
      </w:r>
    </w:p>
    <w:p w:rsidR="00A12DCA" w:rsidRPr="00100BF5" w:rsidRDefault="00A12DCA" w:rsidP="006949F6">
      <w:pPr>
        <w:pStyle w:val="Level2Bullet-BarcRA2"/>
        <w:numPr>
          <w:ilvl w:val="2"/>
          <w:numId w:val="9"/>
        </w:numPr>
        <w:tabs>
          <w:tab w:val="num" w:pos="567"/>
        </w:tabs>
        <w:spacing w:before="160"/>
        <w:ind w:left="568" w:hanging="284"/>
        <w:rPr>
          <w:lang w:val="en-GB"/>
        </w:rPr>
      </w:pPr>
      <w:r w:rsidRPr="00100BF5">
        <w:rPr>
          <w:lang w:val="en-GB"/>
        </w:rPr>
        <w:t xml:space="preserve">Net loans and advances of £1,619m (2011: £2,290m), which includes exposures to the property and construction sectors of £306m (2011: £541m) secured, in part, on real estate collateral </w:t>
      </w:r>
    </w:p>
    <w:p w:rsidR="00A12DCA" w:rsidRDefault="00A12DCA" w:rsidP="00C31504">
      <w:pPr>
        <w:pStyle w:val="Level2Bullet-BarcRA2"/>
        <w:numPr>
          <w:ilvl w:val="2"/>
          <w:numId w:val="9"/>
        </w:numPr>
        <w:tabs>
          <w:tab w:val="num" w:pos="567"/>
        </w:tabs>
        <w:ind w:left="567" w:hanging="283"/>
        <w:rPr>
          <w:lang w:val="en-GB"/>
        </w:rPr>
      </w:pPr>
      <w:r w:rsidRPr="00100BF5">
        <w:rPr>
          <w:lang w:val="en-GB"/>
        </w:rPr>
        <w:t>CRL coverage of 45% (2011: 44%), reflecting a total of £512m (2011: £443m) CRLs and an impairment allowance of £230m (2011: £194m)</w:t>
      </w:r>
    </w:p>
    <w:p w:rsidR="006949F6" w:rsidRDefault="0027520A" w:rsidP="006949F6">
      <w:pPr>
        <w:pStyle w:val="Level2Bullet-BarcRA2"/>
        <w:numPr>
          <w:ilvl w:val="2"/>
          <w:numId w:val="9"/>
        </w:numPr>
        <w:tabs>
          <w:tab w:val="num" w:pos="567"/>
        </w:tabs>
        <w:spacing w:after="0"/>
        <w:ind w:left="568" w:hanging="284"/>
        <w:rPr>
          <w:lang w:val="en-GB"/>
        </w:rPr>
      </w:pPr>
      <w:r>
        <w:rPr>
          <w:lang w:val="en-GB"/>
        </w:rPr>
        <w:t>Commercial paper of £534m (2011: £677m) held as AFS assets at fair value with identified impairment of £11m (2011: £8m). These assets are typically of short term maturity and, reflecting local business practice, are issued by corporate customers in place of overdraft facilities</w:t>
      </w:r>
    </w:p>
    <w:p w:rsidR="006949F6" w:rsidRDefault="006949F6" w:rsidP="006949F6">
      <w:pPr>
        <w:pStyle w:val="Level2Bullet-BarcRA2"/>
        <w:numPr>
          <w:ilvl w:val="0"/>
          <w:numId w:val="0"/>
        </w:numPr>
        <w:tabs>
          <w:tab w:val="num" w:pos="1401"/>
        </w:tabs>
        <w:spacing w:before="0" w:after="0"/>
        <w:ind w:left="567"/>
        <w:rPr>
          <w:sz w:val="2"/>
          <w:szCs w:val="2"/>
          <w:lang w:val="en-GB"/>
        </w:rPr>
      </w:pPr>
    </w:p>
    <w:p w:rsidR="006949F6" w:rsidRPr="006949F6" w:rsidRDefault="006949F6" w:rsidP="006949F6">
      <w:pPr>
        <w:pStyle w:val="Level2Bullet-BarcRA2"/>
        <w:numPr>
          <w:ilvl w:val="0"/>
          <w:numId w:val="0"/>
        </w:numPr>
        <w:tabs>
          <w:tab w:val="num" w:pos="1401"/>
        </w:tabs>
        <w:spacing w:before="0" w:after="0"/>
        <w:ind w:left="567"/>
        <w:rPr>
          <w:sz w:val="2"/>
          <w:szCs w:val="2"/>
          <w:lang w:val="en-GB"/>
        </w:rPr>
      </w:pPr>
    </w:p>
    <w:p w:rsidR="00A12DCA" w:rsidRPr="00100BF5" w:rsidRDefault="00A12DCA" w:rsidP="00EA010D">
      <w:pPr>
        <w:pStyle w:val="NoteandSourceText-BarcRA13"/>
        <w:tabs>
          <w:tab w:val="clear" w:pos="284"/>
        </w:tabs>
        <w:ind w:left="284" w:hanging="284"/>
      </w:pPr>
      <w:r w:rsidRPr="00100BF5">
        <w:t xml:space="preserve">‘Cost’ refers to the fair value of the asset at recognition, less any impairment booked. ‘AFS Reserve’ is the cumulative fair value gain or loss on the assets that is held in equity. ‘Total’ is the fair value of the assets at the balance sheet date. </w:t>
      </w:r>
    </w:p>
    <w:p w:rsidR="005F437E" w:rsidRDefault="00A12DCA" w:rsidP="005F437E">
      <w:pPr>
        <w:pStyle w:val="HeadingLevel1-BarcRA"/>
      </w:pPr>
      <w:r w:rsidRPr="00100BF5">
        <w:br w:type="page"/>
      </w:r>
      <w:r w:rsidR="005F437E">
        <w:t>Credit Risk</w:t>
      </w:r>
    </w:p>
    <w:p w:rsidR="00A12DCA" w:rsidRPr="00100BF5" w:rsidRDefault="00A12DCA" w:rsidP="00FB0640">
      <w:pPr>
        <w:pStyle w:val="Level1Bullet-BarcRA03"/>
        <w:spacing w:before="0"/>
      </w:pPr>
      <w:r w:rsidRPr="00100BF5">
        <w:rPr>
          <w:b/>
          <w:lang w:val="en-GB"/>
        </w:rPr>
        <w:t>Other retail lending</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 xml:space="preserve">£988m (2011: £1,052m) credit cards and unsecured loans. </w:t>
      </w:r>
      <w:r w:rsidR="008B50A4" w:rsidRPr="00100BF5">
        <w:rPr>
          <w:lang w:val="en-GB"/>
        </w:rPr>
        <w:t>During the first half of 2012, a</w:t>
      </w:r>
      <w:r w:rsidRPr="00100BF5">
        <w:rPr>
          <w:lang w:val="en-GB"/>
        </w:rPr>
        <w:t xml:space="preserve">rrears rates in cards portfolio </w:t>
      </w:r>
      <w:r w:rsidR="008B50A4" w:rsidRPr="00100BF5">
        <w:rPr>
          <w:lang w:val="en-GB"/>
        </w:rPr>
        <w:t>rose while charge</w:t>
      </w:r>
      <w:r w:rsidR="00C02DB6">
        <w:rPr>
          <w:lang w:val="en-GB"/>
        </w:rPr>
        <w:t>-</w:t>
      </w:r>
      <w:r w:rsidR="008B50A4" w:rsidRPr="00100BF5">
        <w:rPr>
          <w:lang w:val="en-GB"/>
        </w:rPr>
        <w:t>off rates improved marginally</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£645m (2011: £739m) of lending to small and medium enterprises, largely secured against commercial property</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 xml:space="preserve">CRL coverage of 65% (2011: 78%) and reflects the level of exposure to credit cards and unsecured loans </w:t>
      </w:r>
    </w:p>
    <w:p w:rsidR="00A12DCA" w:rsidRPr="00100BF5" w:rsidRDefault="00A12DCA" w:rsidP="00C31504">
      <w:pPr>
        <w:pStyle w:val="Level1Bullet-BarcRA03"/>
      </w:pPr>
      <w:r w:rsidRPr="00100BF5">
        <w:rPr>
          <w:b/>
        </w:rPr>
        <w:t>Contingent liabilities and commitments</w:t>
      </w:r>
      <w:r w:rsidRPr="00100BF5">
        <w:t xml:space="preserve"> of £1,240m (2011: £1,101m) to corporate customers and £1,449m (2011: £1,377m) principally undrawn facilities to SME and undrawn credit card lines</w:t>
      </w:r>
    </w:p>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EA010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erif" w:hAnsi="Barclays Serif"/>
                <w:b/>
                <w:sz w:val="20"/>
              </w:rPr>
            </w:pPr>
            <w:r w:rsidRPr="00100BF5">
              <w:rPr>
                <w:b/>
                <w:sz w:val="24"/>
              </w:rPr>
              <w:t>Ireland</w:t>
            </w:r>
            <w:r w:rsidRPr="00100BF5">
              <w:rPr>
                <w:b/>
                <w:sz w:val="24"/>
                <w:vertAlign w:val="superscript"/>
              </w:rPr>
              <w:t xml:space="preserve"> </w:t>
            </w:r>
          </w:p>
        </w:tc>
        <w:tc>
          <w:tcPr>
            <w:tcW w:w="2205" w:type="dxa"/>
            <w:gridSpan w:val="3"/>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24"/>
                <w:vertAlign w:val="superscript"/>
              </w:rPr>
            </w:pPr>
            <w:r w:rsidRPr="00100BF5">
              <w:rPr>
                <w:b/>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3195"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Derivatives</w:t>
            </w:r>
          </w:p>
        </w:tc>
        <w:tc>
          <w:tcPr>
            <w:tcW w:w="930"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r>
      <w:tr w:rsidR="00A12DCA" w:rsidRPr="00100BF5" w:rsidTr="00E940CE">
        <w:tblPrEx>
          <w:tblCellMar>
            <w:top w:w="0" w:type="dxa"/>
            <w:bottom w:w="0" w:type="dxa"/>
          </w:tblCellMar>
        </w:tblPrEx>
        <w:trPr>
          <w:trHeight w:val="567"/>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Fair Value through Profit and Loss</w:t>
            </w:r>
            <w:r w:rsidRPr="00100BF5">
              <w:rPr>
                <w:b/>
                <w:sz w:val="16"/>
                <w:vertAlign w:val="superscript"/>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 xml:space="preserve">Trading Portfolio Assets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Trading Portfolio Liabilities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w:t>
            </w:r>
          </w:p>
          <w:p w:rsidR="00A12DCA" w:rsidRPr="00100BF5" w:rsidRDefault="00A12DCA">
            <w:pPr>
              <w:jc w:val="right"/>
              <w:rPr>
                <w:b/>
                <w:sz w:val="16"/>
              </w:rPr>
            </w:pPr>
            <w:r w:rsidRPr="00100BF5">
              <w:rPr>
                <w:b/>
                <w:sz w:val="16"/>
              </w:rPr>
              <w:t xml:space="preserve"> 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Gross Assets</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Gross Liabilities</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Cash Collateral</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 Derivatives</w:t>
            </w:r>
          </w:p>
        </w:tc>
        <w:tc>
          <w:tcPr>
            <w:tcW w:w="930"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6C1A97">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r>
      <w:tr w:rsidR="00A12DCA" w:rsidRPr="00100BF5" w:rsidTr="006C1A97">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r w:rsidRPr="00100BF5">
              <w:rPr>
                <w:sz w:val="16"/>
                <w:vertAlign w:val="superscript"/>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20 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(20)</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39 </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1,308 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(43)</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1,265 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4,421 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(4,170)</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(251)</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530 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1,795 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1,561 </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119 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(38)</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81 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248 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(77)</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(80)</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91 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66 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238 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52 </w:t>
            </w:r>
          </w:p>
        </w:tc>
      </w:tr>
      <w:tr w:rsidR="00A12DCA" w:rsidRPr="00100BF5" w:rsidTr="00EA010D">
        <w:tblPrEx>
          <w:tblCellMar>
            <w:top w:w="0" w:type="dxa"/>
            <w:bottom w:w="0" w:type="dxa"/>
          </w:tblCellMar>
        </w:tblPrEx>
        <w:trPr>
          <w:trHeight w:hRule="exact" w:val="91"/>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tc>
      </w:tr>
      <w:tr w:rsidR="00A12DCA" w:rsidRPr="00100BF5" w:rsidTr="00EA010D">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Fair Value through Equity</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Available for Sale Assets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as at </w:t>
            </w:r>
          </w:p>
        </w:tc>
      </w:tr>
      <w:tr w:rsidR="00A12DCA" w:rsidRPr="00100BF5" w:rsidTr="00EA010D">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b/>
                <w:sz w:val="16"/>
              </w:rPr>
              <w:t>Cost</w:t>
            </w:r>
            <w:r w:rsidRPr="00100BF5">
              <w:rPr>
                <w:b/>
                <w:sz w:val="16"/>
                <w:vertAlign w:val="superscript"/>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b/>
                <w:sz w:val="16"/>
                <w:vertAlign w:val="superscript"/>
              </w:rPr>
            </w:pPr>
            <w:r w:rsidRPr="00100BF5">
              <w:rPr>
                <w:b/>
                <w:sz w:val="16"/>
              </w:rPr>
              <w:t>AFS Reserve</w:t>
            </w:r>
          </w:p>
        </w:tc>
        <w:tc>
          <w:tcPr>
            <w:tcW w:w="1635"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b/>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b/>
                <w:sz w:val="16"/>
              </w:rPr>
            </w:pPr>
            <w:r w:rsidRPr="00100BF5">
              <w:rPr>
                <w:b/>
                <w:sz w:val="16"/>
              </w:rPr>
              <w:t>31.12.11</w:t>
            </w:r>
          </w:p>
        </w:tc>
      </w:tr>
      <w:tr w:rsidR="00A12DCA" w:rsidRPr="00100BF5" w:rsidTr="00EA010D">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42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r w:rsidRPr="00100BF5">
              <w:rPr>
                <w:sz w:val="16"/>
                <w:vertAlign w:val="superscript"/>
              </w:rPr>
              <w:t xml:space="preserve"> </w:t>
            </w:r>
          </w:p>
        </w:tc>
        <w:tc>
          <w:tcPr>
            <w:tcW w:w="177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£m </w:t>
            </w:r>
          </w:p>
        </w:tc>
        <w:tc>
          <w:tcPr>
            <w:tcW w:w="1635"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r>
      <w:tr w:rsidR="00A12DCA" w:rsidRPr="00100BF5" w:rsidTr="00EA010D">
        <w:tblPrEx>
          <w:tblCellMar>
            <w:top w:w="0" w:type="dxa"/>
            <w:bottom w:w="0" w:type="dxa"/>
          </w:tblCellMar>
        </w:tblPrEx>
        <w:trPr>
          <w:trHeight w:val="240"/>
        </w:trPr>
        <w:tc>
          <w:tcPr>
            <w:tcW w:w="2310" w:type="dxa"/>
            <w:gridSpan w:val="2"/>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20D21">
            <w:pPr>
              <w:jc w:val="right"/>
              <w:rPr>
                <w:sz w:val="16"/>
              </w:rPr>
            </w:pPr>
            <w:r w:rsidRPr="00100BF5">
              <w:rPr>
                <w:sz w:val="16"/>
              </w:rPr>
              <w:t xml:space="preserve"> </w:t>
            </w:r>
            <w:r w:rsidR="00620D21" w:rsidRPr="00100BF5">
              <w:rPr>
                <w:sz w:val="16"/>
              </w:rPr>
              <w:t>216</w:t>
            </w:r>
            <w:r w:rsidRPr="00100BF5">
              <w:rPr>
                <w:sz w:val="16"/>
              </w:rPr>
              <w:t>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(5)</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620D21">
            <w:pPr>
              <w:jc w:val="right"/>
              <w:rPr>
                <w:sz w:val="16"/>
              </w:rPr>
            </w:pPr>
            <w:r w:rsidRPr="00100BF5">
              <w:rPr>
                <w:sz w:val="16"/>
              </w:rPr>
              <w:t xml:space="preserve"> 21</w:t>
            </w:r>
            <w:r w:rsidR="00620D21" w:rsidRPr="00100BF5">
              <w:rPr>
                <w:sz w:val="16"/>
              </w:rPr>
              <w:t>1</w:t>
            </w:r>
            <w:r w:rsidRPr="00100BF5">
              <w:rPr>
                <w:sz w:val="16"/>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205 </w:t>
            </w:r>
          </w:p>
        </w:tc>
      </w:tr>
      <w:tr w:rsidR="00A12DCA" w:rsidRPr="00100BF5" w:rsidTr="00EA010D">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20D21">
            <w:pPr>
              <w:jc w:val="right"/>
              <w:rPr>
                <w:sz w:val="16"/>
              </w:rPr>
            </w:pPr>
            <w:r w:rsidRPr="00100BF5">
              <w:rPr>
                <w:sz w:val="16"/>
              </w:rPr>
              <w:t xml:space="preserve"> </w:t>
            </w:r>
            <w:r w:rsidR="00620D21" w:rsidRPr="00100BF5">
              <w:rPr>
                <w:sz w:val="16"/>
              </w:rPr>
              <w:t>54</w:t>
            </w:r>
            <w:r w:rsidRPr="00100BF5">
              <w:rPr>
                <w:sz w:val="16"/>
              </w:rPr>
              <w:t>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(25)</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620D21" w:rsidP="006C1A97">
            <w:pPr>
              <w:jc w:val="right"/>
              <w:rPr>
                <w:sz w:val="16"/>
              </w:rPr>
            </w:pPr>
            <w:r w:rsidRPr="00100BF5">
              <w:rPr>
                <w:sz w:val="16"/>
              </w:rPr>
              <w:t>29</w:t>
            </w:r>
            <w:r w:rsidR="00A12DCA" w:rsidRPr="00100BF5">
              <w:rPr>
                <w:sz w:val="16"/>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249 </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3 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rsidTr="00EA010D">
        <w:tblPrEx>
          <w:tblCellMar>
            <w:top w:w="0" w:type="dxa"/>
            <w:bottom w:w="0" w:type="dxa"/>
          </w:tblCellMar>
        </w:tblPrEx>
        <w:trPr>
          <w:trHeight w:val="274"/>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p w:rsidR="00A12DCA" w:rsidRPr="00100BF5" w:rsidRDefault="00A12DCA">
            <w:pPr>
              <w:jc w:val="right"/>
              <w:rPr>
                <w:b/>
                <w:sz w:val="16"/>
              </w:rPr>
            </w:pPr>
            <w:r w:rsidRPr="00100BF5">
              <w:rPr>
                <w:b/>
                <w:sz w:val="16"/>
              </w:rPr>
              <w:t>as at 31.12.11</w:t>
            </w:r>
          </w:p>
        </w:tc>
      </w:tr>
      <w:tr w:rsidR="00A12DCA" w:rsidRPr="00100BF5" w:rsidTr="00EA010D">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Held at Amortised Cost</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Loans and Advances as at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p>
        </w:tc>
      </w:tr>
      <w:tr w:rsidR="00A12DCA" w:rsidRPr="00100BF5">
        <w:tblPrEx>
          <w:tblCellMar>
            <w:top w:w="0" w:type="dxa"/>
            <w:bottom w:w="0" w:type="dxa"/>
          </w:tblCellMar>
        </w:tblPrEx>
        <w:trPr>
          <w:trHeight w:val="48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 xml:space="preserve">Gross </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Impairment Allowances</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p>
        </w:tc>
      </w:tr>
      <w:tr w:rsidR="00A12DCA" w:rsidRPr="00100BF5" w:rsidTr="006C1A97">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r>
      <w:tr w:rsidR="00A12DCA" w:rsidRPr="00100BF5" w:rsidTr="006C1A97">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r w:rsidRPr="00100BF5">
              <w:rPr>
                <w:sz w:val="16"/>
                <w:vertAlign w:val="superscript"/>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w:t>
            </w:r>
            <w:r w:rsidR="00AF43F2" w:rsidRPr="00100BF5">
              <w:rPr>
                <w:sz w:val="16"/>
              </w:rPr>
              <w:t>556</w:t>
            </w:r>
            <w:r w:rsidRPr="00100BF5">
              <w:rPr>
                <w:sz w:val="16"/>
              </w:rPr>
              <w:t>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(158)</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single" w:sz="6" w:space="0" w:color="808080"/>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2,</w:t>
            </w:r>
            <w:r w:rsidR="00AF43F2" w:rsidRPr="00100BF5">
              <w:rPr>
                <w:sz w:val="16"/>
              </w:rPr>
              <w:t>398</w:t>
            </w:r>
            <w:r w:rsidRPr="00100BF5">
              <w:rPr>
                <w:sz w:val="16"/>
              </w:rPr>
              <w:t>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2,501 </w:t>
            </w:r>
          </w:p>
        </w:tc>
      </w:tr>
      <w:tr w:rsidR="00A12DCA" w:rsidRPr="00100BF5" w:rsidTr="00EA010D">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99 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(8)</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91 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94 </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F43F2" w:rsidP="006C1A97">
            <w:pPr>
              <w:jc w:val="right"/>
              <w:rPr>
                <w:sz w:val="16"/>
              </w:rPr>
            </w:pPr>
            <w:r w:rsidRPr="00100BF5">
              <w:rPr>
                <w:sz w:val="16"/>
              </w:rPr>
              <w:t xml:space="preserve"> 889</w:t>
            </w:r>
            <w:r w:rsidR="00A12DCA" w:rsidRPr="00100BF5">
              <w:rPr>
                <w:sz w:val="16"/>
              </w:rPr>
              <w:t> </w:t>
            </w:r>
            <w:r w:rsidR="00A12DCA"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(21)</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F43F2" w:rsidP="006C1A97">
            <w:pPr>
              <w:jc w:val="right"/>
              <w:rPr>
                <w:sz w:val="16"/>
              </w:rPr>
            </w:pPr>
            <w:r w:rsidRPr="00100BF5">
              <w:rPr>
                <w:sz w:val="16"/>
              </w:rPr>
              <w:t xml:space="preserve"> 868</w:t>
            </w:r>
            <w:r w:rsidR="00A12DCA" w:rsidRPr="00100BF5">
              <w:rPr>
                <w:sz w:val="16"/>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925 </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105 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sz w:val="16"/>
              </w:rPr>
            </w:pPr>
            <w:r w:rsidRPr="00100BF5">
              <w:rPr>
                <w:sz w:val="16"/>
              </w:rPr>
              <w:t xml:space="preserve"> 105 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86 </w:t>
            </w:r>
          </w:p>
        </w:tc>
      </w:tr>
    </w:tbl>
    <w:p w:rsidR="006926BB" w:rsidRPr="00100BF5" w:rsidRDefault="006926BB"/>
    <w:tbl>
      <w:tblPr>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rsidTr="00EA010D">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rFonts w:ascii="Arial" w:eastAsia="Arial" w:hAnsi="Arial" w:cs="Arial"/>
                <w:sz w:val="20"/>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r>
      <w:tr w:rsidR="00A12DCA" w:rsidRPr="00100BF5" w:rsidTr="006C1A97">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79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18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b/>
                <w:sz w:val="16"/>
              </w:rPr>
            </w:pPr>
            <w:r w:rsidRPr="00100BF5">
              <w:rPr>
                <w:rFonts w:ascii="Arial" w:eastAsia="Arial" w:hAnsi="Arial" w:cs="Arial"/>
                <w:sz w:val="20"/>
              </w:rPr>
              <w:t xml:space="preserve"> </w:t>
            </w:r>
          </w:p>
        </w:tc>
        <w:tc>
          <w:tcPr>
            <w:tcW w:w="615"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sz w:val="16"/>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vertAlign w:val="superscript"/>
              </w:rPr>
            </w:pPr>
            <w:r w:rsidRPr="00100BF5">
              <w:rPr>
                <w:sz w:val="16"/>
              </w:rPr>
              <w:t xml:space="preserve"> </w:t>
            </w:r>
          </w:p>
        </w:tc>
        <w:tc>
          <w:tcPr>
            <w:tcW w:w="96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930" w:type="dxa"/>
            <w:tcBorders>
              <w:top w:val="nil"/>
              <w:left w:val="nil"/>
              <w:bottom w:val="single" w:sz="6" w:space="0" w:color="808080"/>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b/>
                <w:sz w:val="16"/>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b/>
                <w:sz w:val="16"/>
              </w:rPr>
            </w:pPr>
            <w:r w:rsidRPr="00100BF5">
              <w:rPr>
                <w:b/>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12DCA" w:rsidRPr="00100BF5" w:rsidRDefault="00A12DCA" w:rsidP="006C1A97">
            <w:pPr>
              <w:jc w:val="right"/>
              <w:rPr>
                <w:b/>
                <w:sz w:val="16"/>
              </w:rPr>
            </w:pPr>
            <w:r w:rsidRPr="00100BF5">
              <w:rPr>
                <w:b/>
                <w:sz w:val="16"/>
              </w:rPr>
              <w:t>£m</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Financial institutions</w:t>
            </w:r>
            <w:r w:rsidRPr="00100BF5">
              <w:rPr>
                <w:sz w:val="16"/>
                <w:vertAlign w:val="superscript"/>
              </w:rPr>
              <w:t>2 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rFonts w:ascii="Arial" w:eastAsia="Arial" w:hAnsi="Arial" w:cs="Arial"/>
                <w:sz w:val="20"/>
              </w:rPr>
            </w:pPr>
            <w:r w:rsidRPr="00100BF5">
              <w:rPr>
                <w:sz w:val="16"/>
              </w:rPr>
              <w:t xml:space="preserve"> 548 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rFonts w:ascii="Arial" w:eastAsia="Arial" w:hAnsi="Arial" w:cs="Arial"/>
                <w:sz w:val="20"/>
              </w:rPr>
            </w:pPr>
            <w:r w:rsidRPr="00100BF5">
              <w:rPr>
                <w:sz w:val="16"/>
              </w:rPr>
              <w:t xml:space="preserve"> </w:t>
            </w:r>
            <w:r w:rsidR="000C354E" w:rsidRPr="00100BF5">
              <w:rPr>
                <w:sz w:val="16"/>
              </w:rPr>
              <w:t>702</w:t>
            </w:r>
            <w:r w:rsidRPr="00100BF5">
              <w:rPr>
                <w:sz w:val="16"/>
              </w:rPr>
              <w:t> </w:t>
            </w:r>
          </w:p>
        </w:tc>
      </w:tr>
      <w:tr w:rsidR="00A12DCA" w:rsidRPr="00100BF5" w:rsidTr="006C1A97">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0C354E">
            <w:pPr>
              <w:rPr>
                <w:sz w:val="16"/>
              </w:rPr>
            </w:pPr>
            <w:r w:rsidRPr="00100BF5">
              <w:rPr>
                <w:sz w:val="16"/>
              </w:rPr>
              <w:t>Corporate</w:t>
            </w:r>
            <w:r w:rsidRPr="00100BF5">
              <w:rPr>
                <w:sz w:val="16"/>
                <w:vertAlign w:val="superscript"/>
              </w:rPr>
              <w:t>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rFonts w:ascii="Arial" w:eastAsia="Arial" w:hAnsi="Arial" w:cs="Arial"/>
                <w:sz w:val="20"/>
              </w:rPr>
            </w:pPr>
            <w:r w:rsidRPr="00100BF5">
              <w:rPr>
                <w:sz w:val="16"/>
              </w:rPr>
              <w:t xml:space="preserve"> 1,013 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rFonts w:ascii="Arial" w:eastAsia="Arial" w:hAnsi="Arial" w:cs="Arial"/>
                <w:sz w:val="20"/>
              </w:rPr>
            </w:pPr>
            <w:r w:rsidRPr="00100BF5">
              <w:rPr>
                <w:sz w:val="16"/>
              </w:rPr>
              <w:t xml:space="preserve"> </w:t>
            </w:r>
            <w:r w:rsidR="000C354E" w:rsidRPr="00100BF5">
              <w:rPr>
                <w:sz w:val="16"/>
              </w:rPr>
              <w:t>8</w:t>
            </w:r>
            <w:r w:rsidRPr="00100BF5">
              <w:rPr>
                <w:sz w:val="16"/>
              </w:rPr>
              <w:t>72 </w:t>
            </w:r>
          </w:p>
        </w:tc>
      </w:tr>
      <w:tr w:rsidR="00A12DCA" w:rsidRPr="00100BF5" w:rsidTr="00EA010D">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6C1A97">
            <w:pPr>
              <w:jc w:val="right"/>
              <w:rPr>
                <w:rFonts w:ascii="Arial" w:eastAsia="Arial" w:hAnsi="Arial" w:cs="Arial"/>
                <w:sz w:val="20"/>
              </w:rPr>
            </w:pPr>
            <w:r w:rsidRPr="00100BF5">
              <w:rPr>
                <w:sz w:val="16"/>
              </w:rPr>
              <w:t xml:space="preserve"> 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6C1A97">
            <w:pPr>
              <w:jc w:val="right"/>
              <w:rPr>
                <w:rFonts w:ascii="Arial" w:eastAsia="Arial" w:hAnsi="Arial" w:cs="Arial"/>
                <w:sz w:val="20"/>
              </w:rPr>
            </w:pPr>
            <w:r w:rsidRPr="00100BF5">
              <w:rPr>
                <w:sz w:val="16"/>
              </w:rPr>
              <w:t xml:space="preserve"> 8 </w:t>
            </w:r>
          </w:p>
        </w:tc>
      </w:tr>
    </w:tbl>
    <w:p w:rsidR="00A12DCA" w:rsidRPr="00100BF5" w:rsidRDefault="00A12DCA" w:rsidP="00C31504">
      <w:pPr>
        <w:pStyle w:val="Level1Bullet-BarcRA03"/>
        <w:rPr>
          <w:b/>
          <w:lang w:val="en-GB"/>
        </w:rPr>
      </w:pPr>
      <w:r w:rsidRPr="00100BF5">
        <w:rPr>
          <w:b/>
          <w:lang w:val="en-GB"/>
        </w:rPr>
        <w:t>Sovereign</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£21</w:t>
      </w:r>
      <w:r w:rsidR="00620D21" w:rsidRPr="00100BF5">
        <w:rPr>
          <w:lang w:val="en-GB"/>
        </w:rPr>
        <w:t>1</w:t>
      </w:r>
      <w:r w:rsidRPr="00100BF5">
        <w:rPr>
          <w:lang w:val="en-GB"/>
        </w:rPr>
        <w:t>m AFS (2011: £205m) with £5m (2011: £10m) cumulative loss held in the AFS reserve</w:t>
      </w:r>
    </w:p>
    <w:p w:rsidR="00A12DCA" w:rsidRPr="00100BF5" w:rsidRDefault="00A12DCA" w:rsidP="00C31504">
      <w:pPr>
        <w:pStyle w:val="Level1Bullet-BarcRA03"/>
        <w:rPr>
          <w:b/>
          <w:lang w:val="en-GB"/>
        </w:rPr>
      </w:pPr>
      <w:r w:rsidRPr="00100BF5">
        <w:rPr>
          <w:b/>
          <w:lang w:val="en-GB"/>
        </w:rPr>
        <w:t>Financial institutions</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Exposure focused on financial institutions with investment grade credit ratings</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Exposure to Irish banks amounted to £82m (2011: £</w:t>
      </w:r>
      <w:r w:rsidR="00C95235" w:rsidRPr="00100BF5">
        <w:rPr>
          <w:lang w:val="en-GB"/>
        </w:rPr>
        <w:t>58</w:t>
      </w:r>
      <w:r w:rsidRPr="00100BF5">
        <w:rPr>
          <w:lang w:val="en-GB"/>
        </w:rPr>
        <w:t>m)</w:t>
      </w:r>
    </w:p>
    <w:p w:rsidR="00A12DCA" w:rsidRDefault="00A12DCA" w:rsidP="003B473F">
      <w:pPr>
        <w:pStyle w:val="Level2Bullet-BarcRA2"/>
        <w:numPr>
          <w:ilvl w:val="2"/>
          <w:numId w:val="9"/>
        </w:numPr>
        <w:tabs>
          <w:tab w:val="num" w:pos="567"/>
        </w:tabs>
        <w:spacing w:after="0"/>
        <w:ind w:left="568" w:hanging="284"/>
        <w:rPr>
          <w:lang w:val="en-GB"/>
        </w:rPr>
      </w:pPr>
      <w:r w:rsidRPr="00100BF5">
        <w:rPr>
          <w:lang w:val="en-GB"/>
        </w:rPr>
        <w:t>£0.9bn (2011: £1.3bn) of loans relate to issuers domiciled in Ireland whose principal business and exposures are outside of Ireland</w:t>
      </w:r>
    </w:p>
    <w:p w:rsidR="00593046" w:rsidRDefault="00593046"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Default="00FB0640" w:rsidP="00FB0640">
      <w:pPr>
        <w:pStyle w:val="Level2Bullet-BarcRA2"/>
        <w:numPr>
          <w:ilvl w:val="0"/>
          <w:numId w:val="0"/>
        </w:numPr>
        <w:tabs>
          <w:tab w:val="num" w:pos="1401"/>
        </w:tabs>
        <w:spacing w:before="0" w:after="0"/>
        <w:ind w:left="284"/>
        <w:rPr>
          <w:sz w:val="2"/>
          <w:szCs w:val="2"/>
          <w:lang w:val="en-GB"/>
        </w:rPr>
      </w:pPr>
    </w:p>
    <w:p w:rsidR="00FB0640" w:rsidRPr="00FB0640" w:rsidRDefault="00FB0640" w:rsidP="00FB0640">
      <w:pPr>
        <w:pStyle w:val="Level2Bullet-BarcRA2"/>
        <w:numPr>
          <w:ilvl w:val="0"/>
          <w:numId w:val="0"/>
        </w:numPr>
        <w:tabs>
          <w:tab w:val="num" w:pos="1401"/>
        </w:tabs>
        <w:spacing w:before="0" w:after="0"/>
        <w:ind w:left="284"/>
        <w:rPr>
          <w:sz w:val="2"/>
          <w:szCs w:val="2"/>
          <w:lang w:val="en-GB"/>
        </w:rPr>
      </w:pPr>
    </w:p>
    <w:p w:rsidR="00A47EAA" w:rsidRPr="00100BF5" w:rsidRDefault="00A47EAA" w:rsidP="003B473F">
      <w:pPr>
        <w:pStyle w:val="NoteandSourceText-BarcRA13"/>
        <w:numPr>
          <w:ilvl w:val="0"/>
          <w:numId w:val="137"/>
        </w:numPr>
        <w:spacing w:before="0" w:after="0"/>
        <w:ind w:left="284" w:hanging="284"/>
      </w:pPr>
      <w:r w:rsidRPr="00100BF5">
        <w:t>‘Cost’ refers to the fair value of the asset at recognition, less any impairment booked. ‘AFS Reserve’ is the cumulative fair value gain or loss on the assets that is held in equity. ‘Total’ is the fair value of the assets at the balance sheet date.</w:t>
      </w:r>
    </w:p>
    <w:p w:rsidR="00A47EAA" w:rsidRPr="00100BF5" w:rsidRDefault="00A47EAA" w:rsidP="003B473F">
      <w:pPr>
        <w:pStyle w:val="NoteandSourceText-BarcRA13"/>
        <w:numPr>
          <w:ilvl w:val="0"/>
          <w:numId w:val="137"/>
        </w:numPr>
        <w:spacing w:before="0" w:after="0"/>
        <w:ind w:left="284" w:hanging="284"/>
      </w:pPr>
      <w:r w:rsidRPr="00100BF5">
        <w:t>The comparative figure h</w:t>
      </w:r>
      <w:r w:rsidR="000C354E" w:rsidRPr="00100BF5">
        <w:t>as</w:t>
      </w:r>
      <w:r w:rsidRPr="00100BF5">
        <w:t xml:space="preserve"> been restated following the re-designation of counterparties from the year end.</w:t>
      </w:r>
    </w:p>
    <w:p w:rsidR="00351861" w:rsidRDefault="00351861" w:rsidP="00351861">
      <w:pPr>
        <w:pStyle w:val="HeadingLevel1-BarcRA"/>
      </w:pPr>
      <w:r>
        <w:rPr>
          <w:b w:val="0"/>
          <w:lang w:val="en-GB"/>
        </w:rPr>
        <w:br w:type="page"/>
      </w:r>
      <w:r>
        <w:t>Credit Risk</w:t>
      </w:r>
    </w:p>
    <w:p w:rsidR="00A12DCA" w:rsidRPr="00100BF5" w:rsidRDefault="00A12DCA" w:rsidP="00FB0640">
      <w:pPr>
        <w:pStyle w:val="Level1Bullet-BarcRA03"/>
        <w:spacing w:before="0"/>
        <w:rPr>
          <w:b/>
          <w:lang w:val="en-GB"/>
        </w:rPr>
      </w:pPr>
      <w:r w:rsidRPr="00100BF5">
        <w:rPr>
          <w:b/>
          <w:lang w:val="en-GB"/>
        </w:rPr>
        <w:t xml:space="preserve">Corporate </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w:t>
      </w:r>
      <w:r w:rsidR="0052473E">
        <w:rPr>
          <w:lang w:val="en-GB"/>
        </w:rPr>
        <w:t>868</w:t>
      </w:r>
      <w:r w:rsidRPr="00100BF5">
        <w:rPr>
          <w:lang w:val="en-GB"/>
        </w:rPr>
        <w:t xml:space="preserve">m (2011: £925m) net loans and advances, including a significant proportion to other multinational entities domiciled in Ireland, whose principal businesses and exposures are outside of Ireland </w:t>
      </w:r>
    </w:p>
    <w:p w:rsidR="00A12DCA" w:rsidRPr="00100BF5" w:rsidRDefault="00A12DCA" w:rsidP="00C31504">
      <w:pPr>
        <w:pStyle w:val="Level2Bullet-BarcRA2"/>
        <w:numPr>
          <w:ilvl w:val="2"/>
          <w:numId w:val="9"/>
        </w:numPr>
        <w:tabs>
          <w:tab w:val="num" w:pos="567"/>
        </w:tabs>
        <w:ind w:left="567" w:hanging="283"/>
        <w:rPr>
          <w:lang w:val="en-GB"/>
        </w:rPr>
      </w:pPr>
      <w:r w:rsidRPr="00100BF5">
        <w:rPr>
          <w:lang w:val="en-GB"/>
        </w:rPr>
        <w:t>The portfolio continues to perform and has not been impacted materially by the decline in the property sector</w:t>
      </w:r>
    </w:p>
    <w:p w:rsidR="00A12DCA" w:rsidRPr="00100BF5" w:rsidRDefault="00A12DCA" w:rsidP="00C31504">
      <w:pPr>
        <w:pStyle w:val="Level1Bullet-BarcRA03"/>
        <w:rPr>
          <w:lang w:val="en-GB"/>
        </w:rPr>
      </w:pPr>
      <w:r w:rsidRPr="00100BF5">
        <w:rPr>
          <w:b/>
          <w:lang w:val="en-GB"/>
        </w:rPr>
        <w:t>Other lending</w:t>
      </w:r>
      <w:r w:rsidRPr="00100BF5">
        <w:rPr>
          <w:lang w:val="en-GB"/>
        </w:rPr>
        <w:t xml:space="preserve"> of £196m (2011: £180m), including £91m (2011: £94m) secured on residential property</w:t>
      </w:r>
    </w:p>
    <w:p w:rsidR="00A12DCA" w:rsidRPr="00100BF5" w:rsidRDefault="00A12DCA" w:rsidP="00C31504">
      <w:pPr>
        <w:pStyle w:val="Level1Bullet-BarcRA03"/>
        <w:rPr>
          <w:lang w:val="en-GB"/>
        </w:rPr>
      </w:pPr>
      <w:r w:rsidRPr="00100BF5">
        <w:rPr>
          <w:b/>
          <w:lang w:val="en-GB"/>
        </w:rPr>
        <w:t>Contingent liabilities and commitments</w:t>
      </w:r>
      <w:r w:rsidRPr="00100BF5">
        <w:rPr>
          <w:lang w:val="en-GB"/>
        </w:rPr>
        <w:t xml:space="preserve"> of 1,013m (2011: £</w:t>
      </w:r>
      <w:r w:rsidR="000C354E" w:rsidRPr="00100BF5">
        <w:rPr>
          <w:lang w:val="en-GB"/>
        </w:rPr>
        <w:t>872</w:t>
      </w:r>
      <w:r w:rsidRPr="00100BF5">
        <w:rPr>
          <w:lang w:val="en-GB"/>
        </w:rPr>
        <w:t>m) to corporate customers</w:t>
      </w:r>
    </w:p>
    <w:tbl>
      <w:tblPr>
        <w:tblpPr w:leftFromText="180" w:rightFromText="180" w:vertAnchor="text" w:horzAnchor="margin" w:tblpY="183"/>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F00A12" w:rsidRPr="00100BF5" w:rsidTr="00F00A12">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r w:rsidRPr="00100BF5">
              <w:rPr>
                <w:b/>
                <w:sz w:val="24"/>
              </w:rPr>
              <w:t>Greece</w:t>
            </w:r>
          </w:p>
        </w:tc>
        <w:tc>
          <w:tcPr>
            <w:tcW w:w="2205" w:type="dxa"/>
            <w:gridSpan w:val="3"/>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center"/>
              <w:rPr>
                <w:b/>
                <w:sz w:val="24"/>
              </w:rPr>
            </w:pPr>
            <w:r w:rsidRPr="00100BF5">
              <w:rPr>
                <w:b/>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center"/>
              <w:rPr>
                <w:b/>
                <w:sz w:val="16"/>
              </w:rPr>
            </w:pPr>
            <w:r w:rsidRPr="00100BF5">
              <w:rPr>
                <w:b/>
                <w:sz w:val="16"/>
              </w:rPr>
              <w:t xml:space="preserve"> </w:t>
            </w:r>
          </w:p>
        </w:tc>
        <w:tc>
          <w:tcPr>
            <w:tcW w:w="3195" w:type="dxa"/>
            <w:gridSpan w:val="4"/>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center"/>
              <w:rPr>
                <w:b/>
                <w:sz w:val="16"/>
              </w:rPr>
            </w:pPr>
            <w:r w:rsidRPr="00100BF5">
              <w:rPr>
                <w:b/>
                <w:sz w:val="16"/>
              </w:rPr>
              <w:t>Derivatives</w:t>
            </w:r>
          </w:p>
        </w:tc>
        <w:tc>
          <w:tcPr>
            <w:tcW w:w="930" w:type="dxa"/>
            <w:vMerge w:val="restart"/>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cente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center"/>
              <w:rPr>
                <w:b/>
                <w:sz w:val="16"/>
              </w:rPr>
            </w:pPr>
            <w:r w:rsidRPr="00100BF5">
              <w:rPr>
                <w:b/>
                <w:sz w:val="16"/>
              </w:rPr>
              <w:t xml:space="preserve"> </w:t>
            </w:r>
          </w:p>
        </w:tc>
      </w:tr>
      <w:tr w:rsidR="00F00A12" w:rsidRPr="00100BF5" w:rsidTr="00E940CE">
        <w:tblPrEx>
          <w:tblCellMar>
            <w:top w:w="0" w:type="dxa"/>
            <w:bottom w:w="0" w:type="dxa"/>
          </w:tblCellMar>
        </w:tblPrEx>
        <w:trPr>
          <w:trHeight w:val="543"/>
        </w:trPr>
        <w:tc>
          <w:tcPr>
            <w:tcW w:w="1605"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rPr>
                <w:b/>
                <w:sz w:val="16"/>
              </w:rPr>
            </w:pPr>
            <w:r w:rsidRPr="00100BF5">
              <w:rPr>
                <w:b/>
                <w:sz w:val="16"/>
              </w:rPr>
              <w:t>Fair Value through Profit and Loss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 xml:space="preserve">Trading Portfolio Assets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Trading Portfolio Liabilities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Net</w:t>
            </w:r>
          </w:p>
          <w:p w:rsidR="00F00A12" w:rsidRPr="00100BF5" w:rsidRDefault="00F00A12" w:rsidP="00F00A12">
            <w:pPr>
              <w:jc w:val="right"/>
              <w:rPr>
                <w:b/>
                <w:sz w:val="16"/>
              </w:rPr>
            </w:pPr>
            <w:r w:rsidRPr="00100BF5">
              <w:rPr>
                <w:b/>
                <w:sz w:val="16"/>
              </w:rPr>
              <w:t xml:space="preserve"> Trading Portfolio</w:t>
            </w:r>
          </w:p>
        </w:tc>
        <w:tc>
          <w:tcPr>
            <w:tcW w:w="180"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sz w:val="16"/>
              </w:rPr>
            </w:pPr>
            <w:r w:rsidRPr="00100BF5">
              <w:rPr>
                <w:b/>
                <w:sz w:val="16"/>
              </w:rPr>
              <w:t>Gross Assets</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Gross Liabilities</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vertAlign w:val="superscript"/>
              </w:rPr>
            </w:pPr>
            <w:r w:rsidRPr="00100BF5">
              <w:rPr>
                <w:b/>
                <w:sz w:val="16"/>
              </w:rPr>
              <w:t>Cash Collateral</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Net Derivatives</w:t>
            </w:r>
          </w:p>
        </w:tc>
        <w:tc>
          <w:tcPr>
            <w:tcW w:w="930" w:type="dxa"/>
            <w:vMerge/>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p>
        </w:tc>
        <w:tc>
          <w:tcPr>
            <w:tcW w:w="705"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Total</w:t>
            </w:r>
          </w:p>
          <w:p w:rsidR="00F00A12" w:rsidRPr="00100BF5" w:rsidRDefault="00F00A12" w:rsidP="00F00A12">
            <w:pPr>
              <w:jc w:val="right"/>
              <w:rPr>
                <w:b/>
                <w:sz w:val="16"/>
              </w:rPr>
            </w:pPr>
            <w:r w:rsidRPr="00100BF5">
              <w:rPr>
                <w:b/>
                <w:sz w:val="16"/>
              </w:rPr>
              <w:t>as at</w:t>
            </w:r>
          </w:p>
          <w:p w:rsidR="00F00A12" w:rsidRPr="00100BF5" w:rsidRDefault="00F00A12" w:rsidP="00F00A12">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Total</w:t>
            </w:r>
          </w:p>
          <w:p w:rsidR="00F00A12" w:rsidRPr="00100BF5" w:rsidRDefault="00F00A12" w:rsidP="00F00A12">
            <w:pPr>
              <w:jc w:val="right"/>
              <w:rPr>
                <w:b/>
                <w:sz w:val="16"/>
              </w:rPr>
            </w:pPr>
            <w:r w:rsidRPr="00100BF5">
              <w:rPr>
                <w:b/>
                <w:sz w:val="16"/>
              </w:rPr>
              <w:t>as at</w:t>
            </w:r>
          </w:p>
          <w:p w:rsidR="00F00A12" w:rsidRPr="00100BF5" w:rsidRDefault="00F00A12" w:rsidP="00F00A12">
            <w:pPr>
              <w:jc w:val="right"/>
              <w:rPr>
                <w:b/>
                <w:sz w:val="16"/>
              </w:rPr>
            </w:pPr>
            <w:r w:rsidRPr="00100BF5">
              <w:rPr>
                <w:b/>
                <w:sz w:val="16"/>
              </w:rPr>
              <w:t>31.12.11</w:t>
            </w:r>
          </w:p>
        </w:tc>
      </w:tr>
      <w:tr w:rsidR="00F00A12" w:rsidRPr="00100BF5" w:rsidTr="00F00A12">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r>
      <w:tr w:rsidR="00F00A12" w:rsidRPr="00100BF5" w:rsidTr="00F00A12">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8 </w:t>
            </w:r>
          </w:p>
        </w:tc>
      </w:tr>
      <w:tr w:rsidR="00F00A12" w:rsidRPr="00100BF5" w:rsidTr="00F00A12">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1 </w:t>
            </w:r>
          </w:p>
        </w:tc>
        <w:tc>
          <w:tcPr>
            <w:tcW w:w="79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1 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917 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(54)</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(863)</w:t>
            </w:r>
          </w:p>
        </w:tc>
        <w:tc>
          <w:tcPr>
            <w:tcW w:w="960"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1 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2 </w:t>
            </w:r>
          </w:p>
        </w:tc>
      </w:tr>
      <w:tr w:rsidR="00F00A12" w:rsidRPr="00100BF5" w:rsidTr="00F00A12">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2 </w:t>
            </w:r>
          </w:p>
        </w:tc>
        <w:tc>
          <w:tcPr>
            <w:tcW w:w="79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2 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 </w:t>
            </w:r>
          </w:p>
        </w:tc>
        <w:tc>
          <w:tcPr>
            <w:tcW w:w="960"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2 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3 </w:t>
            </w:r>
          </w:p>
        </w:tc>
      </w:tr>
    </w:tbl>
    <w:p w:rsidR="00F00A12" w:rsidRPr="00100BF5" w:rsidRDefault="00F00A12" w:rsidP="00E940CE">
      <w:pPr>
        <w:pStyle w:val="Level1Bullet-BarcRA03"/>
        <w:numPr>
          <w:ilvl w:val="0"/>
          <w:numId w:val="0"/>
        </w:numPr>
        <w:spacing w:after="0"/>
        <w:ind w:left="284"/>
        <w:rPr>
          <w:sz w:val="2"/>
          <w:szCs w:val="2"/>
          <w:lang w:val="en-GB"/>
        </w:rPr>
      </w:pPr>
    </w:p>
    <w:tbl>
      <w:tblPr>
        <w:tblpPr w:leftFromText="180" w:rightFromText="180" w:vertAnchor="text" w:horzAnchor="margin" w:tblpY="183"/>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F00A12" w:rsidRPr="00100BF5" w:rsidTr="00F00A12">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b/>
                <w:sz w:val="16"/>
              </w:rPr>
              <w:t>Fair Value through Equity</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center"/>
              <w:rPr>
                <w:sz w:val="16"/>
              </w:rPr>
            </w:pPr>
            <w:r w:rsidRPr="00100BF5">
              <w:rPr>
                <w:b/>
                <w:sz w:val="16"/>
              </w:rPr>
              <w:t>Available for Sale Assets as at 30.06.12</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b/>
                <w:sz w:val="16"/>
              </w:rPr>
            </w:pPr>
            <w:r w:rsidRPr="00100BF5">
              <w:rPr>
                <w:b/>
                <w:sz w:val="16"/>
              </w:rPr>
              <w:t>as at</w:t>
            </w:r>
          </w:p>
        </w:tc>
      </w:tr>
      <w:tr w:rsidR="00F00A12" w:rsidRPr="00100BF5" w:rsidTr="00F00A12">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b/>
                <w:sz w:val="16"/>
              </w:rPr>
              <w:t>Cost</w:t>
            </w:r>
            <w:r w:rsidRPr="00100BF5">
              <w:rPr>
                <w:b/>
                <w:sz w:val="16"/>
                <w:vertAlign w:val="superscript"/>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b/>
                <w:sz w:val="16"/>
                <w:vertAlign w:val="superscript"/>
              </w:rPr>
            </w:pPr>
            <w:r w:rsidRPr="00100BF5">
              <w:rPr>
                <w:b/>
                <w:sz w:val="16"/>
              </w:rPr>
              <w:t>AFS Reserve</w:t>
            </w:r>
          </w:p>
        </w:tc>
        <w:tc>
          <w:tcPr>
            <w:tcW w:w="1635" w:type="dxa"/>
            <w:gridSpan w:val="2"/>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b/>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b/>
                <w:sz w:val="16"/>
              </w:rPr>
            </w:pPr>
            <w:r w:rsidRPr="00100BF5">
              <w:rPr>
                <w:b/>
                <w:sz w:val="16"/>
              </w:rPr>
              <w:t>31.12.11</w:t>
            </w:r>
          </w:p>
        </w:tc>
      </w:tr>
      <w:tr w:rsidR="00F00A12" w:rsidRPr="00100BF5" w:rsidTr="00F00A12">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425" w:type="dxa"/>
            <w:gridSpan w:val="2"/>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r w:rsidRPr="00100BF5">
              <w:rPr>
                <w:sz w:val="16"/>
                <w:vertAlign w:val="superscript"/>
              </w:rPr>
              <w:t xml:space="preserve"> </w:t>
            </w:r>
          </w:p>
        </w:tc>
        <w:tc>
          <w:tcPr>
            <w:tcW w:w="1770" w:type="dxa"/>
            <w:gridSpan w:val="2"/>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r>
      <w:tr w:rsidR="00F00A12" w:rsidRPr="00100BF5" w:rsidTr="00F00A12">
        <w:tblPrEx>
          <w:tblCellMar>
            <w:top w:w="0" w:type="dxa"/>
            <w:bottom w:w="0" w:type="dxa"/>
          </w:tblCellMar>
        </w:tblPrEx>
        <w:trPr>
          <w:trHeight w:val="240"/>
        </w:trPr>
        <w:tc>
          <w:tcPr>
            <w:tcW w:w="2310" w:type="dxa"/>
            <w:gridSpan w:val="2"/>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Sovereign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1 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1 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6 </w:t>
            </w:r>
          </w:p>
        </w:tc>
      </w:tr>
    </w:tbl>
    <w:p w:rsidR="00F00A12" w:rsidRPr="00100BF5" w:rsidRDefault="00F00A12" w:rsidP="00E940CE">
      <w:pPr>
        <w:pStyle w:val="Level1Bullet-BarcRA03"/>
        <w:numPr>
          <w:ilvl w:val="0"/>
          <w:numId w:val="0"/>
        </w:numPr>
        <w:spacing w:before="0" w:after="0"/>
        <w:ind w:left="284"/>
        <w:rPr>
          <w:sz w:val="16"/>
          <w:szCs w:val="16"/>
          <w:lang w:val="en-GB"/>
        </w:rPr>
      </w:pPr>
    </w:p>
    <w:tbl>
      <w:tblPr>
        <w:tblpPr w:leftFromText="180" w:rightFromText="180" w:vertAnchor="text" w:horzAnchor="margin" w:tblpY="183"/>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F00A12" w:rsidRPr="00100BF5" w:rsidTr="00F00A12">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b/>
                <w:sz w:val="16"/>
              </w:rPr>
              <w:t>Held at Amortised Cost</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4830" w:type="dxa"/>
            <w:gridSpan w:val="6"/>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center"/>
              <w:rPr>
                <w:sz w:val="16"/>
              </w:rPr>
            </w:pPr>
            <w:r w:rsidRPr="00100BF5">
              <w:rPr>
                <w:b/>
                <w:sz w:val="16"/>
              </w:rPr>
              <w:t>Loans and Advances as at 30.06.12</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center"/>
              <w:rPr>
                <w:b/>
                <w:sz w:val="16"/>
              </w:rPr>
            </w:pPr>
            <w:r w:rsidRPr="00100BF5">
              <w:rPr>
                <w:b/>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center"/>
              <w:rPr>
                <w:b/>
                <w:sz w:val="16"/>
              </w:rPr>
            </w:pPr>
          </w:p>
        </w:tc>
      </w:tr>
      <w:tr w:rsidR="00F00A12" w:rsidRPr="00100BF5" w:rsidTr="00F00A12">
        <w:tblPrEx>
          <w:tblCellMar>
            <w:top w:w="0" w:type="dxa"/>
            <w:bottom w:w="0" w:type="dxa"/>
          </w:tblCellMar>
        </w:tblPrEx>
        <w:trPr>
          <w:trHeight w:val="480"/>
        </w:trPr>
        <w:tc>
          <w:tcPr>
            <w:tcW w:w="16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sz w:val="16"/>
              </w:rPr>
            </w:pPr>
            <w:r w:rsidRPr="00100BF5">
              <w:rPr>
                <w:b/>
                <w:sz w:val="16"/>
              </w:rPr>
              <w:t xml:space="preserve">Gross </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b/>
                <w:sz w:val="16"/>
                <w:vertAlign w:val="superscript"/>
              </w:rPr>
            </w:pPr>
            <w:r w:rsidRPr="00100BF5">
              <w:rPr>
                <w:b/>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b/>
                <w:sz w:val="16"/>
              </w:rPr>
              <w:t>Impairment Allowances</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F00A12" w:rsidRPr="00100BF5" w:rsidRDefault="00F00A12" w:rsidP="00F00A12">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F00A12" w:rsidRPr="00100BF5" w:rsidRDefault="00F00A12" w:rsidP="00F00A12">
            <w:pPr>
              <w:jc w:val="right"/>
              <w:rPr>
                <w:b/>
                <w:sz w:val="16"/>
              </w:rPr>
            </w:pPr>
          </w:p>
        </w:tc>
      </w:tr>
      <w:tr w:rsidR="00F00A12" w:rsidRPr="00100BF5" w:rsidTr="00F00A12">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b/>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£m </w:t>
            </w:r>
          </w:p>
        </w:tc>
      </w:tr>
      <w:tr w:rsidR="00F00A12" w:rsidRPr="00100BF5" w:rsidTr="00F00A12">
        <w:tblPrEx>
          <w:tblCellMar>
            <w:top w:w="0" w:type="dxa"/>
            <w:bottom w:w="0" w:type="dxa"/>
          </w:tblCellMar>
        </w:tblPrEx>
        <w:trPr>
          <w:trHeight w:val="240"/>
        </w:trPr>
        <w:tc>
          <w:tcPr>
            <w:tcW w:w="2310" w:type="dxa"/>
            <w:gridSpan w:val="2"/>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Residential mortgages</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8 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8 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5 </w:t>
            </w:r>
          </w:p>
        </w:tc>
      </w:tr>
      <w:tr w:rsidR="00F00A12" w:rsidRPr="00100BF5" w:rsidTr="00F00A12">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57 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57 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64 </w:t>
            </w:r>
          </w:p>
        </w:tc>
      </w:tr>
      <w:tr w:rsidR="00F00A12" w:rsidRPr="00100BF5" w:rsidTr="00F00A12">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rPr>
                <w:sz w:val="16"/>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28 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(9)</w:t>
            </w:r>
          </w:p>
        </w:tc>
        <w:tc>
          <w:tcPr>
            <w:tcW w:w="93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F00A12" w:rsidRPr="00100BF5" w:rsidRDefault="00F00A12" w:rsidP="00F00A12">
            <w:pPr>
              <w:jc w:val="right"/>
              <w:rPr>
                <w:sz w:val="16"/>
              </w:rPr>
            </w:pPr>
            <w:r w:rsidRPr="00100BF5">
              <w:rPr>
                <w:sz w:val="16"/>
              </w:rPr>
              <w:t xml:space="preserve"> 19 </w:t>
            </w:r>
          </w:p>
        </w:tc>
        <w:tc>
          <w:tcPr>
            <w:tcW w:w="180"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F00A12" w:rsidRPr="00100BF5" w:rsidRDefault="00F00A12" w:rsidP="00F00A12">
            <w:pPr>
              <w:jc w:val="right"/>
              <w:rPr>
                <w:sz w:val="16"/>
              </w:rPr>
            </w:pPr>
            <w:r w:rsidRPr="00100BF5">
              <w:rPr>
                <w:sz w:val="16"/>
              </w:rPr>
              <w:t xml:space="preserve"> 18 </w:t>
            </w:r>
          </w:p>
        </w:tc>
      </w:tr>
    </w:tbl>
    <w:p w:rsidR="00F00A12" w:rsidRPr="00100BF5" w:rsidRDefault="00F00A12" w:rsidP="00F00A12">
      <w:pPr>
        <w:pStyle w:val="Level1Bullet-BarcRA03"/>
        <w:numPr>
          <w:ilvl w:val="0"/>
          <w:numId w:val="0"/>
        </w:numPr>
        <w:spacing w:after="0"/>
        <w:ind w:left="284"/>
        <w:rPr>
          <w:sz w:val="2"/>
          <w:szCs w:val="2"/>
          <w:lang w:val="en-GB"/>
        </w:rPr>
      </w:pPr>
    </w:p>
    <w:tbl>
      <w:tblPr>
        <w:tblpPr w:leftFromText="180" w:rightFromText="180" w:vertAnchor="text" w:horzAnchor="margin" w:tblpY="183"/>
        <w:tblW w:w="0" w:type="auto"/>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705"/>
      </w:tblGrid>
      <w:tr w:rsidR="00A47EAA" w:rsidRPr="00100BF5" w:rsidTr="00E940CE">
        <w:tblPrEx>
          <w:tblCellMar>
            <w:top w:w="0" w:type="dxa"/>
            <w:bottom w:w="0" w:type="dxa"/>
          </w:tblCellMar>
        </w:tblPrEx>
        <w:trPr>
          <w:trHeight w:val="80"/>
        </w:trPr>
        <w:tc>
          <w:tcPr>
            <w:tcW w:w="3810" w:type="dxa"/>
            <w:gridSpan w:val="4"/>
            <w:tcBorders>
              <w:top w:val="nil"/>
              <w:left w:val="nil"/>
              <w:bottom w:val="nil"/>
              <w:right w:val="nil"/>
            </w:tcBorders>
            <w:shd w:val="clear" w:color="auto" w:fill="FFFFFF"/>
            <w:tcMar>
              <w:left w:w="36" w:type="dxa"/>
              <w:right w:w="36" w:type="dxa"/>
            </w:tcMar>
            <w:vAlign w:val="center"/>
          </w:tcPr>
          <w:p w:rsidR="00A47EAA" w:rsidRPr="00100BF5" w:rsidRDefault="00E940CE" w:rsidP="00981030">
            <w:pPr>
              <w:rPr>
                <w:sz w:val="16"/>
              </w:rPr>
            </w:pPr>
            <w:r w:rsidRPr="00100BF5">
              <w:rPr>
                <w:b/>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rFonts w:ascii="Arial" w:eastAsia="Arial" w:hAnsi="Arial" w:cs="Arial"/>
                <w:sz w:val="20"/>
              </w:rPr>
            </w:pPr>
            <w:r w:rsidRPr="00100BF5">
              <w:rPr>
                <w:b/>
                <w:sz w:val="16"/>
              </w:rPr>
              <w:t>Total</w:t>
            </w:r>
          </w:p>
          <w:p w:rsidR="00A47EAA" w:rsidRPr="00100BF5" w:rsidRDefault="00A47EAA" w:rsidP="00A47EAA">
            <w:pPr>
              <w:jc w:val="right"/>
              <w:rPr>
                <w:b/>
                <w:sz w:val="16"/>
              </w:rPr>
            </w:pPr>
            <w:r w:rsidRPr="00100BF5">
              <w:rPr>
                <w:b/>
                <w:sz w:val="16"/>
              </w:rPr>
              <w:t>as at</w:t>
            </w:r>
          </w:p>
          <w:p w:rsidR="00A47EAA" w:rsidRPr="00100BF5" w:rsidRDefault="00A47EAA" w:rsidP="00A47EA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b/>
                <w:sz w:val="16"/>
              </w:rPr>
            </w:pPr>
            <w:r w:rsidRPr="00100BF5">
              <w:rPr>
                <w:b/>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b/>
                <w:sz w:val="16"/>
              </w:rPr>
            </w:pPr>
            <w:r w:rsidRPr="00100BF5">
              <w:rPr>
                <w:b/>
                <w:sz w:val="16"/>
              </w:rPr>
              <w:t>Total</w:t>
            </w:r>
          </w:p>
          <w:p w:rsidR="00A47EAA" w:rsidRPr="00100BF5" w:rsidRDefault="00A47EAA" w:rsidP="00A47EAA">
            <w:pPr>
              <w:jc w:val="right"/>
              <w:rPr>
                <w:b/>
                <w:sz w:val="16"/>
              </w:rPr>
            </w:pPr>
            <w:r w:rsidRPr="00100BF5">
              <w:rPr>
                <w:b/>
                <w:sz w:val="16"/>
              </w:rPr>
              <w:t>as at</w:t>
            </w:r>
          </w:p>
          <w:p w:rsidR="00A47EAA" w:rsidRPr="00100BF5" w:rsidRDefault="00A47EAA" w:rsidP="00A47EAA">
            <w:pPr>
              <w:jc w:val="right"/>
              <w:rPr>
                <w:b/>
                <w:sz w:val="16"/>
              </w:rPr>
            </w:pPr>
            <w:r w:rsidRPr="00100BF5">
              <w:rPr>
                <w:b/>
                <w:sz w:val="16"/>
              </w:rPr>
              <w:t>31.12.11</w:t>
            </w:r>
          </w:p>
        </w:tc>
      </w:tr>
      <w:tr w:rsidR="00A47EAA" w:rsidRPr="00100BF5" w:rsidTr="00E940CE">
        <w:tblPrEx>
          <w:tblCellMar>
            <w:top w:w="0" w:type="dxa"/>
            <w:bottom w:w="0" w:type="dxa"/>
          </w:tblCellMar>
        </w:tblPrEx>
        <w:trPr>
          <w:trHeight w:val="80"/>
        </w:trPr>
        <w:tc>
          <w:tcPr>
            <w:tcW w:w="3810" w:type="dxa"/>
            <w:gridSpan w:val="4"/>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b/>
                <w:sz w:val="16"/>
              </w:rPr>
            </w:pP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rFonts w:ascii="Arial" w:eastAsia="Arial" w:hAnsi="Arial" w:cs="Arial"/>
                <w:sz w:val="20"/>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b/>
                <w:sz w:val="16"/>
              </w:rPr>
            </w:pPr>
          </w:p>
        </w:tc>
      </w:tr>
      <w:tr w:rsidR="00A47EAA" w:rsidRPr="00100BF5" w:rsidTr="00E940CE">
        <w:tblPrEx>
          <w:tblCellMar>
            <w:top w:w="0" w:type="dxa"/>
            <w:bottom w:w="0" w:type="dxa"/>
          </w:tblCellMar>
        </w:tblPrEx>
        <w:trPr>
          <w:trHeight w:hRule="exact" w:val="122"/>
        </w:trPr>
        <w:tc>
          <w:tcPr>
            <w:tcW w:w="16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b/>
                <w:sz w:val="16"/>
              </w:rPr>
            </w:pPr>
            <w:r w:rsidRPr="00100BF5">
              <w:rPr>
                <w:b/>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b/>
                <w:sz w:val="16"/>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rFonts w:ascii="Arial" w:eastAsia="Arial" w:hAnsi="Arial" w:cs="Arial"/>
                <w:sz w:val="20"/>
              </w:rPr>
            </w:pPr>
            <w:r w:rsidRPr="00100BF5">
              <w:rPr>
                <w:b/>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b/>
                <w:sz w:val="16"/>
              </w:rPr>
            </w:pPr>
          </w:p>
        </w:tc>
      </w:tr>
      <w:tr w:rsidR="00A47EAA" w:rsidRPr="00100BF5" w:rsidTr="00981030">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981030">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981030">
            <w:pPr>
              <w:rPr>
                <w:b/>
                <w:sz w:val="16"/>
              </w:rPr>
            </w:pPr>
            <w:r w:rsidRPr="00100BF5">
              <w:rPr>
                <w:b/>
                <w:sz w:val="16"/>
              </w:rPr>
              <w:t xml:space="preserve"> </w:t>
            </w:r>
          </w:p>
        </w:tc>
        <w:tc>
          <w:tcPr>
            <w:tcW w:w="795" w:type="dxa"/>
            <w:tcBorders>
              <w:top w:val="nil"/>
              <w:left w:val="nil"/>
              <w:bottom w:val="single" w:sz="6" w:space="0" w:color="808080"/>
              <w:right w:val="nil"/>
            </w:tcBorders>
            <w:shd w:val="clear" w:color="auto" w:fill="FFFFFF"/>
            <w:tcMar>
              <w:left w:w="36" w:type="dxa"/>
              <w:right w:w="36" w:type="dxa"/>
            </w:tcMar>
            <w:vAlign w:val="center"/>
          </w:tcPr>
          <w:p w:rsidR="00A47EAA" w:rsidRPr="00100BF5" w:rsidRDefault="00A47EAA" w:rsidP="00A47EAA">
            <w:pPr>
              <w:rPr>
                <w:b/>
                <w:sz w:val="16"/>
              </w:rPr>
            </w:pPr>
            <w:r w:rsidRPr="00100BF5">
              <w:rPr>
                <w:b/>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47EAA" w:rsidRPr="00100BF5" w:rsidRDefault="00A47EAA" w:rsidP="00A47EAA">
            <w:pPr>
              <w:rPr>
                <w:b/>
                <w:sz w:val="16"/>
              </w:rPr>
            </w:pPr>
            <w:r w:rsidRPr="00100BF5">
              <w:rPr>
                <w:b/>
                <w:sz w:val="16"/>
              </w:rPr>
              <w:t xml:space="preserve"> </w:t>
            </w:r>
          </w:p>
        </w:tc>
        <w:tc>
          <w:tcPr>
            <w:tcW w:w="180" w:type="dxa"/>
            <w:tcBorders>
              <w:top w:val="nil"/>
              <w:left w:val="nil"/>
              <w:bottom w:val="single" w:sz="6" w:space="0" w:color="808080"/>
              <w:right w:val="nil"/>
            </w:tcBorders>
            <w:shd w:val="clear" w:color="auto" w:fill="FFFFFF"/>
            <w:tcMar>
              <w:left w:w="36" w:type="dxa"/>
              <w:right w:w="36" w:type="dxa"/>
            </w:tcMar>
            <w:vAlign w:val="bottom"/>
          </w:tcPr>
          <w:p w:rsidR="00A47EAA" w:rsidRPr="00100BF5" w:rsidRDefault="00A47EAA" w:rsidP="00A47EAA">
            <w:pPr>
              <w:rPr>
                <w:b/>
                <w:sz w:val="16"/>
              </w:rPr>
            </w:pPr>
            <w:r w:rsidRPr="00100BF5">
              <w:rPr>
                <w:rFonts w:ascii="Arial" w:eastAsia="Arial" w:hAnsi="Arial" w:cs="Arial"/>
                <w:sz w:val="20"/>
              </w:rPr>
              <w:t xml:space="preserve"> </w:t>
            </w:r>
          </w:p>
        </w:tc>
        <w:tc>
          <w:tcPr>
            <w:tcW w:w="615" w:type="dxa"/>
            <w:tcBorders>
              <w:top w:val="nil"/>
              <w:left w:val="nil"/>
              <w:bottom w:val="single" w:sz="6" w:space="0" w:color="808080"/>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sz w:val="16"/>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47EAA" w:rsidRPr="00100BF5" w:rsidRDefault="00A47EAA" w:rsidP="00A47EA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single" w:sz="6" w:space="0" w:color="808080"/>
              <w:right w:val="nil"/>
            </w:tcBorders>
            <w:shd w:val="clear" w:color="auto" w:fill="FFFFFF"/>
            <w:tcMar>
              <w:left w:w="36" w:type="dxa"/>
              <w:right w:w="36" w:type="dxa"/>
            </w:tcMar>
            <w:vAlign w:val="bottom"/>
          </w:tcPr>
          <w:p w:rsidR="00A47EAA" w:rsidRPr="00100BF5" w:rsidRDefault="00A47EAA" w:rsidP="00A47EAA">
            <w:pPr>
              <w:rPr>
                <w:sz w:val="16"/>
                <w:vertAlign w:val="superscript"/>
              </w:rPr>
            </w:pPr>
            <w:r w:rsidRPr="00100BF5">
              <w:rPr>
                <w:sz w:val="16"/>
              </w:rPr>
              <w:t xml:space="preserve"> </w:t>
            </w:r>
          </w:p>
        </w:tc>
        <w:tc>
          <w:tcPr>
            <w:tcW w:w="960" w:type="dxa"/>
            <w:tcBorders>
              <w:top w:val="nil"/>
              <w:left w:val="nil"/>
              <w:bottom w:val="single" w:sz="6" w:space="0" w:color="808080"/>
              <w:right w:val="nil"/>
            </w:tcBorders>
            <w:shd w:val="clear" w:color="auto" w:fill="FFFFFF"/>
            <w:tcMar>
              <w:left w:w="36" w:type="dxa"/>
              <w:right w:w="36" w:type="dxa"/>
            </w:tcMar>
            <w:vAlign w:val="bottom"/>
          </w:tcPr>
          <w:p w:rsidR="00A47EAA" w:rsidRPr="00100BF5" w:rsidRDefault="00A47EAA" w:rsidP="00A47EAA">
            <w:pPr>
              <w:rPr>
                <w:sz w:val="16"/>
              </w:rPr>
            </w:pPr>
            <w:r w:rsidRPr="00100BF5">
              <w:rPr>
                <w:sz w:val="16"/>
              </w:rPr>
              <w:t xml:space="preserve"> </w:t>
            </w:r>
          </w:p>
        </w:tc>
        <w:tc>
          <w:tcPr>
            <w:tcW w:w="930" w:type="dxa"/>
            <w:tcBorders>
              <w:top w:val="nil"/>
              <w:left w:val="nil"/>
              <w:bottom w:val="single" w:sz="6" w:space="0" w:color="808080"/>
              <w:right w:val="nil"/>
            </w:tcBorders>
            <w:shd w:val="clear" w:color="auto" w:fill="FFFFFF"/>
            <w:tcMar>
              <w:left w:w="36" w:type="dxa"/>
              <w:right w:w="36" w:type="dxa"/>
            </w:tcMar>
            <w:vAlign w:val="bottom"/>
          </w:tcPr>
          <w:p w:rsidR="00A47EAA" w:rsidRPr="00100BF5" w:rsidRDefault="00A47EAA" w:rsidP="00A47EAA">
            <w:pPr>
              <w:rPr>
                <w:sz w:val="16"/>
              </w:rPr>
            </w:pPr>
            <w:r w:rsidRPr="00100BF5">
              <w:rPr>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47EAA" w:rsidRPr="00100BF5" w:rsidRDefault="00A47EAA" w:rsidP="00981030">
            <w:pPr>
              <w:jc w:val="right"/>
              <w:rPr>
                <w:sz w:val="16"/>
              </w:rPr>
            </w:pPr>
            <w:r w:rsidRPr="00100BF5">
              <w:rPr>
                <w:b/>
                <w:sz w:val="16"/>
              </w:rPr>
              <w:t>£m</w:t>
            </w:r>
          </w:p>
        </w:tc>
        <w:tc>
          <w:tcPr>
            <w:tcW w:w="180"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b/>
                <w:sz w:val="16"/>
              </w:rPr>
            </w:pPr>
            <w:r w:rsidRPr="00100BF5">
              <w:rPr>
                <w:b/>
                <w:sz w:val="16"/>
              </w:rPr>
              <w:t xml:space="preserve"> </w:t>
            </w:r>
          </w:p>
        </w:tc>
        <w:tc>
          <w:tcPr>
            <w:tcW w:w="705" w:type="dxa"/>
            <w:tcBorders>
              <w:top w:val="nil"/>
              <w:left w:val="nil"/>
              <w:bottom w:val="single" w:sz="6" w:space="0" w:color="808080"/>
              <w:right w:val="nil"/>
            </w:tcBorders>
            <w:shd w:val="clear" w:color="auto" w:fill="FFFFFF"/>
            <w:tcMar>
              <w:left w:w="36" w:type="dxa"/>
              <w:right w:w="36" w:type="dxa"/>
            </w:tcMar>
            <w:vAlign w:val="center"/>
          </w:tcPr>
          <w:p w:rsidR="00A47EAA" w:rsidRPr="00100BF5" w:rsidRDefault="00A47EAA" w:rsidP="00981030">
            <w:pPr>
              <w:jc w:val="right"/>
              <w:rPr>
                <w:b/>
                <w:sz w:val="16"/>
              </w:rPr>
            </w:pPr>
            <w:r w:rsidRPr="00100BF5">
              <w:rPr>
                <w:b/>
                <w:sz w:val="16"/>
              </w:rPr>
              <w:t>£m</w:t>
            </w:r>
          </w:p>
        </w:tc>
      </w:tr>
      <w:tr w:rsidR="00A47EAA" w:rsidRPr="00100BF5" w:rsidTr="00981030">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b/>
                <w:sz w:val="16"/>
              </w:rPr>
            </w:pPr>
            <w:r w:rsidRPr="00100BF5">
              <w:rPr>
                <w:sz w:val="16"/>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47EAA" w:rsidRPr="00100BF5" w:rsidRDefault="00A47EAA" w:rsidP="00981030">
            <w:pPr>
              <w:jc w:val="right"/>
              <w:rPr>
                <w:rFonts w:ascii="Arial" w:eastAsia="Arial" w:hAnsi="Arial" w:cs="Arial"/>
                <w:sz w:val="20"/>
              </w:rPr>
            </w:pPr>
            <w:r w:rsidRPr="00100BF5">
              <w:rPr>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rFonts w:ascii="Arial" w:eastAsia="Arial" w:hAnsi="Arial" w:cs="Arial"/>
                <w:sz w:val="20"/>
              </w:rPr>
            </w:pPr>
            <w:r w:rsidRPr="00100BF5">
              <w:rPr>
                <w:sz w:val="16"/>
              </w:rPr>
              <w:t xml:space="preserve"> 1 </w:t>
            </w:r>
          </w:p>
        </w:tc>
      </w:tr>
      <w:tr w:rsidR="00A47EAA" w:rsidRPr="00100BF5" w:rsidTr="00981030">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47EAA" w:rsidRPr="00100BF5" w:rsidRDefault="00A47EAA" w:rsidP="00981030">
            <w:pPr>
              <w:jc w:val="right"/>
              <w:rPr>
                <w:rFonts w:ascii="Arial" w:eastAsia="Arial" w:hAnsi="Arial" w:cs="Arial"/>
                <w:sz w:val="20"/>
              </w:rPr>
            </w:pPr>
            <w:r w:rsidRPr="00100BF5">
              <w:rPr>
                <w:sz w:val="16"/>
              </w:rPr>
              <w:t xml:space="preserve"> 3 </w:t>
            </w:r>
          </w:p>
        </w:tc>
        <w:tc>
          <w:tcPr>
            <w:tcW w:w="180"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rFonts w:ascii="Arial" w:eastAsia="Arial" w:hAnsi="Arial" w:cs="Arial"/>
                <w:sz w:val="20"/>
              </w:rPr>
            </w:pPr>
            <w:r w:rsidRPr="00100BF5">
              <w:rPr>
                <w:sz w:val="16"/>
              </w:rPr>
              <w:t xml:space="preserve"> 3 </w:t>
            </w:r>
          </w:p>
        </w:tc>
      </w:tr>
      <w:tr w:rsidR="00A47EAA" w:rsidRPr="00100BF5" w:rsidTr="00F00A12">
        <w:tblPrEx>
          <w:tblCellMar>
            <w:top w:w="0" w:type="dxa"/>
            <w:bottom w:w="0" w:type="dxa"/>
          </w:tblCellMar>
        </w:tblPrEx>
        <w:trPr>
          <w:trHeight w:val="80"/>
        </w:trPr>
        <w:tc>
          <w:tcPr>
            <w:tcW w:w="2310" w:type="dxa"/>
            <w:gridSpan w:val="2"/>
            <w:tcBorders>
              <w:top w:val="nil"/>
              <w:left w:val="nil"/>
              <w:bottom w:val="nil"/>
              <w:right w:val="nil"/>
            </w:tcBorders>
            <w:shd w:val="clear" w:color="auto" w:fill="FFFFFF"/>
            <w:tcMar>
              <w:left w:w="36" w:type="dxa"/>
              <w:right w:w="36" w:type="dxa"/>
            </w:tcMar>
            <w:vAlign w:val="center"/>
          </w:tcPr>
          <w:p w:rsidR="00A47EAA" w:rsidRPr="00100BF5" w:rsidRDefault="00A47EAA" w:rsidP="00981030">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61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r w:rsidRPr="00100BF5">
              <w:rPr>
                <w:rFonts w:ascii="Arial" w:eastAsia="Arial" w:hAnsi="Arial" w:cs="Arial"/>
                <w:sz w:val="20"/>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vertAlign w:val="superscript"/>
              </w:rPr>
            </w:pPr>
            <w:r w:rsidRPr="00100BF5">
              <w:rPr>
                <w:rFonts w:ascii="Arial" w:eastAsia="Arial" w:hAnsi="Arial" w:cs="Arial"/>
                <w:sz w:val="20"/>
              </w:rPr>
              <w:t xml:space="preserve"> </w:t>
            </w:r>
          </w:p>
        </w:tc>
        <w:tc>
          <w:tcPr>
            <w:tcW w:w="96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930"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rPr>
                <w:rFonts w:ascii="Arial" w:eastAsia="Arial" w:hAnsi="Arial" w:cs="Arial"/>
                <w:sz w:val="20"/>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EAEAEA"/>
            <w:tcMar>
              <w:left w:w="36" w:type="dxa"/>
              <w:right w:w="36" w:type="dxa"/>
            </w:tcMar>
            <w:vAlign w:val="center"/>
          </w:tcPr>
          <w:p w:rsidR="00A47EAA" w:rsidRPr="00100BF5" w:rsidRDefault="00A47EAA" w:rsidP="00981030">
            <w:pPr>
              <w:jc w:val="right"/>
              <w:rPr>
                <w:rFonts w:ascii="Arial" w:eastAsia="Arial" w:hAnsi="Arial" w:cs="Arial"/>
                <w:sz w:val="20"/>
              </w:rPr>
            </w:pPr>
            <w:r w:rsidRPr="00100BF5">
              <w:rPr>
                <w:sz w:val="16"/>
              </w:rPr>
              <w:t xml:space="preserve"> 17 </w:t>
            </w:r>
          </w:p>
        </w:tc>
        <w:tc>
          <w:tcPr>
            <w:tcW w:w="180"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sz w:val="16"/>
              </w:rPr>
            </w:pPr>
            <w:r w:rsidRPr="00100BF5">
              <w:rPr>
                <w:rFonts w:ascii="Arial" w:eastAsia="Arial" w:hAnsi="Arial" w:cs="Arial"/>
                <w:sz w:val="20"/>
              </w:rPr>
              <w:t xml:space="preserve"> </w:t>
            </w:r>
          </w:p>
        </w:tc>
        <w:tc>
          <w:tcPr>
            <w:tcW w:w="705" w:type="dxa"/>
            <w:tcBorders>
              <w:top w:val="nil"/>
              <w:left w:val="nil"/>
              <w:bottom w:val="nil"/>
              <w:right w:val="nil"/>
            </w:tcBorders>
            <w:shd w:val="clear" w:color="auto" w:fill="FFFFFF"/>
            <w:tcMar>
              <w:left w:w="36" w:type="dxa"/>
              <w:right w:w="36" w:type="dxa"/>
            </w:tcMar>
            <w:vAlign w:val="center"/>
          </w:tcPr>
          <w:p w:rsidR="00A47EAA" w:rsidRPr="00100BF5" w:rsidRDefault="00A47EAA" w:rsidP="00981030">
            <w:pPr>
              <w:jc w:val="right"/>
              <w:rPr>
                <w:rFonts w:ascii="Arial" w:eastAsia="Arial" w:hAnsi="Arial" w:cs="Arial"/>
                <w:sz w:val="20"/>
              </w:rPr>
            </w:pPr>
            <w:r w:rsidRPr="00100BF5">
              <w:rPr>
                <w:sz w:val="16"/>
              </w:rPr>
              <w:t xml:space="preserve"> 22 </w:t>
            </w:r>
          </w:p>
        </w:tc>
      </w:tr>
    </w:tbl>
    <w:p w:rsidR="00F00A12" w:rsidRPr="00100BF5" w:rsidRDefault="00F00A12">
      <w:pPr>
        <w:spacing w:line="14" w:lineRule="exact"/>
      </w:pPr>
    </w:p>
    <w:p w:rsidR="00F00A12" w:rsidRPr="00100BF5" w:rsidRDefault="00F00A12">
      <w:pPr>
        <w:spacing w:line="14" w:lineRule="exact"/>
      </w:pPr>
    </w:p>
    <w:p w:rsidR="00A12DCA" w:rsidRPr="00100BF5" w:rsidRDefault="00A12DCA" w:rsidP="005F437E">
      <w:pPr>
        <w:pStyle w:val="HeadingLevel1-BarcRA"/>
      </w:pPr>
      <w:r w:rsidRPr="00100BF5">
        <w:br w:type="page"/>
      </w:r>
      <w:r w:rsidR="005F437E">
        <w:t>Credit Risk</w:t>
      </w:r>
    </w:p>
    <w:p w:rsidR="00A12DCA" w:rsidRPr="00100BF5" w:rsidRDefault="00A12DCA">
      <w:pPr>
        <w:spacing w:line="14" w:lineRule="exact"/>
      </w:pPr>
    </w:p>
    <w:tbl>
      <w:tblPr>
        <w:tblW w:w="0" w:type="auto"/>
        <w:tblLayout w:type="fixed"/>
        <w:tblLook w:val="0000" w:firstRow="0" w:lastRow="0" w:firstColumn="0" w:lastColumn="0" w:noHBand="0" w:noVBand="0"/>
      </w:tblPr>
      <w:tblGrid>
        <w:gridCol w:w="1605"/>
        <w:gridCol w:w="705"/>
        <w:gridCol w:w="795"/>
        <w:gridCol w:w="705"/>
        <w:gridCol w:w="180"/>
        <w:gridCol w:w="615"/>
        <w:gridCol w:w="750"/>
        <w:gridCol w:w="810"/>
        <w:gridCol w:w="960"/>
        <w:gridCol w:w="930"/>
        <w:gridCol w:w="705"/>
        <w:gridCol w:w="180"/>
        <w:gridCol w:w="720"/>
      </w:tblGrid>
      <w:tr w:rsidR="00A12DCA" w:rsidRPr="00100BF5" w:rsidTr="00941458">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rsidP="00FB0640">
            <w:r w:rsidRPr="00100BF5">
              <w:rPr>
                <w:b/>
                <w:sz w:val="24"/>
              </w:rPr>
              <w:t>Cyprus</w:t>
            </w:r>
          </w:p>
        </w:tc>
        <w:tc>
          <w:tcPr>
            <w:tcW w:w="2205" w:type="dxa"/>
            <w:gridSpan w:val="3"/>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24"/>
              </w:rPr>
            </w:pPr>
            <w:r w:rsidRPr="00100BF5">
              <w:rPr>
                <w:b/>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3135"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Derivatives</w:t>
            </w:r>
          </w:p>
        </w:tc>
        <w:tc>
          <w:tcPr>
            <w:tcW w:w="930"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c>
          <w:tcPr>
            <w:tcW w:w="720" w:type="dxa"/>
            <w:tcBorders>
              <w:top w:val="nil"/>
              <w:left w:val="nil"/>
              <w:bottom w:val="nil"/>
              <w:right w:val="nil"/>
            </w:tcBorders>
            <w:shd w:val="clear" w:color="auto" w:fill="FFFFFF"/>
            <w:tcMar>
              <w:left w:w="36" w:type="dxa"/>
              <w:right w:w="36" w:type="dxa"/>
            </w:tcMar>
            <w:vAlign w:val="bottom"/>
          </w:tcPr>
          <w:p w:rsidR="00A12DCA" w:rsidRPr="00100BF5" w:rsidRDefault="00A12DCA">
            <w:pPr>
              <w:jc w:val="center"/>
              <w:rPr>
                <w:b/>
                <w:sz w:val="16"/>
              </w:rPr>
            </w:pPr>
            <w:r w:rsidRPr="00100BF5">
              <w:rPr>
                <w:b/>
                <w:sz w:val="16"/>
              </w:rPr>
              <w:t xml:space="preserve"> </w:t>
            </w:r>
          </w:p>
        </w:tc>
      </w:tr>
      <w:tr w:rsidR="00A12DCA" w:rsidRPr="00100BF5" w:rsidTr="00E940CE">
        <w:tblPrEx>
          <w:tblCellMar>
            <w:top w:w="0" w:type="dxa"/>
            <w:bottom w:w="0" w:type="dxa"/>
          </w:tblCellMar>
        </w:tblPrEx>
        <w:trPr>
          <w:trHeight w:val="554"/>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Fair Value through Profit and Loss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Trading Portfolio Assets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Trading Portfolio Liabilities</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w:t>
            </w:r>
          </w:p>
          <w:p w:rsidR="00A12DCA" w:rsidRPr="00100BF5" w:rsidRDefault="00A12DCA">
            <w:pPr>
              <w:jc w:val="right"/>
              <w:rPr>
                <w:b/>
                <w:sz w:val="16"/>
              </w:rPr>
            </w:pPr>
            <w:r w:rsidRPr="00100BF5">
              <w:rPr>
                <w:b/>
                <w:sz w:val="16"/>
              </w:rPr>
              <w:t xml:space="preserve"> Trading Portfolio</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Gross Assets</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Gross Liabilities</w:t>
            </w:r>
            <w:r w:rsidRPr="00100BF5">
              <w:rPr>
                <w:b/>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Cash Collateral</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Net Derivatives</w:t>
            </w:r>
          </w:p>
        </w:tc>
        <w:tc>
          <w:tcPr>
            <w:tcW w:w="930" w:type="dxa"/>
            <w:vMerge/>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 xml:space="preserve"> </w:t>
            </w:r>
          </w:p>
        </w:tc>
        <w:tc>
          <w:tcPr>
            <w:tcW w:w="72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Total</w:t>
            </w:r>
          </w:p>
          <w:p w:rsidR="00A12DCA" w:rsidRPr="00100BF5" w:rsidRDefault="00A12DCA">
            <w:pPr>
              <w:jc w:val="right"/>
              <w:rPr>
                <w:b/>
                <w:sz w:val="16"/>
              </w:rPr>
            </w:pPr>
            <w:r w:rsidRPr="00100BF5">
              <w:rPr>
                <w:b/>
                <w:sz w:val="16"/>
              </w:rPr>
              <w:t>as at</w:t>
            </w:r>
          </w:p>
          <w:p w:rsidR="00A12DCA" w:rsidRPr="00100BF5" w:rsidRDefault="00A12DCA">
            <w:pPr>
              <w:jc w:val="right"/>
              <w:rPr>
                <w:b/>
                <w:sz w:val="16"/>
              </w:rPr>
            </w:pPr>
            <w:r w:rsidRPr="00100BF5">
              <w:rPr>
                <w:b/>
                <w:sz w:val="16"/>
              </w:rPr>
              <w:t>31.12.11</w:t>
            </w:r>
          </w:p>
        </w:tc>
      </w:tr>
      <w:tr w:rsidR="00A12DCA" w:rsidRPr="00100BF5">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r>
      <w:tr w:rsidR="00A12DCA" w:rsidRPr="00100BF5">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r>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6 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59 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(30)</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(29)</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r>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28 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(8)</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(5)</w:t>
            </w:r>
          </w:p>
        </w:tc>
        <w:tc>
          <w:tcPr>
            <w:tcW w:w="96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15 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 xml:space="preserve"> 15 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11 </w:t>
            </w:r>
          </w:p>
        </w:tc>
      </w:tr>
    </w:tbl>
    <w:p w:rsidR="00941458" w:rsidRPr="00100BF5" w:rsidRDefault="00941458"/>
    <w:tbl>
      <w:tblPr>
        <w:tblW w:w="0" w:type="auto"/>
        <w:tblLayout w:type="fixed"/>
        <w:tblLook w:val="0000" w:firstRow="0" w:lastRow="0" w:firstColumn="0" w:lastColumn="0" w:noHBand="0" w:noVBand="0"/>
      </w:tblPr>
      <w:tblGrid>
        <w:gridCol w:w="1605"/>
        <w:gridCol w:w="705"/>
        <w:gridCol w:w="795"/>
        <w:gridCol w:w="705"/>
        <w:gridCol w:w="180"/>
        <w:gridCol w:w="615"/>
        <w:gridCol w:w="750"/>
        <w:gridCol w:w="810"/>
        <w:gridCol w:w="960"/>
        <w:gridCol w:w="930"/>
        <w:gridCol w:w="705"/>
        <w:gridCol w:w="180"/>
        <w:gridCol w:w="720"/>
      </w:tblGrid>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r>
      <w:tr w:rsidR="00941458" w:rsidRPr="00100BF5" w:rsidTr="00941458">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941458" w:rsidRPr="00100BF5" w:rsidRDefault="00941458">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941458" w:rsidRPr="00100BF5" w:rsidRDefault="00941458">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941458" w:rsidRPr="00100BF5" w:rsidRDefault="00941458">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720" w:type="dxa"/>
            <w:vMerge w:val="restart"/>
            <w:tcBorders>
              <w:top w:val="nil"/>
              <w:left w:val="nil"/>
              <w:right w:val="nil"/>
            </w:tcBorders>
            <w:shd w:val="clear" w:color="auto" w:fill="FFFFFF"/>
            <w:tcMar>
              <w:left w:w="36" w:type="dxa"/>
              <w:right w:w="36" w:type="dxa"/>
            </w:tcMar>
            <w:vAlign w:val="bottom"/>
          </w:tcPr>
          <w:p w:rsidR="00941458" w:rsidRPr="00100BF5" w:rsidRDefault="00941458" w:rsidP="00941458">
            <w:pPr>
              <w:jc w:val="right"/>
              <w:rPr>
                <w:sz w:val="16"/>
              </w:rPr>
            </w:pPr>
            <w:r w:rsidRPr="00100BF5">
              <w:rPr>
                <w:b/>
                <w:sz w:val="16"/>
              </w:rPr>
              <w:t>Total</w:t>
            </w:r>
          </w:p>
          <w:p w:rsidR="00941458" w:rsidRPr="00100BF5" w:rsidRDefault="00941458" w:rsidP="00941458">
            <w:pPr>
              <w:jc w:val="right"/>
              <w:rPr>
                <w:b/>
                <w:sz w:val="16"/>
              </w:rPr>
            </w:pPr>
            <w:r w:rsidRPr="00100BF5">
              <w:rPr>
                <w:b/>
                <w:sz w:val="16"/>
              </w:rPr>
              <w:t>as at</w:t>
            </w:r>
          </w:p>
          <w:p w:rsidR="00941458" w:rsidRPr="00100BF5" w:rsidRDefault="00941458" w:rsidP="00941458">
            <w:pPr>
              <w:jc w:val="right"/>
              <w:rPr>
                <w:sz w:val="16"/>
              </w:rPr>
            </w:pPr>
            <w:r w:rsidRPr="00100BF5">
              <w:rPr>
                <w:b/>
                <w:sz w:val="16"/>
              </w:rPr>
              <w:t>31.12.11</w:t>
            </w:r>
          </w:p>
        </w:tc>
      </w:tr>
      <w:tr w:rsidR="00941458" w:rsidRPr="00100BF5" w:rsidTr="00941458">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941458" w:rsidRPr="00100BF5" w:rsidRDefault="00941458">
            <w:pPr>
              <w:rPr>
                <w:b/>
                <w:sz w:val="16"/>
              </w:rPr>
            </w:pPr>
            <w:r w:rsidRPr="00100BF5">
              <w:rPr>
                <w:b/>
                <w:sz w:val="16"/>
              </w:rPr>
              <w:t>Held at Amortised Cost</w:t>
            </w:r>
          </w:p>
        </w:tc>
        <w:tc>
          <w:tcPr>
            <w:tcW w:w="180" w:type="dxa"/>
            <w:tcBorders>
              <w:top w:val="nil"/>
              <w:left w:val="nil"/>
              <w:bottom w:val="nil"/>
              <w:right w:val="nil"/>
            </w:tcBorders>
            <w:shd w:val="clear" w:color="auto" w:fill="FFFFFF"/>
            <w:tcMar>
              <w:left w:w="36" w:type="dxa"/>
              <w:right w:w="36" w:type="dxa"/>
            </w:tcMar>
            <w:vAlign w:val="center"/>
          </w:tcPr>
          <w:p w:rsidR="00941458" w:rsidRPr="00100BF5" w:rsidRDefault="00941458">
            <w:pPr>
              <w:rPr>
                <w:b/>
                <w:sz w:val="16"/>
              </w:rPr>
            </w:pPr>
            <w:r w:rsidRPr="00100BF5">
              <w:rPr>
                <w:sz w:val="16"/>
              </w:rPr>
              <w:t xml:space="preserve"> </w:t>
            </w:r>
          </w:p>
        </w:tc>
        <w:tc>
          <w:tcPr>
            <w:tcW w:w="4770" w:type="dxa"/>
            <w:gridSpan w:val="6"/>
            <w:tcBorders>
              <w:top w:val="nil"/>
              <w:left w:val="nil"/>
              <w:bottom w:val="nil"/>
              <w:right w:val="nil"/>
            </w:tcBorders>
            <w:shd w:val="clear" w:color="auto" w:fill="FFFFFF"/>
            <w:tcMar>
              <w:left w:w="36" w:type="dxa"/>
              <w:right w:w="36" w:type="dxa"/>
            </w:tcMar>
            <w:vAlign w:val="center"/>
          </w:tcPr>
          <w:p w:rsidR="00941458" w:rsidRPr="00100BF5" w:rsidRDefault="00941458">
            <w:pPr>
              <w:jc w:val="center"/>
              <w:rPr>
                <w:sz w:val="16"/>
              </w:rPr>
            </w:pPr>
            <w:r w:rsidRPr="00100BF5">
              <w:rPr>
                <w:b/>
                <w:sz w:val="16"/>
              </w:rPr>
              <w:t>Loans and Advances as at 30.06.12</w:t>
            </w:r>
          </w:p>
        </w:tc>
        <w:tc>
          <w:tcPr>
            <w:tcW w:w="180" w:type="dxa"/>
            <w:tcBorders>
              <w:top w:val="nil"/>
              <w:left w:val="nil"/>
              <w:bottom w:val="nil"/>
              <w:right w:val="nil"/>
            </w:tcBorders>
            <w:shd w:val="clear" w:color="auto" w:fill="FFFFFF"/>
            <w:tcMar>
              <w:left w:w="36" w:type="dxa"/>
              <w:right w:w="36" w:type="dxa"/>
            </w:tcMar>
            <w:vAlign w:val="center"/>
          </w:tcPr>
          <w:p w:rsidR="00941458" w:rsidRPr="00100BF5" w:rsidRDefault="00941458">
            <w:pPr>
              <w:jc w:val="center"/>
              <w:rPr>
                <w:b/>
                <w:sz w:val="16"/>
              </w:rPr>
            </w:pPr>
            <w:r w:rsidRPr="00100BF5">
              <w:rPr>
                <w:b/>
                <w:sz w:val="16"/>
              </w:rPr>
              <w:t xml:space="preserve"> </w:t>
            </w:r>
          </w:p>
        </w:tc>
        <w:tc>
          <w:tcPr>
            <w:tcW w:w="720" w:type="dxa"/>
            <w:vMerge/>
            <w:tcBorders>
              <w:left w:val="nil"/>
              <w:right w:val="nil"/>
            </w:tcBorders>
            <w:shd w:val="clear" w:color="auto" w:fill="FFFFFF"/>
            <w:tcMar>
              <w:left w:w="36" w:type="dxa"/>
              <w:right w:w="36" w:type="dxa"/>
            </w:tcMar>
            <w:vAlign w:val="bottom"/>
          </w:tcPr>
          <w:p w:rsidR="00941458" w:rsidRPr="00100BF5" w:rsidRDefault="00941458" w:rsidP="00941458">
            <w:pPr>
              <w:jc w:val="right"/>
              <w:rPr>
                <w:b/>
                <w:sz w:val="16"/>
              </w:rPr>
            </w:pPr>
          </w:p>
        </w:tc>
      </w:tr>
      <w:tr w:rsidR="00941458" w:rsidRPr="00100BF5" w:rsidTr="00941458">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941458" w:rsidRPr="00100BF5" w:rsidRDefault="00941458">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941458" w:rsidRPr="00100BF5" w:rsidRDefault="00941458">
            <w:pPr>
              <w:rPr>
                <w:b/>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941458" w:rsidRPr="00100BF5" w:rsidRDefault="00941458">
            <w:pPr>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941458" w:rsidRPr="00100BF5" w:rsidRDefault="00941458">
            <w:pPr>
              <w:jc w:val="right"/>
              <w:rPr>
                <w:sz w:val="16"/>
              </w:rPr>
            </w:pPr>
            <w:r w:rsidRPr="00100BF5">
              <w:rPr>
                <w:b/>
                <w:sz w:val="16"/>
              </w:rPr>
              <w:t xml:space="preserve">Gross </w:t>
            </w:r>
            <w:r w:rsidRPr="00100BF5">
              <w:rPr>
                <w:b/>
                <w:sz w:val="16"/>
                <w:vertAlign w:val="superscript"/>
              </w:rPr>
              <w:t xml:space="preserve">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941458" w:rsidRPr="00100BF5" w:rsidRDefault="00941458">
            <w:pPr>
              <w:jc w:val="right"/>
              <w:rPr>
                <w:b/>
                <w:sz w:val="16"/>
              </w:rPr>
            </w:pPr>
            <w:r w:rsidRPr="00100BF5">
              <w:rPr>
                <w:b/>
                <w:sz w:val="16"/>
              </w:rPr>
              <w:t xml:space="preserve">Impairment </w:t>
            </w:r>
          </w:p>
          <w:p w:rsidR="00941458" w:rsidRPr="00100BF5" w:rsidRDefault="00941458">
            <w:pPr>
              <w:jc w:val="right"/>
              <w:rPr>
                <w:b/>
                <w:sz w:val="16"/>
                <w:vertAlign w:val="superscript"/>
              </w:rPr>
            </w:pPr>
            <w:r w:rsidRPr="00100BF5">
              <w:rPr>
                <w:b/>
                <w:sz w:val="16"/>
              </w:rPr>
              <w:t>Allowances</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941458" w:rsidRPr="00100BF5" w:rsidRDefault="00941458">
            <w:pPr>
              <w:rPr>
                <w:b/>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941458" w:rsidRPr="00100BF5" w:rsidRDefault="00941458">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941458" w:rsidRPr="00100BF5" w:rsidRDefault="00941458">
            <w:pPr>
              <w:jc w:val="right"/>
              <w:rPr>
                <w:b/>
                <w:sz w:val="16"/>
              </w:rPr>
            </w:pPr>
            <w:r w:rsidRPr="00100BF5">
              <w:rPr>
                <w:b/>
                <w:sz w:val="16"/>
              </w:rPr>
              <w:t xml:space="preserve"> </w:t>
            </w:r>
          </w:p>
        </w:tc>
        <w:tc>
          <w:tcPr>
            <w:tcW w:w="720" w:type="dxa"/>
            <w:vMerge/>
            <w:tcBorders>
              <w:left w:val="nil"/>
              <w:bottom w:val="nil"/>
              <w:right w:val="nil"/>
            </w:tcBorders>
            <w:shd w:val="clear" w:color="auto" w:fill="FFFFFF"/>
            <w:tcMar>
              <w:left w:w="36" w:type="dxa"/>
              <w:right w:w="36" w:type="dxa"/>
            </w:tcMar>
            <w:vAlign w:val="bottom"/>
          </w:tcPr>
          <w:p w:rsidR="00941458" w:rsidRPr="00100BF5" w:rsidRDefault="00941458" w:rsidP="00941458">
            <w:pPr>
              <w:jc w:val="right"/>
              <w:rPr>
                <w:b/>
                <w:sz w:val="16"/>
              </w:rPr>
            </w:pPr>
          </w:p>
        </w:tc>
      </w:tr>
      <w:tr w:rsidR="00A12DCA" w:rsidRPr="00100BF5" w:rsidTr="000A4DF8">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£m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£m </w:t>
            </w:r>
          </w:p>
        </w:tc>
      </w:tr>
      <w:tr w:rsidR="00A12DCA" w:rsidRPr="00100BF5" w:rsidTr="000A4DF8">
        <w:tblPrEx>
          <w:tblCellMar>
            <w:top w:w="0" w:type="dxa"/>
            <w:bottom w:w="0" w:type="dxa"/>
          </w:tblCellMar>
        </w:tblPrEx>
        <w:trPr>
          <w:trHeight w:val="240"/>
        </w:trPr>
        <w:tc>
          <w:tcPr>
            <w:tcW w:w="16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Sovereign</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7 </w:t>
            </w:r>
            <w:r w:rsidRPr="00100BF5">
              <w:rPr>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 xml:space="preserve"> 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15 </w:t>
            </w:r>
          </w:p>
        </w:tc>
      </w:tr>
      <w:tr w:rsidR="00A12DCA" w:rsidRPr="00100BF5" w:rsidTr="00941458">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51 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 xml:space="preserve"> 51 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51 </w:t>
            </w:r>
          </w:p>
        </w:tc>
      </w:tr>
      <w:tr w:rsidR="00A12DCA" w:rsidRPr="00100BF5" w:rsidTr="000A4DF8">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130 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(15)</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 xml:space="preserve"> 115 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117 </w:t>
            </w:r>
          </w:p>
        </w:tc>
      </w:tr>
      <w:tr w:rsidR="00A12DCA" w:rsidRPr="00100BF5" w:rsidTr="00941458">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6 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 xml:space="preserve"> 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2 </w:t>
            </w:r>
          </w:p>
        </w:tc>
      </w:tr>
    </w:tbl>
    <w:p w:rsidR="00941458" w:rsidRPr="00100BF5" w:rsidRDefault="00941458"/>
    <w:tbl>
      <w:tblPr>
        <w:tblW w:w="0" w:type="auto"/>
        <w:tblLayout w:type="fixed"/>
        <w:tblLook w:val="0000" w:firstRow="0" w:lastRow="0" w:firstColumn="0" w:lastColumn="0" w:noHBand="0" w:noVBand="0"/>
      </w:tblPr>
      <w:tblGrid>
        <w:gridCol w:w="1605"/>
        <w:gridCol w:w="705"/>
        <w:gridCol w:w="795"/>
        <w:gridCol w:w="705"/>
        <w:gridCol w:w="180"/>
        <w:gridCol w:w="615"/>
        <w:gridCol w:w="750"/>
        <w:gridCol w:w="810"/>
        <w:gridCol w:w="960"/>
        <w:gridCol w:w="930"/>
        <w:gridCol w:w="705"/>
        <w:gridCol w:w="180"/>
        <w:gridCol w:w="720"/>
      </w:tblGrid>
      <w:tr w:rsidR="00A12DCA" w:rsidRPr="00100BF5">
        <w:tblPrEx>
          <w:tblCellMar>
            <w:top w:w="0" w:type="dxa"/>
            <w:bottom w:w="0" w:type="dxa"/>
          </w:tblCellMar>
        </w:tblPrEx>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rFonts w:ascii="Calibri" w:eastAsia="Calibri" w:hAnsi="Calibri" w:cs="Calibri"/>
                <w:sz w:val="22"/>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79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61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75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r w:rsidRPr="00100BF5">
              <w:rPr>
                <w:rFonts w:ascii="Calibri" w:eastAsia="Calibri" w:hAnsi="Calibri" w:cs="Calibri"/>
                <w:sz w:val="22"/>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vertAlign w:val="superscript"/>
              </w:rPr>
            </w:pPr>
            <w:r w:rsidRPr="00100BF5">
              <w:rPr>
                <w:rFonts w:ascii="Calibri" w:eastAsia="Calibri" w:hAnsi="Calibri" w:cs="Calibri"/>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705"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c>
          <w:tcPr>
            <w:tcW w:w="720"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Calibri" w:eastAsia="Calibri" w:hAnsi="Calibri" w:cs="Calibri"/>
                <w:sz w:val="22"/>
              </w:rPr>
            </w:pPr>
            <w:r w:rsidRPr="00100BF5">
              <w:rPr>
                <w:rFonts w:ascii="Calibri" w:eastAsia="Calibri" w:hAnsi="Calibri" w:cs="Calibri"/>
                <w:sz w:val="22"/>
              </w:rPr>
              <w:t xml:space="preserve"> </w:t>
            </w:r>
          </w:p>
        </w:tc>
      </w:tr>
      <w:tr w:rsidR="00A12DCA" w:rsidRPr="00100BF5">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Calibri" w:eastAsia="Calibri" w:hAnsi="Calibri" w:cs="Calibri"/>
                <w:sz w:val="22"/>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Total</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Total</w:t>
            </w:r>
          </w:p>
        </w:tc>
      </w:tr>
      <w:tr w:rsidR="00A12DCA" w:rsidRPr="00100BF5" w:rsidTr="00941458">
        <w:tblPrEx>
          <w:tblCellMar>
            <w:top w:w="0" w:type="dxa"/>
            <w:bottom w:w="0" w:type="dxa"/>
          </w:tblCellMar>
        </w:tblPrEx>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r>
      <w:tr w:rsidR="00A12DCA" w:rsidRPr="00100BF5" w:rsidTr="000A4DF8">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31.12.11</w:t>
            </w:r>
          </w:p>
        </w:tc>
      </w:tr>
      <w:tr w:rsidR="00A12DCA" w:rsidRPr="00100BF5" w:rsidTr="000A4DF8">
        <w:tblPrEx>
          <w:tblCellMar>
            <w:top w:w="0" w:type="dxa"/>
            <w:bottom w:w="0" w:type="dxa"/>
          </w:tblCellMar>
        </w:tblPrEx>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£m </w:t>
            </w:r>
          </w:p>
        </w:tc>
      </w:tr>
      <w:tr w:rsidR="00A12DCA" w:rsidRPr="00100BF5" w:rsidTr="00941458">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rPr>
            </w:pPr>
            <w:r w:rsidRPr="00100BF5">
              <w:rPr>
                <w:sz w:val="16"/>
              </w:rPr>
              <w:t xml:space="preserve"> 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 </w:t>
            </w:r>
          </w:p>
        </w:tc>
      </w:tr>
      <w:tr w:rsidR="00A12DCA" w:rsidRPr="00100BF5" w:rsidTr="000A4DF8">
        <w:tblPrEx>
          <w:tblCellMar>
            <w:top w:w="0" w:type="dxa"/>
            <w:bottom w:w="0" w:type="dxa"/>
          </w:tblCellMar>
        </w:tblPrEx>
        <w:trPr>
          <w:trHeight w:val="240"/>
        </w:trPr>
        <w:tc>
          <w:tcPr>
            <w:tcW w:w="16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rPr>
            </w:pPr>
            <w:r w:rsidRPr="00100BF5">
              <w:rPr>
                <w:sz w:val="16"/>
              </w:rPr>
              <w:t xml:space="preserve"> 101 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107 </w:t>
            </w:r>
          </w:p>
        </w:tc>
      </w:tr>
      <w:tr w:rsidR="00A12DCA" w:rsidRPr="00100BF5" w:rsidTr="00941458">
        <w:tblPrEx>
          <w:tblCellMar>
            <w:top w:w="0" w:type="dxa"/>
            <w:bottom w:w="0" w:type="dxa"/>
          </w:tblCellMar>
        </w:tblPrEx>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sz w:val="16"/>
              </w:rPr>
            </w:pPr>
            <w:r w:rsidRPr="00100BF5">
              <w:rPr>
                <w:b/>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r w:rsidRPr="00100BF5">
              <w:rPr>
                <w:b/>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vertAlign w:val="superscript"/>
              </w:rPr>
            </w:pPr>
            <w:r w:rsidRPr="00100BF5">
              <w:rPr>
                <w:b/>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rPr>
            </w:pPr>
            <w:r w:rsidRPr="00100BF5">
              <w:rPr>
                <w:b/>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rPr>
            </w:pPr>
            <w:r w:rsidRPr="00100BF5">
              <w:rPr>
                <w:sz w:val="16"/>
              </w:rPr>
              <w:t xml:space="preserve"> 20 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 xml:space="preserve"> 20 </w:t>
            </w:r>
          </w:p>
        </w:tc>
      </w:tr>
    </w:tbl>
    <w:p w:rsidR="00A12DCA" w:rsidRPr="00100BF5" w:rsidRDefault="00A12DCA">
      <w:pPr>
        <w:spacing w:line="14" w:lineRule="exact"/>
      </w:pP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Default="005F437E" w:rsidP="005F437E">
      <w:pPr>
        <w:pStyle w:val="HeadingLevel1-BarcRA"/>
      </w:pPr>
      <w:r>
        <w:t>Credit Risk</w:t>
      </w:r>
    </w:p>
    <w:p w:rsidR="00A12DCA" w:rsidRPr="00100BF5" w:rsidRDefault="00A12DCA" w:rsidP="00FB0640">
      <w:pPr>
        <w:pStyle w:val="HeadingLevel1-BarcRA40"/>
        <w:rPr>
          <w:color w:val="auto"/>
          <w:lang w:val="en-GB"/>
        </w:rPr>
      </w:pPr>
      <w:r w:rsidRPr="00100BF5">
        <w:rPr>
          <w:color w:val="auto"/>
          <w:lang w:val="en-GB"/>
        </w:rPr>
        <w:t>Investment Bank</w:t>
      </w:r>
      <w:r w:rsidRPr="00100BF5">
        <w:rPr>
          <w:color w:val="auto"/>
        </w:rPr>
        <w:t xml:space="preserve"> Credit Market Exposures</w:t>
      </w:r>
      <w:r w:rsidRPr="00100BF5">
        <w:rPr>
          <w:color w:val="auto"/>
          <w:vertAlign w:val="superscript"/>
          <w:lang w:val="en-GB"/>
        </w:rPr>
        <w:t>1</w:t>
      </w:r>
    </w:p>
    <w:p w:rsidR="00A12DCA" w:rsidRPr="00100BF5" w:rsidRDefault="00A12DCA">
      <w:pPr>
        <w:rPr>
          <w:lang w:val="en-GB"/>
        </w:rPr>
      </w:pPr>
    </w:p>
    <w:tbl>
      <w:tblPr>
        <w:tblW w:w="0" w:type="auto"/>
        <w:tblLayout w:type="fixed"/>
        <w:tblLook w:val="0000" w:firstRow="0" w:lastRow="0" w:firstColumn="0" w:lastColumn="0" w:noHBand="0" w:noVBand="0"/>
      </w:tblPr>
      <w:tblGrid>
        <w:gridCol w:w="2565"/>
        <w:gridCol w:w="930"/>
        <w:gridCol w:w="930"/>
        <w:gridCol w:w="930"/>
        <w:gridCol w:w="930"/>
        <w:gridCol w:w="120"/>
        <w:gridCol w:w="1080"/>
        <w:gridCol w:w="1080"/>
        <w:gridCol w:w="1080"/>
      </w:tblGrid>
      <w:tr w:rsidR="00A12DCA" w:rsidRPr="00100BF5" w:rsidTr="00A12DCA">
        <w:tblPrEx>
          <w:tblCellMar>
            <w:top w:w="0" w:type="dxa"/>
            <w:bottom w:w="0" w:type="dxa"/>
          </w:tblCellMar>
        </w:tblPrEx>
        <w:trPr>
          <w:trHeigh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lang w:val="en-GB"/>
              </w:rPr>
            </w:pPr>
            <w:r w:rsidRPr="00100BF5">
              <w:rPr>
                <w:b/>
                <w:sz w:val="16"/>
                <w:lang w:val="en-GB"/>
              </w:rPr>
              <w:t xml:space="preserve"> </w:t>
            </w:r>
            <w:r w:rsidRPr="00100BF5">
              <w:rPr>
                <w:b/>
                <w:sz w:val="16"/>
                <w:vertAlign w:val="superscript"/>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lang w:val="en-GB"/>
              </w:rPr>
            </w:pPr>
            <w:r w:rsidRPr="00100BF5">
              <w:rPr>
                <w:b/>
                <w:sz w:val="16"/>
                <w:lang w:val="en-GB"/>
              </w:rPr>
              <w:t>Half Year Ended 30.06.12</w:t>
            </w:r>
          </w:p>
        </w:tc>
      </w:tr>
      <w:tr w:rsidR="00A12DCA" w:rsidRPr="00100BF5">
        <w:tblPrEx>
          <w:tblCellMar>
            <w:top w:w="0" w:type="dxa"/>
            <w:bottom w:w="0" w:type="dxa"/>
          </w:tblCellMar>
        </w:tblPrEx>
        <w:trPr>
          <w:trHeight w:val="960"/>
        </w:trPr>
        <w:tc>
          <w:tcPr>
            <w:tcW w:w="256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lang w:val="en-GB"/>
              </w:rPr>
            </w:pPr>
            <w:r w:rsidRPr="00100BF5">
              <w:rPr>
                <w:b/>
                <w:sz w:val="16"/>
                <w:lang w:val="en-GB"/>
              </w:rPr>
              <w:t xml:space="preserve"> </w:t>
            </w:r>
            <w:r w:rsidRPr="00100BF5">
              <w:rPr>
                <w:b/>
                <w:sz w:val="16"/>
                <w:vertAlign w:val="superscript"/>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lang w:val="en-GB"/>
              </w:rPr>
            </w:pPr>
            <w:r w:rsidRPr="00100BF5">
              <w:rPr>
                <w:b/>
                <w:sz w:val="16"/>
                <w:lang w:val="en-GB"/>
              </w:rPr>
              <w:t>As at 30.06.12</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As at 31.12.11</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As at 30.06.12</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As at 31.12.11</w:t>
            </w:r>
          </w:p>
        </w:tc>
        <w:tc>
          <w:tcPr>
            <w:tcW w:w="12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Fair Value (Losses)/ Gains and Net Funding</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Impairment Release/ (Charge)</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lang w:val="en-GB"/>
              </w:rPr>
            </w:pPr>
            <w:r w:rsidRPr="00100BF5">
              <w:rPr>
                <w:b/>
                <w:sz w:val="16"/>
                <w:lang w:val="en-GB"/>
              </w:rPr>
              <w:t>Total (Losses)/ Gains</w:t>
            </w:r>
          </w:p>
        </w:tc>
      </w:tr>
      <w:tr w:rsidR="00A12DCA" w:rsidRPr="00100BF5">
        <w:tblPrEx>
          <w:tblCellMar>
            <w:top w:w="0" w:type="dxa"/>
            <w:bottom w:w="0" w:type="dxa"/>
          </w:tblCellMar>
        </w:tblPrEx>
        <w:trPr>
          <w:trHeight w:val="240"/>
        </w:trPr>
        <w:tc>
          <w:tcPr>
            <w:tcW w:w="25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US Residential Mortgages</w:t>
            </w:r>
            <w:r w:rsidRPr="00100BF5">
              <w:rPr>
                <w:sz w:val="16"/>
                <w:vertAlign w:val="superscript"/>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$m</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£m</w:t>
            </w:r>
          </w:p>
        </w:tc>
      </w:tr>
      <w:tr w:rsidR="00A12DCA" w:rsidRPr="00100BF5">
        <w:tblPrEx>
          <w:tblCellMar>
            <w:top w:w="0" w:type="dxa"/>
            <w:bottom w:w="0" w:type="dxa"/>
          </w:tblCellMar>
        </w:tblPrEx>
        <w:trPr>
          <w:trHeigh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ABS CDO Super Senior</w:t>
            </w:r>
            <w:r w:rsidRPr="00100BF5">
              <w:rPr>
                <w:sz w:val="16"/>
                <w:vertAlign w:val="superscript"/>
                <w:lang w:val="en-GB"/>
              </w:rPr>
              <w:t xml:space="preserve">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2,535 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2,844 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1,615 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1,842 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(14)</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(131)</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(145)</w:t>
            </w:r>
          </w:p>
        </w:tc>
      </w:tr>
      <w:tr w:rsidR="00A12DCA" w:rsidRPr="00100BF5">
        <w:tblPrEx>
          <w:tblCellMar>
            <w:top w:w="0" w:type="dxa"/>
            <w:bottom w:w="0" w:type="dxa"/>
          </w:tblCellMar>
        </w:tblPrEx>
        <w:trPr>
          <w:trHeigh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US sub-prime and Alt-A</w:t>
            </w:r>
            <w:r w:rsidRPr="00100BF5">
              <w:rPr>
                <w:sz w:val="16"/>
                <w:vertAlign w:val="superscript"/>
                <w:lang w:val="en-GB"/>
              </w:rPr>
              <w:t>2 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1,621 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2,134 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1,033 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1,381 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52 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(9)</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43 </w:t>
            </w:r>
          </w:p>
        </w:tc>
      </w:tr>
      <w:tr w:rsidR="00A12DCA" w:rsidRPr="00100BF5">
        <w:tblPrEx>
          <w:tblCellMar>
            <w:top w:w="0" w:type="dxa"/>
            <w:bottom w:w="0" w:type="dxa"/>
          </w:tblCellMar>
        </w:tblPrEx>
        <w:trPr>
          <w:trHeight w:hRule="exac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25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Commercial Mortgages</w:t>
            </w:r>
            <w:r w:rsidRPr="00100BF5">
              <w:rPr>
                <w:b/>
                <w:sz w:val="16"/>
                <w:vertAlign w:val="superscript"/>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510"/>
        </w:trPr>
        <w:tc>
          <w:tcPr>
            <w:tcW w:w="25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Commercial real estate loans and properties</w:t>
            </w:r>
            <w:r w:rsidRPr="00100BF5">
              <w:rPr>
                <w:sz w:val="16"/>
                <w:vertAlign w:val="superscript"/>
                <w:lang w:val="en-GB"/>
              </w:rPr>
              <w:t xml:space="preserve"> </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6,655 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8,228 </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4,240 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5,329 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81 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81 </w:t>
            </w:r>
          </w:p>
        </w:tc>
      </w:tr>
      <w:tr w:rsidR="00A12DCA" w:rsidRPr="00100BF5">
        <w:tblPrEx>
          <w:tblCellMar>
            <w:top w:w="0" w:type="dxa"/>
            <w:bottom w:w="0" w:type="dxa"/>
          </w:tblCellMar>
        </w:tblPrEx>
        <w:trPr>
          <w:trHeight w:val="51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Commercial Mortgaged Backed Securities</w:t>
            </w:r>
            <w:r w:rsidRPr="00100BF5">
              <w:rPr>
                <w:sz w:val="16"/>
                <w:vertAlign w:val="superscript"/>
                <w:lang w:val="en-GB"/>
              </w:rPr>
              <w:t>2 </w:t>
            </w:r>
          </w:p>
        </w:tc>
        <w:tc>
          <w:tcPr>
            <w:tcW w:w="930" w:type="dxa"/>
            <w:tcBorders>
              <w:top w:val="nil"/>
              <w:left w:val="nil"/>
              <w:bottom w:val="nil"/>
              <w:right w:val="nil"/>
            </w:tcBorders>
            <w:shd w:val="clear" w:color="auto" w:fill="EAEAEA"/>
            <w:tcMar>
              <w:left w:w="36" w:type="dxa"/>
              <w:right w:w="36" w:type="dxa"/>
            </w:tcMar>
            <w:vAlign w:val="bottom"/>
          </w:tcPr>
          <w:p w:rsidR="00A12DCA" w:rsidRPr="00100BF5" w:rsidRDefault="00A12DCA">
            <w:pPr>
              <w:jc w:val="right"/>
              <w:rPr>
                <w:sz w:val="16"/>
                <w:vertAlign w:val="superscript"/>
                <w:lang w:val="en-GB"/>
              </w:rPr>
            </w:pPr>
            <w:r w:rsidRPr="00100BF5">
              <w:rPr>
                <w:sz w:val="16"/>
                <w:lang w:val="en-GB"/>
              </w:rPr>
              <w:t>1,208 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1,578 </w:t>
            </w:r>
          </w:p>
        </w:tc>
        <w:tc>
          <w:tcPr>
            <w:tcW w:w="930" w:type="dxa"/>
            <w:tcBorders>
              <w:top w:val="nil"/>
              <w:left w:val="nil"/>
              <w:bottom w:val="nil"/>
              <w:right w:val="nil"/>
            </w:tcBorders>
            <w:shd w:val="clear" w:color="auto" w:fill="EAEAEA"/>
            <w:tcMar>
              <w:left w:w="36" w:type="dxa"/>
              <w:right w:w="36" w:type="dxa"/>
            </w:tcMar>
            <w:vAlign w:val="bottom"/>
          </w:tcPr>
          <w:p w:rsidR="00A12DCA" w:rsidRPr="00100BF5" w:rsidRDefault="00A12DCA">
            <w:pPr>
              <w:jc w:val="right"/>
              <w:rPr>
                <w:sz w:val="16"/>
                <w:lang w:val="en-GB"/>
              </w:rPr>
            </w:pPr>
            <w:r w:rsidRPr="00100BF5">
              <w:rPr>
                <w:sz w:val="16"/>
                <w:lang w:val="en-GB"/>
              </w:rPr>
              <w:t>770 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1,022 </w:t>
            </w:r>
          </w:p>
        </w:tc>
        <w:tc>
          <w:tcPr>
            <w:tcW w:w="12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54 </w:t>
            </w:r>
          </w:p>
        </w:tc>
        <w:tc>
          <w:tcPr>
            <w:tcW w:w="10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bottom"/>
          </w:tcPr>
          <w:p w:rsidR="00A12DCA" w:rsidRPr="00100BF5" w:rsidRDefault="00A12DCA">
            <w:pPr>
              <w:jc w:val="right"/>
              <w:rPr>
                <w:sz w:val="16"/>
                <w:lang w:val="en-GB"/>
              </w:rPr>
            </w:pPr>
            <w:r w:rsidRPr="00100BF5">
              <w:rPr>
                <w:sz w:val="16"/>
                <w:lang w:val="en-GB"/>
              </w:rPr>
              <w:t>54 </w:t>
            </w:r>
          </w:p>
        </w:tc>
      </w:tr>
      <w:tr w:rsidR="00A12DCA" w:rsidRPr="00100BF5">
        <w:tblPrEx>
          <w:tblCellMar>
            <w:top w:w="0" w:type="dxa"/>
            <w:bottom w:w="0" w:type="dxa"/>
          </w:tblCellMar>
        </w:tblPrEx>
        <w:trPr>
          <w:trHeigh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Monoline protection on CMBS</w:t>
            </w:r>
            <w:r w:rsidRPr="00100BF5">
              <w:rPr>
                <w:sz w:val="16"/>
                <w:vertAlign w:val="superscript"/>
                <w:lang w:val="en-GB"/>
              </w:rPr>
              <w:t xml:space="preserve"> </w:t>
            </w:r>
          </w:p>
        </w:tc>
        <w:tc>
          <w:tcPr>
            <w:tcW w:w="930" w:type="dxa"/>
            <w:tcBorders>
              <w:top w:val="nil"/>
              <w:left w:val="nil"/>
              <w:bottom w:val="nil"/>
              <w:right w:val="nil"/>
            </w:tcBorders>
            <w:shd w:val="clear" w:color="auto" w:fill="EAEAEA"/>
            <w:tcMar>
              <w:left w:w="36" w:type="dxa"/>
              <w:right w:w="36" w:type="dxa"/>
            </w:tcMar>
            <w:vAlign w:val="bottom"/>
          </w:tcPr>
          <w:p w:rsidR="00A12DCA" w:rsidRPr="00100BF5" w:rsidRDefault="00A12DCA">
            <w:pPr>
              <w:jc w:val="right"/>
              <w:rPr>
                <w:sz w:val="16"/>
                <w:vertAlign w:val="superscript"/>
                <w:lang w:val="en-GB"/>
              </w:rPr>
            </w:pPr>
            <w:r w:rsidRPr="00100BF5">
              <w:rPr>
                <w:sz w:val="16"/>
                <w:lang w:val="en-GB"/>
              </w:rPr>
              <w:t>10 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14 </w:t>
            </w:r>
          </w:p>
        </w:tc>
        <w:tc>
          <w:tcPr>
            <w:tcW w:w="930" w:type="dxa"/>
            <w:tcBorders>
              <w:top w:val="nil"/>
              <w:left w:val="nil"/>
              <w:bottom w:val="nil"/>
              <w:right w:val="nil"/>
            </w:tcBorders>
            <w:shd w:val="clear" w:color="auto" w:fill="EAEAEA"/>
            <w:tcMar>
              <w:left w:w="36" w:type="dxa"/>
              <w:right w:w="36" w:type="dxa"/>
            </w:tcMar>
            <w:vAlign w:val="bottom"/>
          </w:tcPr>
          <w:p w:rsidR="00A12DCA" w:rsidRPr="00100BF5" w:rsidRDefault="00A12DCA">
            <w:pPr>
              <w:jc w:val="right"/>
              <w:rPr>
                <w:sz w:val="16"/>
                <w:lang w:val="en-GB"/>
              </w:rPr>
            </w:pPr>
            <w:r w:rsidRPr="00100BF5">
              <w:rPr>
                <w:sz w:val="16"/>
                <w:lang w:val="en-GB"/>
              </w:rPr>
              <w:t>6 </w:t>
            </w:r>
          </w:p>
        </w:tc>
        <w:tc>
          <w:tcPr>
            <w:tcW w:w="93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9 </w:t>
            </w:r>
          </w:p>
        </w:tc>
        <w:tc>
          <w:tcPr>
            <w:tcW w:w="12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 </w:t>
            </w:r>
          </w:p>
        </w:tc>
        <w:tc>
          <w:tcPr>
            <w:tcW w:w="1080"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bottom"/>
          </w:tcPr>
          <w:p w:rsidR="00A12DCA" w:rsidRPr="00100BF5" w:rsidRDefault="00A12DCA">
            <w:pPr>
              <w:jc w:val="right"/>
              <w:rPr>
                <w:sz w:val="16"/>
                <w:lang w:val="en-GB"/>
              </w:rPr>
            </w:pPr>
            <w:r w:rsidRPr="00100BF5">
              <w:rPr>
                <w:sz w:val="16"/>
                <w:lang w:val="en-GB"/>
              </w:rPr>
              <w:t>- </w:t>
            </w:r>
          </w:p>
        </w:tc>
      </w:tr>
      <w:tr w:rsidR="00A12DCA" w:rsidRPr="00100BF5">
        <w:tblPrEx>
          <w:tblCellMar>
            <w:top w:w="0" w:type="dxa"/>
            <w:bottom w:w="0" w:type="dxa"/>
          </w:tblCellMar>
        </w:tblPrEx>
        <w:trPr>
          <w:trHeight w:hRule="exac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 xml:space="preserve"> </w:t>
            </w:r>
            <w:r w:rsidRPr="00100BF5">
              <w:rPr>
                <w:sz w:val="16"/>
                <w:vertAlign w:val="superscript"/>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r>
      <w:tr w:rsidR="00A12DCA" w:rsidRPr="00100BF5">
        <w:tblPrEx>
          <w:tblCellMar>
            <w:top w:w="0" w:type="dxa"/>
            <w:bottom w:w="0" w:type="dxa"/>
          </w:tblCellMar>
        </w:tblPrEx>
        <w:trPr>
          <w:trHeight w:val="240"/>
        </w:trPr>
        <w:tc>
          <w:tcPr>
            <w:tcW w:w="25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 xml:space="preserve">Other Credit Market </w:t>
            </w:r>
            <w:r w:rsidRPr="00100BF5">
              <w:rPr>
                <w:b/>
                <w:sz w:val="16"/>
                <w:vertAlign w:val="superscript"/>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val="240"/>
        </w:trPr>
        <w:tc>
          <w:tcPr>
            <w:tcW w:w="25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sz w:val="16"/>
                <w:lang w:val="en-GB"/>
              </w:rPr>
              <w:t>Leveraged Finance</w:t>
            </w:r>
            <w:r w:rsidRPr="00100BF5">
              <w:rPr>
                <w:sz w:val="16"/>
                <w:vertAlign w:val="superscript"/>
                <w:lang w:val="en-GB"/>
              </w:rPr>
              <w:t>3 </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6,090 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6,278 </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3,880 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4,066 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(28)</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7 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(21)</w:t>
            </w:r>
          </w:p>
        </w:tc>
      </w:tr>
      <w:tr w:rsidR="00A12DCA" w:rsidRPr="00100BF5">
        <w:tblPrEx>
          <w:tblCellMar>
            <w:top w:w="0" w:type="dxa"/>
            <w:bottom w:w="0" w:type="dxa"/>
          </w:tblCellMar>
        </w:tblPrEx>
        <w:trPr>
          <w:trHeight w:val="24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SIVs, SIV -Lites and CDPCs</w:t>
            </w:r>
            <w:r w:rsidRPr="00100BF5">
              <w:rPr>
                <w:sz w:val="16"/>
                <w:vertAlign w:val="superscript"/>
                <w:lang w:val="en-GB"/>
              </w:rPr>
              <w:t xml:space="preserve">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9 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6 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(1)</w:t>
            </w:r>
          </w:p>
        </w:tc>
      </w:tr>
      <w:tr w:rsidR="00A12DCA" w:rsidRPr="00100BF5">
        <w:tblPrEx>
          <w:tblCellMar>
            <w:top w:w="0" w:type="dxa"/>
            <w:bottom w:w="0" w:type="dxa"/>
          </w:tblCellMar>
        </w:tblPrEx>
        <w:trPr>
          <w:trHeight w:val="510"/>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Monoline protection on CLO and other</w:t>
            </w:r>
            <w:r w:rsidRPr="00100BF5">
              <w:rPr>
                <w:sz w:val="16"/>
                <w:vertAlign w:val="superscript"/>
                <w:lang w:val="en-GB"/>
              </w:rPr>
              <w:t xml:space="preserve">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1,351 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1,729 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861 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1,120 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(47)</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(47)</w:t>
            </w:r>
          </w:p>
        </w:tc>
      </w:tr>
      <w:tr w:rsidR="00A12DCA" w:rsidRPr="00100BF5">
        <w:tblPrEx>
          <w:tblCellMar>
            <w:top w:w="0" w:type="dxa"/>
            <w:bottom w:w="0" w:type="dxa"/>
          </w:tblCellMar>
        </w:tblPrEx>
        <w:trPr>
          <w:trHeight w:val="255"/>
        </w:trPr>
        <w:tc>
          <w:tcPr>
            <w:tcW w:w="2565" w:type="dxa"/>
            <w:tcBorders>
              <w:top w:val="nil"/>
              <w:left w:val="nil"/>
              <w:bottom w:val="nil"/>
              <w:right w:val="nil"/>
            </w:tcBorders>
            <w:shd w:val="clear" w:color="auto" w:fill="FFFFFF"/>
            <w:tcMar>
              <w:left w:w="36" w:type="dxa"/>
              <w:right w:w="36" w:type="dxa"/>
            </w:tcMar>
            <w:vAlign w:val="center"/>
          </w:tcPr>
          <w:p w:rsidR="00A12DCA" w:rsidRPr="00100BF5" w:rsidRDefault="008A5B21">
            <w:pPr>
              <w:rPr>
                <w:sz w:val="16"/>
                <w:lang w:val="en-GB"/>
              </w:rPr>
            </w:pPr>
            <w:r>
              <w:rPr>
                <w:sz w:val="16"/>
                <w:lang w:val="en-GB"/>
              </w:rPr>
              <w:t>CLO and O</w:t>
            </w:r>
            <w:r w:rsidR="00A12DCA" w:rsidRPr="00100BF5">
              <w:rPr>
                <w:sz w:val="16"/>
                <w:lang w:val="en-GB"/>
              </w:rPr>
              <w:t>ther assets</w:t>
            </w:r>
            <w:r w:rsidR="00A12DCA" w:rsidRPr="00100BF5">
              <w:rPr>
                <w:sz w:val="16"/>
                <w:vertAlign w:val="superscript"/>
                <w:lang w:val="en-GB"/>
              </w:rPr>
              <w:t>2 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lang w:val="en-GB"/>
              </w:rPr>
            </w:pPr>
            <w:r w:rsidRPr="00100BF5">
              <w:rPr>
                <w:sz w:val="16"/>
                <w:lang w:val="en-GB"/>
              </w:rPr>
              <w:t>450 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596 </w:t>
            </w:r>
          </w:p>
        </w:tc>
        <w:tc>
          <w:tcPr>
            <w:tcW w:w="93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287 </w:t>
            </w:r>
          </w:p>
        </w:tc>
        <w:tc>
          <w:tcPr>
            <w:tcW w:w="93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386 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44 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lang w:val="en-GB"/>
              </w:rPr>
            </w:pPr>
            <w:r w:rsidRPr="00100BF5">
              <w:rPr>
                <w:sz w:val="16"/>
                <w:lang w:val="en-GB"/>
              </w:rPr>
              <w:t>-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lang w:val="en-GB"/>
              </w:rPr>
            </w:pPr>
            <w:r w:rsidRPr="00100BF5">
              <w:rPr>
                <w:sz w:val="16"/>
                <w:lang w:val="en-GB"/>
              </w:rPr>
              <w:t>44 </w:t>
            </w:r>
          </w:p>
        </w:tc>
      </w:tr>
      <w:tr w:rsidR="00A12DCA" w:rsidRPr="00100BF5">
        <w:tblPrEx>
          <w:tblCellMar>
            <w:top w:w="0" w:type="dxa"/>
            <w:bottom w:w="0" w:type="dxa"/>
          </w:tblCellMar>
        </w:tblPrEx>
        <w:trPr>
          <w:trHeight w:hRule="exact" w:val="240"/>
        </w:trPr>
        <w:tc>
          <w:tcPr>
            <w:tcW w:w="256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 xml:space="preserve"> </w:t>
            </w:r>
            <w:r w:rsidRPr="00100BF5">
              <w:rPr>
                <w:b/>
                <w:sz w:val="16"/>
                <w:vertAlign w:val="superscript"/>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r>
      <w:tr w:rsidR="00A12DCA" w:rsidRPr="00100BF5">
        <w:tblPrEx>
          <w:tblCellMar>
            <w:top w:w="0" w:type="dxa"/>
            <w:bottom w:w="0" w:type="dxa"/>
          </w:tblCellMar>
        </w:tblPrEx>
        <w:trPr>
          <w:trHeight w:val="240"/>
        </w:trPr>
        <w:tc>
          <w:tcPr>
            <w:tcW w:w="256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lang w:val="en-GB"/>
              </w:rPr>
            </w:pPr>
            <w:r w:rsidRPr="00100BF5">
              <w:rPr>
                <w:b/>
                <w:sz w:val="16"/>
                <w:lang w:val="en-GB"/>
              </w:rPr>
              <w:t>Total</w:t>
            </w:r>
            <w:r w:rsidRPr="00100BF5">
              <w:rPr>
                <w:b/>
                <w:sz w:val="16"/>
                <w:vertAlign w:val="superscript"/>
                <w:lang w:val="en-GB"/>
              </w:rPr>
              <w:t xml:space="preserve"> </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lang w:val="en-GB"/>
              </w:rPr>
            </w:pPr>
            <w:r w:rsidRPr="00100BF5">
              <w:rPr>
                <w:b/>
                <w:sz w:val="16"/>
                <w:lang w:val="en-GB"/>
              </w:rPr>
              <w:t>19,920 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23,410 </w:t>
            </w:r>
          </w:p>
        </w:tc>
        <w:tc>
          <w:tcPr>
            <w:tcW w:w="93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12,692 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15,161 </w:t>
            </w:r>
          </w:p>
        </w:tc>
        <w:tc>
          <w:tcPr>
            <w:tcW w:w="12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141 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lang w:val="en-GB"/>
              </w:rPr>
            </w:pPr>
            <w:r w:rsidRPr="00100BF5">
              <w:rPr>
                <w:b/>
                <w:sz w:val="16"/>
                <w:lang w:val="en-GB"/>
              </w:rPr>
              <w:t>(133)</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lang w:val="en-GB"/>
              </w:rPr>
            </w:pPr>
            <w:r w:rsidRPr="00100BF5">
              <w:rPr>
                <w:b/>
                <w:sz w:val="16"/>
                <w:lang w:val="en-GB"/>
              </w:rPr>
              <w:t>8 </w:t>
            </w:r>
          </w:p>
        </w:tc>
      </w:tr>
    </w:tbl>
    <w:p w:rsidR="00A12DCA" w:rsidRPr="00100BF5" w:rsidRDefault="00A12DCA">
      <w:pPr>
        <w:rPr>
          <w:lang w:val="en-GB"/>
        </w:rPr>
      </w:pPr>
    </w:p>
    <w:p w:rsidR="00A12DCA" w:rsidRPr="00100BF5" w:rsidRDefault="00A12DCA" w:rsidP="00DF0442">
      <w:pPr>
        <w:pStyle w:val="Level1Bullet-BarcRA03"/>
      </w:pPr>
      <w:r w:rsidRPr="00100BF5">
        <w:t xml:space="preserve">Investment Bank credit market exposures arose before the market dislocation in mid-2007 and now primarily relate to commercial real estate and leveraged finance </w:t>
      </w:r>
    </w:p>
    <w:p w:rsidR="00A12DCA" w:rsidRPr="00100BF5" w:rsidRDefault="00A12DCA" w:rsidP="00DF0442">
      <w:pPr>
        <w:pStyle w:val="Level1Bullet-BarcRA03"/>
      </w:pPr>
      <w:r w:rsidRPr="00100BF5">
        <w:t>Credit market exposures decreased by £2,469m to £12,692m, reflecting net sales and paydowns and other movements of £2,221m, foreign exchange movements of £256m, offset by net fair value gains and impairment charges of £8m. Net sales, paydowns and other movements of £2,221m included:</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 xml:space="preserve">£1,020m of commercial real estate loans and properties including sale of 100% stake in Archstone for £857m ($1,338m) </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£362m US sub-prime and Alt-A</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£290m commercial mortgage-backed securities</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£193m monoline protection on CLO and other</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£161m leveraged finance, primarily relating to one counterparty</w:t>
      </w:r>
    </w:p>
    <w:p w:rsidR="00A12DCA" w:rsidRPr="00100BF5" w:rsidRDefault="00A12DCA" w:rsidP="00DF0442">
      <w:pPr>
        <w:pStyle w:val="Level1Bullet-BarcRA03"/>
      </w:pPr>
      <w:r w:rsidRPr="00100BF5">
        <w:t>Barclays has entered into an agreement to sell Baubecon, a real estate portfolio, for approximately €1.2bn (£1bn) with completion expected in Q3 2012</w:t>
      </w: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12DCA" w:rsidRPr="00100BF5" w:rsidRDefault="00A12DCA" w:rsidP="00A12DCA">
      <w:pPr>
        <w:pStyle w:val="NoteSourceText-BarcRA00"/>
        <w:jc w:val="left"/>
      </w:pPr>
    </w:p>
    <w:p w:rsidR="00A47EAA" w:rsidRPr="00100BF5" w:rsidRDefault="00A47EAA" w:rsidP="00A12DCA">
      <w:pPr>
        <w:pStyle w:val="NoteSourceText-BarcRA00"/>
        <w:jc w:val="left"/>
      </w:pPr>
    </w:p>
    <w:p w:rsidR="00A47EAA" w:rsidRPr="00100BF5" w:rsidRDefault="00A47EAA" w:rsidP="00A12DCA">
      <w:pPr>
        <w:pStyle w:val="NoteSourceText-BarcRA00"/>
        <w:jc w:val="left"/>
      </w:pPr>
    </w:p>
    <w:p w:rsidR="00A12DCA" w:rsidRPr="00100BF5" w:rsidRDefault="00A12DCA" w:rsidP="00A12DCA">
      <w:pPr>
        <w:pStyle w:val="NoteSourceText-BarcRA5"/>
        <w:jc w:val="left"/>
      </w:pPr>
      <w:r w:rsidRPr="00100BF5">
        <w:t>1</w:t>
      </w:r>
      <w:r w:rsidRPr="00100BF5">
        <w:tab/>
        <w:t>As the majority of exposure is held in US Dollars, the exposures above are shown in both US Dollars and Sterling</w:t>
      </w:r>
      <w:r w:rsidR="003B473F" w:rsidRPr="00100BF5">
        <w:t>.</w:t>
      </w:r>
    </w:p>
    <w:p w:rsidR="00A12DCA" w:rsidRPr="00100BF5" w:rsidRDefault="00A12DCA" w:rsidP="00A12DCA">
      <w:pPr>
        <w:pStyle w:val="NoteSourceText-BarcRA000"/>
      </w:pPr>
      <w:r w:rsidRPr="00100BF5">
        <w:t>2</w:t>
      </w:r>
      <w:r w:rsidRPr="00100BF5">
        <w:tab/>
        <w:t xml:space="preserve">Collateral assets of £1,695m (31 December 2011: £2,272m) previously underlying the Protium loan are now included within the relevant asset classes as the assets are now managed alongside similar credit market exposures.  These assets comprised:  US sub-prime and Alt-A £679m (31 December 2011:  £965m), commercial mortgage-backed securities £729m (31 December 2011: £921m), CLO and </w:t>
      </w:r>
      <w:r w:rsidR="008A5B21">
        <w:t>O</w:t>
      </w:r>
      <w:r w:rsidRPr="00100BF5">
        <w:t>ther assets £287m (31 December 2011: £386m)</w:t>
      </w:r>
      <w:r w:rsidR="003B473F" w:rsidRPr="00100BF5">
        <w:t>.</w:t>
      </w:r>
    </w:p>
    <w:p w:rsidR="00A12DCA" w:rsidRPr="00100BF5" w:rsidRDefault="00A12DCA" w:rsidP="00A12DCA">
      <w:pPr>
        <w:pStyle w:val="NoteSourceText-BarcRA000"/>
      </w:pPr>
      <w:r w:rsidRPr="00100BF5">
        <w:t>3</w:t>
      </w:r>
      <w:r w:rsidRPr="00100BF5">
        <w:tab/>
        <w:t>Includes undrawn commitments of £201m (31 December 2011: £180m)</w:t>
      </w:r>
      <w:r w:rsidR="003B473F" w:rsidRPr="00100BF5">
        <w:t>.</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Default="005F437E" w:rsidP="005F437E">
      <w:pPr>
        <w:pStyle w:val="HeadingLevel1-BarcRA"/>
      </w:pPr>
      <w:r>
        <w:t>Market Risk</w:t>
      </w:r>
    </w:p>
    <w:p w:rsidR="00A12DCA" w:rsidRPr="00100BF5" w:rsidRDefault="00A12DCA" w:rsidP="00FB0640">
      <w:pPr>
        <w:pStyle w:val="HeadingLevel2-BarcRA16"/>
        <w:spacing w:before="0"/>
        <w:rPr>
          <w:color w:val="auto"/>
          <w:lang w:val="en-GB"/>
        </w:rPr>
      </w:pPr>
      <w:r w:rsidRPr="00100BF5">
        <w:rPr>
          <w:color w:val="auto"/>
        </w:rPr>
        <w:t xml:space="preserve">Analysis of </w:t>
      </w:r>
      <w:r w:rsidRPr="00100BF5">
        <w:rPr>
          <w:color w:val="auto"/>
          <w:lang w:val="en-GB"/>
        </w:rPr>
        <w:t xml:space="preserve">Investment Bank’s </w:t>
      </w:r>
      <w:r w:rsidRPr="00100BF5">
        <w:rPr>
          <w:color w:val="auto"/>
        </w:rPr>
        <w:t>Market Risk Exposure</w:t>
      </w:r>
    </w:p>
    <w:p w:rsidR="00A12DCA" w:rsidRPr="00100BF5" w:rsidRDefault="00A12DCA" w:rsidP="00DF0442">
      <w:pPr>
        <w:pStyle w:val="Level1Bullet-BarcRA03"/>
        <w:rPr>
          <w:lang w:val="en-GB"/>
        </w:rPr>
      </w:pPr>
      <w:r w:rsidRPr="00100BF5">
        <w:rPr>
          <w:lang w:val="en-GB"/>
        </w:rPr>
        <w:t>Investment Bank uses Daily Value at Risk (DVaR) as one of the measures for trading market risk management. The calculation is based on historical simulation of the most recent two years of data and is monitored daily. For internal risk management purposes DVaR is calculated at a 95% confidence interval</w:t>
      </w:r>
    </w:p>
    <w:p w:rsidR="00A12DCA" w:rsidRPr="00100BF5" w:rsidRDefault="00A12DCA" w:rsidP="00DF0442">
      <w:pPr>
        <w:pStyle w:val="Level1Bullet-BarcRA03"/>
        <w:rPr>
          <w:lang w:val="en-GB"/>
        </w:rPr>
      </w:pPr>
      <w:r w:rsidRPr="00100BF5">
        <w:rPr>
          <w:lang w:val="en-GB"/>
        </w:rPr>
        <w:t>Market risk appetite is reviewed and approved by the Board Risk Committee at least annually</w:t>
      </w:r>
    </w:p>
    <w:tbl>
      <w:tblPr>
        <w:tblW w:w="0" w:type="auto"/>
        <w:tblLayout w:type="fixed"/>
        <w:tblLook w:val="0000" w:firstRow="0" w:lastRow="0" w:firstColumn="0" w:lastColumn="0" w:noHBand="0" w:noVBand="0"/>
      </w:tblPr>
      <w:tblGrid>
        <w:gridCol w:w="1860"/>
        <w:gridCol w:w="825"/>
        <w:gridCol w:w="825"/>
        <w:gridCol w:w="825"/>
        <w:gridCol w:w="180"/>
        <w:gridCol w:w="825"/>
        <w:gridCol w:w="825"/>
        <w:gridCol w:w="825"/>
        <w:gridCol w:w="180"/>
        <w:gridCol w:w="810"/>
        <w:gridCol w:w="825"/>
        <w:gridCol w:w="825"/>
      </w:tblGrid>
      <w:tr w:rsidR="00A12DCA" w:rsidRPr="00100BF5" w:rsidTr="00230C09">
        <w:tblPrEx>
          <w:tblCellMar>
            <w:top w:w="0" w:type="dxa"/>
            <w:bottom w:w="0" w:type="dxa"/>
          </w:tblCellMar>
        </w:tblPrEx>
        <w:trPr>
          <w:trHeight w:val="240"/>
        </w:trPr>
        <w:tc>
          <w:tcPr>
            <w:tcW w:w="1860"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sz w:val="16"/>
              </w:rPr>
              <w:t xml:space="preserve"> </w:t>
            </w:r>
            <w:r w:rsidRPr="00100BF5">
              <w:rPr>
                <w:sz w:val="16"/>
                <w:vertAlign w:val="superscript"/>
              </w:rPr>
              <w:t xml:space="preserve"> </w:t>
            </w:r>
          </w:p>
        </w:tc>
        <w:tc>
          <w:tcPr>
            <w:tcW w:w="247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center"/>
              <w:rPr>
                <w:sz w:val="16"/>
                <w:vertAlign w:val="superscript"/>
              </w:rPr>
            </w:pPr>
            <w:r w:rsidRPr="00100BF5">
              <w:rPr>
                <w:b/>
                <w:sz w:val="16"/>
              </w:rPr>
              <w:t>Half Year Ended 30.06.12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center"/>
              <w:rPr>
                <w:b/>
                <w:sz w:val="16"/>
                <w:vertAlign w:val="superscript"/>
              </w:rPr>
            </w:pPr>
          </w:p>
        </w:tc>
        <w:tc>
          <w:tcPr>
            <w:tcW w:w="2475"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center"/>
              <w:rPr>
                <w:sz w:val="16"/>
              </w:rPr>
            </w:pPr>
            <w:r w:rsidRPr="00100BF5">
              <w:rPr>
                <w:b/>
                <w:sz w:val="16"/>
              </w:rPr>
              <w:t>Half Year Ended 31.12.11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center"/>
              <w:rPr>
                <w:b/>
                <w:sz w:val="16"/>
                <w:vertAlign w:val="superscript"/>
              </w:rPr>
            </w:pPr>
          </w:p>
        </w:tc>
        <w:tc>
          <w:tcPr>
            <w:tcW w:w="2460" w:type="dxa"/>
            <w:gridSpan w:val="3"/>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center"/>
              <w:rPr>
                <w:sz w:val="16"/>
              </w:rPr>
            </w:pPr>
            <w:r w:rsidRPr="00100BF5">
              <w:rPr>
                <w:b/>
                <w:sz w:val="16"/>
              </w:rPr>
              <w:t>Half Year Ended 30.06.11</w:t>
            </w:r>
          </w:p>
        </w:tc>
      </w:tr>
      <w:tr w:rsidR="00A12DCA" w:rsidRPr="00100BF5" w:rsidTr="000A4DF8">
        <w:tblPrEx>
          <w:tblCellMar>
            <w:top w:w="0" w:type="dxa"/>
            <w:bottom w:w="0" w:type="dxa"/>
          </w:tblCellMar>
        </w:tblPrEx>
        <w:trPr>
          <w:trHeight w:val="240"/>
        </w:trPr>
        <w:tc>
          <w:tcPr>
            <w:tcW w:w="186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DVaR (95%)</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Daily Avg</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High</w:t>
            </w:r>
            <w:r w:rsidRPr="00100BF5">
              <w:rPr>
                <w:b/>
                <w:sz w:val="16"/>
                <w:vertAlign w:val="superscript"/>
              </w:rPr>
              <w:t>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Low</w:t>
            </w:r>
            <w:r w:rsidRPr="00100BF5">
              <w:rPr>
                <w:b/>
                <w:sz w:val="16"/>
                <w:vertAlign w:val="superscript"/>
              </w:rPr>
              <w:t>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b/>
                <w:sz w:val="16"/>
              </w:rPr>
              <w:t>Daily Avg</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High</w:t>
            </w:r>
            <w:r w:rsidRPr="00100BF5">
              <w:rPr>
                <w:b/>
                <w:sz w:val="16"/>
                <w:vertAlign w:val="superscript"/>
              </w:rPr>
              <w:t>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Low</w:t>
            </w:r>
            <w:r w:rsidRPr="00100BF5">
              <w:rPr>
                <w:b/>
                <w:sz w:val="16"/>
                <w:vertAlign w:val="superscript"/>
              </w:rPr>
              <w:t>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b/>
                <w:sz w:val="16"/>
              </w:rPr>
              <w:t>Daily Avg</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High</w:t>
            </w:r>
            <w:r w:rsidRPr="00100BF5">
              <w:rPr>
                <w:b/>
                <w:sz w:val="16"/>
                <w:vertAlign w:val="superscript"/>
              </w:rPr>
              <w:t>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Low</w:t>
            </w:r>
            <w:r w:rsidRPr="00100BF5">
              <w:rPr>
                <w:b/>
                <w:sz w:val="16"/>
                <w:vertAlign w:val="superscript"/>
              </w:rPr>
              <w:t>1 </w:t>
            </w:r>
          </w:p>
        </w:tc>
      </w:tr>
      <w:tr w:rsidR="00A12DCA" w:rsidRPr="00100BF5" w:rsidTr="000A4DF8">
        <w:tblPrEx>
          <w:tblCellMar>
            <w:top w:w="0" w:type="dxa"/>
            <w:bottom w:w="0" w:type="dxa"/>
          </w:tblCellMar>
        </w:tblPrEx>
        <w:trPr>
          <w:trHeight w:val="240"/>
        </w:trPr>
        <w:tc>
          <w:tcPr>
            <w:tcW w:w="18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£m</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£m</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£m</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£m</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£m</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£m</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£m</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£m</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£m</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Interest rate risk</w:t>
            </w:r>
            <w:r w:rsidRPr="00100BF5">
              <w:rPr>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13 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22 </w:t>
            </w:r>
            <w:r w:rsidRPr="00100BF5">
              <w:rPr>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8 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13 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21 </w:t>
            </w:r>
            <w:r w:rsidRPr="00100BF5">
              <w:rPr>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7 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22 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47 </w:t>
            </w:r>
            <w:r w:rsidRPr="00100BF5">
              <w:rPr>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11 </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Spread risk</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38 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68 </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28 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56 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69 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32 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33 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49 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25 </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Commodity risk</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6 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9 </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4 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10 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14 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7 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14 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18 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9 </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Equity risk</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10 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17 </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6 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16 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30 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9 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21 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34 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11 </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Foreign exchange risk</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6 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10 </w:t>
            </w:r>
            <w:r w:rsidRPr="00100BF5">
              <w:rPr>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3 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5 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8 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2 </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4 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7 </w:t>
            </w:r>
            <w:r w:rsidRPr="00100BF5">
              <w:rPr>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2 </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Diversification effect</w:t>
            </w:r>
            <w:r w:rsidRPr="00100BF5">
              <w:rPr>
                <w:sz w:val="16"/>
                <w:vertAlign w:val="superscript"/>
              </w:rPr>
              <w:t xml:space="preserve"> </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(31)</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0A4DF8">
            <w:pPr>
              <w:jc w:val="right"/>
              <w:rPr>
                <w:sz w:val="16"/>
              </w:rPr>
            </w:pPr>
            <w:r w:rsidRPr="00100BF5">
              <w:rPr>
                <w:sz w:val="16"/>
              </w:rPr>
              <w:t>na</w:t>
            </w:r>
            <w:r w:rsidRPr="00100BF5">
              <w:rPr>
                <w:sz w:val="16"/>
                <w:vertAlign w:val="superscript"/>
              </w:rPr>
              <w:t xml:space="preserve"> </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0A4DF8">
            <w:pPr>
              <w:jc w:val="right"/>
              <w:rPr>
                <w:sz w:val="16"/>
                <w:vertAlign w:val="superscript"/>
              </w:rPr>
            </w:pPr>
            <w:r w:rsidRPr="00100BF5">
              <w:rPr>
                <w:sz w:val="16"/>
              </w:rPr>
              <w:t>na</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(35)</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na</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na</w:t>
            </w:r>
            <w:r w:rsidRPr="00100BF5">
              <w:rPr>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(46)</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sz w:val="16"/>
              </w:rPr>
              <w:t>na</w:t>
            </w:r>
            <w:r w:rsidRPr="00100BF5">
              <w:rPr>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vertAlign w:val="superscript"/>
              </w:rPr>
            </w:pPr>
            <w:r w:rsidRPr="00100BF5">
              <w:rPr>
                <w:sz w:val="16"/>
              </w:rPr>
              <w:t>na</w:t>
            </w:r>
            <w:r w:rsidRPr="00100BF5">
              <w:rPr>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Total DVaR</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vertAlign w:val="superscript"/>
              </w:rPr>
            </w:pPr>
            <w:r w:rsidRPr="00100BF5">
              <w:rPr>
                <w:b/>
                <w:sz w:val="16"/>
              </w:rPr>
              <w:t>42 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rPr>
            </w:pPr>
            <w:r w:rsidRPr="00100BF5">
              <w:rPr>
                <w:b/>
                <w:sz w:val="16"/>
              </w:rPr>
              <w:t>75 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vertAlign w:val="superscript"/>
              </w:rPr>
            </w:pPr>
            <w:r w:rsidRPr="00100BF5">
              <w:rPr>
                <w:b/>
                <w:sz w:val="16"/>
              </w:rPr>
              <w:t>29 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b/>
                <w:sz w:val="16"/>
              </w:rPr>
              <w:t>65 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88 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48 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b/>
                <w:sz w:val="16"/>
              </w:rPr>
              <w:t>48 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71 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33 </w:t>
            </w:r>
            <w:r w:rsidRPr="00100BF5">
              <w:rPr>
                <w:b/>
                <w:sz w:val="16"/>
                <w:vertAlign w:val="superscript"/>
              </w:rPr>
              <w:t xml:space="preserve"> </w:t>
            </w:r>
          </w:p>
        </w:tc>
      </w:tr>
      <w:tr w:rsidR="00A12DCA" w:rsidRPr="00100BF5" w:rsidTr="000A4DF8">
        <w:tblPrEx>
          <w:tblCellMar>
            <w:top w:w="0" w:type="dxa"/>
            <w:bottom w:w="0" w:type="dxa"/>
          </w:tblCellMar>
        </w:tblPrEx>
        <w:trPr>
          <w:trHeight w:hRule="exact" w:val="240"/>
        </w:trPr>
        <w:tc>
          <w:tcPr>
            <w:tcW w:w="18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sz w:val="16"/>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r w:rsidRPr="00100BF5">
              <w:rPr>
                <w:b/>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Expected shortfall</w:t>
            </w:r>
            <w:r w:rsidRPr="00100BF5">
              <w:rPr>
                <w:b/>
                <w:sz w:val="16"/>
                <w:vertAlign w:val="superscript"/>
              </w:rPr>
              <w:t>2 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vertAlign w:val="superscript"/>
              </w:rPr>
            </w:pPr>
            <w:r w:rsidRPr="00100BF5">
              <w:rPr>
                <w:b/>
                <w:sz w:val="16"/>
              </w:rPr>
              <w:t>53 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rPr>
            </w:pPr>
            <w:r w:rsidRPr="00100BF5">
              <w:rPr>
                <w:b/>
                <w:sz w:val="16"/>
              </w:rPr>
              <w:t>91 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vertAlign w:val="superscript"/>
              </w:rPr>
            </w:pPr>
            <w:r w:rsidRPr="00100BF5">
              <w:rPr>
                <w:b/>
                <w:sz w:val="16"/>
              </w:rPr>
              <w:t>36 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81 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113 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58 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60 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97 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43 </w:t>
            </w:r>
            <w:r w:rsidRPr="00100BF5">
              <w:rPr>
                <w:b/>
                <w:sz w:val="16"/>
                <w:vertAlign w:val="superscript"/>
              </w:rPr>
              <w:t xml:space="preserve"> </w:t>
            </w:r>
          </w:p>
        </w:tc>
      </w:tr>
      <w:tr w:rsidR="00A12DCA" w:rsidRPr="00100BF5" w:rsidTr="000A4DF8">
        <w:tblPrEx>
          <w:tblCellMar>
            <w:top w:w="0" w:type="dxa"/>
            <w:bottom w:w="0" w:type="dxa"/>
          </w:tblCellMar>
        </w:tblPrEx>
        <w:trPr>
          <w:trHeight w:hRule="exact" w:val="240"/>
        </w:trPr>
        <w:tc>
          <w:tcPr>
            <w:tcW w:w="18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 xml:space="preserve"> </w:t>
            </w:r>
            <w:r w:rsidRPr="00100BF5">
              <w:rPr>
                <w:b/>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r w:rsidRPr="00100BF5">
              <w:rPr>
                <w:b/>
                <w:sz w:val="16"/>
                <w:vertAlign w:val="superscript"/>
              </w:rPr>
              <w:t xml:space="preserve"> </w:t>
            </w:r>
          </w:p>
        </w:tc>
      </w:tr>
      <w:tr w:rsidR="00A12DCA" w:rsidRPr="00100BF5" w:rsidTr="000A4DF8">
        <w:tblPrEx>
          <w:tblCellMar>
            <w:top w:w="0" w:type="dxa"/>
            <w:bottom w:w="0" w:type="dxa"/>
          </w:tblCellMar>
        </w:tblPrEx>
        <w:trPr>
          <w:trHeight w:val="240"/>
        </w:trPr>
        <w:tc>
          <w:tcPr>
            <w:tcW w:w="18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3W</w:t>
            </w:r>
            <w:r w:rsidRPr="00100BF5">
              <w:rPr>
                <w:b/>
                <w:sz w:val="16"/>
                <w:vertAlign w:val="superscript"/>
              </w:rPr>
              <w:t>3 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vertAlign w:val="superscript"/>
              </w:rPr>
            </w:pPr>
            <w:r w:rsidRPr="00100BF5">
              <w:rPr>
                <w:b/>
                <w:sz w:val="16"/>
              </w:rPr>
              <w:t>86 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rPr>
            </w:pPr>
            <w:r w:rsidRPr="00100BF5">
              <w:rPr>
                <w:b/>
                <w:sz w:val="16"/>
              </w:rPr>
              <w:t>138 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0A4DF8">
            <w:pPr>
              <w:jc w:val="right"/>
              <w:rPr>
                <w:b/>
                <w:sz w:val="16"/>
                <w:vertAlign w:val="superscript"/>
              </w:rPr>
            </w:pPr>
            <w:r w:rsidRPr="00100BF5">
              <w:rPr>
                <w:b/>
                <w:sz w:val="16"/>
              </w:rPr>
              <w:t>52 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137 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202 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98 </w:t>
            </w:r>
            <w:r w:rsidRPr="00100BF5">
              <w:rPr>
                <w:b/>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104 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rPr>
            </w:pPr>
            <w:r w:rsidRPr="00100BF5">
              <w:rPr>
                <w:b/>
                <w:sz w:val="16"/>
              </w:rPr>
              <w:t>176 </w:t>
            </w:r>
            <w:r w:rsidRPr="00100BF5">
              <w:rPr>
                <w:b/>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0A4DF8">
            <w:pPr>
              <w:jc w:val="right"/>
              <w:rPr>
                <w:b/>
                <w:sz w:val="16"/>
                <w:vertAlign w:val="superscript"/>
              </w:rPr>
            </w:pPr>
            <w:r w:rsidRPr="00100BF5">
              <w:rPr>
                <w:b/>
                <w:sz w:val="16"/>
              </w:rPr>
              <w:t>67 </w:t>
            </w:r>
            <w:r w:rsidRPr="00100BF5">
              <w:rPr>
                <w:b/>
                <w:sz w:val="16"/>
                <w:vertAlign w:val="superscript"/>
              </w:rPr>
              <w:t xml:space="preserve"> </w:t>
            </w:r>
          </w:p>
        </w:tc>
      </w:tr>
    </w:tbl>
    <w:p w:rsidR="00A12DCA" w:rsidRPr="00100BF5" w:rsidRDefault="00A12DCA"/>
    <w:p w:rsidR="00A12DCA" w:rsidRPr="00100BF5" w:rsidRDefault="00A12DCA" w:rsidP="00DF0442">
      <w:pPr>
        <w:pStyle w:val="Level1Bullet-BarcRA03"/>
        <w:rPr>
          <w:lang w:val="en-GB"/>
        </w:rPr>
      </w:pPr>
      <w:r w:rsidRPr="00100BF5">
        <w:rPr>
          <w:lang w:val="en-GB"/>
        </w:rPr>
        <w:t>Investment Ban</w:t>
      </w:r>
      <w:r w:rsidR="00882E4A">
        <w:rPr>
          <w:lang w:val="en-GB"/>
        </w:rPr>
        <w:t xml:space="preserve">k’s average total DVaR for H1 12 was 35% lower than H2 </w:t>
      </w:r>
      <w:r w:rsidRPr="00100BF5">
        <w:rPr>
          <w:lang w:val="en-GB"/>
        </w:rPr>
        <w:t>11. The decrease in total DVaR was primarily due to reductions in Spread, Equity and Commodity risk</w:t>
      </w:r>
    </w:p>
    <w:p w:rsidR="00A12DCA" w:rsidRPr="00100BF5" w:rsidRDefault="00A12DCA" w:rsidP="00DF0442">
      <w:pPr>
        <w:pStyle w:val="Level1Bullet-BarcRA03"/>
        <w:rPr>
          <w:lang w:val="en-GB"/>
        </w:rPr>
      </w:pPr>
      <w:r w:rsidRPr="00100BF5">
        <w:rPr>
          <w:lang w:val="en-GB"/>
        </w:rPr>
        <w:t xml:space="preserve">Average Expected Shortfall and 3W, measures of tail risk, were both lower than 2011. The reduction in risk measures reflects a more cautious risk profile in 2012 </w:t>
      </w: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47EAA" w:rsidRPr="00100BF5" w:rsidRDefault="00A47EA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pPr>
    </w:p>
    <w:p w:rsidR="00A12DCA" w:rsidRPr="00100BF5" w:rsidRDefault="00A12DCA" w:rsidP="00A12DCA">
      <w:pPr>
        <w:pStyle w:val="NoteSourceText-BarcRA11"/>
        <w:rPr>
          <w:sz w:val="2"/>
          <w:szCs w:val="2"/>
        </w:rPr>
      </w:pPr>
    </w:p>
    <w:p w:rsidR="003B473F" w:rsidRPr="00100BF5" w:rsidRDefault="003B473F" w:rsidP="00A12DCA">
      <w:pPr>
        <w:pStyle w:val="NoteSourceText-BarcRA11"/>
        <w:rPr>
          <w:sz w:val="2"/>
          <w:szCs w:val="2"/>
        </w:rPr>
      </w:pPr>
    </w:p>
    <w:p w:rsidR="003B473F" w:rsidRPr="00100BF5" w:rsidRDefault="003B473F" w:rsidP="00A12DCA">
      <w:pPr>
        <w:pStyle w:val="NoteSourceText-BarcRA11"/>
        <w:rPr>
          <w:sz w:val="2"/>
          <w:szCs w:val="2"/>
        </w:rPr>
      </w:pPr>
    </w:p>
    <w:p w:rsidR="003B473F" w:rsidRPr="00100BF5" w:rsidRDefault="003B473F" w:rsidP="00A12DCA">
      <w:pPr>
        <w:pStyle w:val="NoteSourceText-BarcRA11"/>
        <w:rPr>
          <w:sz w:val="2"/>
          <w:szCs w:val="2"/>
        </w:rPr>
      </w:pPr>
    </w:p>
    <w:p w:rsidR="003B473F" w:rsidRDefault="003B473F" w:rsidP="00A12DCA">
      <w:pPr>
        <w:pStyle w:val="NoteSourceText-BarcRA11"/>
        <w:rPr>
          <w:sz w:val="2"/>
          <w:szCs w:val="2"/>
        </w:rPr>
      </w:pPr>
    </w:p>
    <w:p w:rsidR="00230C09" w:rsidRDefault="00230C09" w:rsidP="00A12DCA">
      <w:pPr>
        <w:pStyle w:val="NoteSourceText-BarcRA11"/>
        <w:rPr>
          <w:sz w:val="2"/>
          <w:szCs w:val="2"/>
        </w:rPr>
      </w:pPr>
    </w:p>
    <w:p w:rsidR="00230C09" w:rsidRDefault="00230C09" w:rsidP="00A12DCA">
      <w:pPr>
        <w:pStyle w:val="NoteSourceText-BarcRA11"/>
        <w:rPr>
          <w:sz w:val="2"/>
          <w:szCs w:val="2"/>
        </w:rPr>
      </w:pPr>
    </w:p>
    <w:p w:rsidR="00230C09" w:rsidRDefault="00230C09" w:rsidP="00A12DCA">
      <w:pPr>
        <w:pStyle w:val="NoteSourceText-BarcRA11"/>
        <w:rPr>
          <w:sz w:val="2"/>
          <w:szCs w:val="2"/>
        </w:rPr>
      </w:pPr>
    </w:p>
    <w:p w:rsidR="00230C09" w:rsidRDefault="00230C09" w:rsidP="00A12DCA">
      <w:pPr>
        <w:pStyle w:val="NoteSourceText-BarcRA11"/>
        <w:rPr>
          <w:sz w:val="2"/>
          <w:szCs w:val="2"/>
        </w:rPr>
      </w:pPr>
    </w:p>
    <w:p w:rsidR="00230C09" w:rsidRDefault="00230C09" w:rsidP="00A12DCA">
      <w:pPr>
        <w:pStyle w:val="NoteSourceText-BarcRA11"/>
        <w:rPr>
          <w:sz w:val="2"/>
          <w:szCs w:val="2"/>
        </w:rPr>
      </w:pPr>
    </w:p>
    <w:p w:rsidR="00230C09" w:rsidRDefault="00230C09" w:rsidP="00A12DCA">
      <w:pPr>
        <w:pStyle w:val="NoteSourceText-BarcRA11"/>
        <w:rPr>
          <w:sz w:val="2"/>
          <w:szCs w:val="2"/>
        </w:rPr>
      </w:pPr>
    </w:p>
    <w:p w:rsidR="00230C09" w:rsidRDefault="00230C09" w:rsidP="00A12DCA">
      <w:pPr>
        <w:pStyle w:val="NoteSourceText-BarcRA11"/>
        <w:rPr>
          <w:sz w:val="2"/>
          <w:szCs w:val="2"/>
        </w:rPr>
      </w:pPr>
    </w:p>
    <w:p w:rsidR="00FB0640" w:rsidRDefault="00FB0640" w:rsidP="00A12DCA">
      <w:pPr>
        <w:pStyle w:val="NoteSourceText-BarcRA11"/>
        <w:rPr>
          <w:sz w:val="2"/>
          <w:szCs w:val="2"/>
        </w:rPr>
      </w:pPr>
    </w:p>
    <w:p w:rsidR="00FB0640" w:rsidRDefault="00FB0640" w:rsidP="00A12DCA">
      <w:pPr>
        <w:pStyle w:val="NoteSourceText-BarcRA11"/>
        <w:rPr>
          <w:sz w:val="2"/>
          <w:szCs w:val="2"/>
        </w:rPr>
      </w:pPr>
    </w:p>
    <w:p w:rsidR="00FB0640" w:rsidRDefault="00FB0640" w:rsidP="00A12DCA">
      <w:pPr>
        <w:pStyle w:val="NoteSourceText-BarcRA11"/>
        <w:rPr>
          <w:sz w:val="2"/>
          <w:szCs w:val="2"/>
        </w:rPr>
      </w:pPr>
    </w:p>
    <w:p w:rsidR="00FB0640" w:rsidRDefault="00FB0640" w:rsidP="00A12DCA">
      <w:pPr>
        <w:pStyle w:val="NoteSourceText-BarcRA11"/>
        <w:rPr>
          <w:sz w:val="2"/>
          <w:szCs w:val="2"/>
        </w:rPr>
      </w:pPr>
    </w:p>
    <w:p w:rsidR="00FB0640" w:rsidRDefault="00FB0640" w:rsidP="00A12DCA">
      <w:pPr>
        <w:pStyle w:val="NoteSourceText-BarcRA11"/>
        <w:rPr>
          <w:sz w:val="2"/>
          <w:szCs w:val="2"/>
        </w:rPr>
      </w:pPr>
    </w:p>
    <w:p w:rsidR="00230C09" w:rsidRDefault="00230C09" w:rsidP="00A12DCA">
      <w:pPr>
        <w:pStyle w:val="NoteSourceText-BarcRA11"/>
        <w:rPr>
          <w:sz w:val="2"/>
          <w:szCs w:val="2"/>
        </w:rPr>
      </w:pPr>
    </w:p>
    <w:p w:rsidR="00230C09" w:rsidRPr="00100BF5" w:rsidRDefault="00230C09" w:rsidP="00A12DCA">
      <w:pPr>
        <w:pStyle w:val="NoteSourceText-BarcRA11"/>
        <w:rPr>
          <w:sz w:val="2"/>
          <w:szCs w:val="2"/>
        </w:rPr>
      </w:pPr>
    </w:p>
    <w:p w:rsidR="00A12DCA" w:rsidRPr="00100BF5" w:rsidRDefault="00A12DCA" w:rsidP="00A12DCA">
      <w:pPr>
        <w:pStyle w:val="NoteSourceText-BarcRA11"/>
      </w:pPr>
      <w:r w:rsidRPr="00100BF5">
        <w:t>1</w:t>
      </w:r>
      <w:r w:rsidRPr="00100BF5">
        <w:tab/>
        <w:t>The high and low DVaR figures reported for each category did not necessarily occur on the same day as the high and low DVaR reported as a whole. Consequently a diversification effect balance for the high and low DVaR figures would not be meaningful and is therefore omitted from the above table.</w:t>
      </w:r>
    </w:p>
    <w:p w:rsidR="00A12DCA" w:rsidRPr="00100BF5" w:rsidRDefault="00A12DCA" w:rsidP="00A12DCA">
      <w:pPr>
        <w:pStyle w:val="NoteSourceText-BarcRA11"/>
      </w:pPr>
      <w:r w:rsidRPr="00100BF5">
        <w:t>2</w:t>
      </w:r>
      <w:r w:rsidRPr="00100BF5">
        <w:tab/>
        <w:t>The average of all one day hypothetical losses beyond the 95% confidence level DVaR.</w:t>
      </w:r>
    </w:p>
    <w:p w:rsidR="00A12DCA" w:rsidRPr="00100BF5" w:rsidRDefault="00A12DCA" w:rsidP="00A12DCA">
      <w:pPr>
        <w:pStyle w:val="NoteSourceText-BarcRA11"/>
      </w:pPr>
      <w:r w:rsidRPr="00100BF5">
        <w:t>3</w:t>
      </w:r>
      <w:r w:rsidRPr="00100BF5">
        <w:tab/>
        <w:t>The average of the three largest one day estimated losses.</w:t>
      </w:r>
    </w:p>
    <w:p w:rsidR="00A12DCA" w:rsidRPr="00100BF5" w:rsidRDefault="00A12DCA">
      <w:pPr>
        <w:sectPr w:rsidR="00A12DCA" w:rsidRPr="00100BF5" w:rsidSect="00E100EB">
          <w:headerReference w:type="default" r:id="rId29"/>
          <w:pgSz w:w="11905" w:h="16837"/>
          <w:pgMar w:top="851" w:right="1134" w:bottom="567" w:left="1134" w:header="851" w:footer="567" w:gutter="0"/>
          <w:cols w:space="708"/>
        </w:sectPr>
      </w:pPr>
    </w:p>
    <w:p w:rsidR="005F437E" w:rsidRDefault="005F437E" w:rsidP="005F437E">
      <w:pPr>
        <w:pStyle w:val="HeadingLevel1-BarcRA"/>
      </w:pPr>
      <w:r>
        <w:t>Statement of Directors’ Responsibilities</w:t>
      </w:r>
    </w:p>
    <w:p w:rsidR="00A12DCA" w:rsidRPr="00100BF5" w:rsidRDefault="00A12DCA" w:rsidP="00FB0640">
      <w:pPr>
        <w:pStyle w:val="BodyText-BarcRA67"/>
        <w:spacing w:before="0"/>
      </w:pPr>
      <w:r w:rsidRPr="00100BF5">
        <w:t xml:space="preserve">The Directors confirm to the best of their knowledge that the condensed consolidated interim financial statements set out on pages </w:t>
      </w:r>
      <w:r w:rsidR="00D518EE">
        <w:t>9</w:t>
      </w:r>
      <w:r w:rsidRPr="00100BF5">
        <w:t xml:space="preserve"> to </w:t>
      </w:r>
      <w:r w:rsidR="00D518EE">
        <w:t>13</w:t>
      </w:r>
      <w:r w:rsidRPr="00100BF5">
        <w:t xml:space="preserve"> and </w:t>
      </w:r>
      <w:r w:rsidR="00D518EE">
        <w:t>73</w:t>
      </w:r>
      <w:r w:rsidRPr="00100BF5">
        <w:t xml:space="preserve"> to </w:t>
      </w:r>
      <w:r w:rsidR="00D518EE">
        <w:t>90</w:t>
      </w:r>
      <w:r w:rsidRPr="00100BF5">
        <w:t xml:space="preserve"> have been prepared in accordance with International Accounting Standard 34, ‘Interim Financial Reporting’, as adopted by the European Union, and that the interim management report herein includes a fair review of the information required by Disclosure and Transparency Rules 4.2.7 and 4.2.8 namely:</w:t>
      </w:r>
    </w:p>
    <w:p w:rsidR="00A12DCA" w:rsidRPr="00100BF5" w:rsidRDefault="00A12DCA" w:rsidP="00DF0442">
      <w:pPr>
        <w:pStyle w:val="Level1Bullet-BarcRA03"/>
        <w:rPr>
          <w:lang w:val="en-GB"/>
        </w:rPr>
      </w:pPr>
      <w:r w:rsidRPr="00100BF5">
        <w:rPr>
          <w:lang w:val="en-GB"/>
        </w:rPr>
        <w:t>An indication of important events that have occurred during the six months ended 30 June 2012 and their impact on the condensed consolidated interim financial statements, and a description of the principal risks and uncertainties for the remaining six months of the financial year</w:t>
      </w:r>
    </w:p>
    <w:p w:rsidR="00A12DCA" w:rsidRPr="00100BF5" w:rsidRDefault="00A12DCA" w:rsidP="00DF0442">
      <w:pPr>
        <w:pStyle w:val="Level1Bullet-BarcRA03"/>
        <w:rPr>
          <w:lang w:val="en-GB"/>
        </w:rPr>
      </w:pPr>
      <w:r w:rsidRPr="00100BF5">
        <w:rPr>
          <w:lang w:val="en-GB"/>
        </w:rPr>
        <w:t>Material related party transactions in the six months ended 30 June 2012 and any material changes in the related party transactions described in the last Annual Report</w:t>
      </w:r>
    </w:p>
    <w:p w:rsidR="00A12DCA" w:rsidRPr="00100BF5" w:rsidRDefault="00A12DCA" w:rsidP="00A12DCA">
      <w:pPr>
        <w:pStyle w:val="BodyText-BarcRA67"/>
      </w:pPr>
      <w:r w:rsidRPr="00100BF5">
        <w:t>On behalf of the Board</w:t>
      </w:r>
    </w:p>
    <w:p w:rsidR="00A12DCA" w:rsidRPr="00100BF5" w:rsidRDefault="00A12DCA" w:rsidP="00A12DCA">
      <w:pPr>
        <w:pStyle w:val="BodyText-BarcRA67"/>
      </w:pPr>
    </w:p>
    <w:p w:rsidR="00A12DCA" w:rsidRPr="00100BF5" w:rsidRDefault="00A12DCA" w:rsidP="00A12DCA">
      <w:pPr>
        <w:pStyle w:val="BodyText-BarcRA67"/>
      </w:pPr>
    </w:p>
    <w:p w:rsidR="00A12DCA" w:rsidRPr="00100BF5" w:rsidRDefault="00A12DCA" w:rsidP="00A12DCA">
      <w:pPr>
        <w:pStyle w:val="BodyText-BarcRA67"/>
      </w:pPr>
    </w:p>
    <w:p w:rsidR="00A12DCA" w:rsidRPr="00100BF5" w:rsidRDefault="00A12DCA" w:rsidP="00A12DCA">
      <w:pPr>
        <w:pStyle w:val="BodyText-BarcRA67"/>
        <w:rPr>
          <w:b/>
        </w:rPr>
      </w:pPr>
      <w:r w:rsidRPr="00100BF5">
        <w:rPr>
          <w:b/>
        </w:rPr>
        <w:t xml:space="preserve">Marcus Agius </w:t>
      </w:r>
      <w:r w:rsidRPr="00100BF5">
        <w:rPr>
          <w:b/>
        </w:rPr>
        <w:tab/>
      </w:r>
      <w:r w:rsidRPr="00100BF5">
        <w:rPr>
          <w:b/>
        </w:rPr>
        <w:tab/>
      </w:r>
      <w:r w:rsidRPr="00100BF5">
        <w:rPr>
          <w:b/>
        </w:rPr>
        <w:tab/>
      </w:r>
      <w:r w:rsidRPr="00100BF5">
        <w:rPr>
          <w:b/>
        </w:rPr>
        <w:tab/>
      </w:r>
      <w:r w:rsidRPr="00100BF5">
        <w:rPr>
          <w:b/>
        </w:rPr>
        <w:tab/>
      </w:r>
      <w:r w:rsidRPr="00100BF5">
        <w:rPr>
          <w:b/>
        </w:rPr>
        <w:tab/>
        <w:t>Chris Lucas</w:t>
      </w:r>
    </w:p>
    <w:p w:rsidR="00A12DCA" w:rsidRPr="00100BF5" w:rsidRDefault="00A12DCA" w:rsidP="00A12DCA">
      <w:pPr>
        <w:pStyle w:val="BodyText-BarcRA67"/>
      </w:pPr>
      <w:r w:rsidRPr="00100BF5">
        <w:t>Chairman</w:t>
      </w:r>
      <w:r w:rsidRPr="00100BF5">
        <w:tab/>
      </w:r>
      <w:r w:rsidRPr="00100BF5">
        <w:tab/>
      </w:r>
      <w:r w:rsidRPr="00100BF5">
        <w:tab/>
      </w:r>
      <w:r w:rsidRPr="00100BF5">
        <w:tab/>
      </w:r>
      <w:r w:rsidRPr="00100BF5">
        <w:tab/>
      </w:r>
      <w:r w:rsidRPr="00100BF5">
        <w:tab/>
        <w:t>Group Finance Director</w:t>
      </w:r>
    </w:p>
    <w:p w:rsidR="00A12DCA" w:rsidRPr="00100BF5" w:rsidRDefault="00A12DCA">
      <w:pPr>
        <w:sectPr w:rsidR="00A12DCA" w:rsidRPr="00100BF5" w:rsidSect="00E100EB">
          <w:headerReference w:type="default" r:id="rId30"/>
          <w:pgSz w:w="11905" w:h="16837"/>
          <w:pgMar w:top="851" w:right="1134" w:bottom="567" w:left="1134" w:header="851" w:footer="567" w:gutter="0"/>
          <w:cols w:space="708"/>
        </w:sectPr>
      </w:pPr>
    </w:p>
    <w:p w:rsidR="005F437E" w:rsidRDefault="005F437E" w:rsidP="005F437E">
      <w:pPr>
        <w:pStyle w:val="HeadingLevel1-BarcRA"/>
      </w:pPr>
      <w:r>
        <w:t>Independent Auditors’ Review Report to Barclays PLC</w:t>
      </w:r>
    </w:p>
    <w:p w:rsidR="00A12DCA" w:rsidRPr="00100BF5" w:rsidRDefault="00A12DCA" w:rsidP="00FB0640">
      <w:pPr>
        <w:pStyle w:val="HeadingLevel2-BarcRA17"/>
        <w:spacing w:before="0"/>
        <w:rPr>
          <w:color w:val="auto"/>
        </w:rPr>
      </w:pPr>
      <w:r w:rsidRPr="00100BF5">
        <w:rPr>
          <w:color w:val="auto"/>
        </w:rPr>
        <w:t>Introduction</w:t>
      </w:r>
    </w:p>
    <w:p w:rsidR="000C354E" w:rsidRPr="00100BF5" w:rsidRDefault="000C354E" w:rsidP="000C354E">
      <w:pPr>
        <w:pStyle w:val="BodyText-BarcRA72"/>
      </w:pPr>
      <w:r w:rsidRPr="00100BF5">
        <w:t>We have been engaged by Barclays PLC to review the condensed</w:t>
      </w:r>
      <w:r w:rsidR="0027520A">
        <w:t xml:space="preserve"> set of</w:t>
      </w:r>
      <w:r w:rsidRPr="00100BF5">
        <w:t xml:space="preserve"> consolidated interim financial statements in the interim results announcement for the six months ended 30 June 2012, which comprises the condensed consolidated income statement on page </w:t>
      </w:r>
      <w:r w:rsidR="00D518EE">
        <w:t>9</w:t>
      </w:r>
      <w:r w:rsidRPr="00100BF5">
        <w:t xml:space="preserve">, condensed consolidated statement of profit or loss and other comprehensive income on page </w:t>
      </w:r>
      <w:r w:rsidR="00D518EE">
        <w:t>10</w:t>
      </w:r>
      <w:r w:rsidRPr="00100BF5">
        <w:t>, condensed conso</w:t>
      </w:r>
      <w:r w:rsidR="00D518EE">
        <w:t>lidated balance sheet on page 11</w:t>
      </w:r>
      <w:r w:rsidRPr="00100BF5">
        <w:t xml:space="preserve">, condensed consolidated statement of changes in equity on page </w:t>
      </w:r>
      <w:r w:rsidR="00D518EE">
        <w:t>12</w:t>
      </w:r>
      <w:r w:rsidRPr="00100BF5">
        <w:t xml:space="preserve">, condensed consolidated cash flow statement on page </w:t>
      </w:r>
      <w:r w:rsidR="00D518EE">
        <w:t>13</w:t>
      </w:r>
      <w:r w:rsidRPr="00100BF5">
        <w:t xml:space="preserve"> and related notes on pages </w:t>
      </w:r>
      <w:r w:rsidR="00D518EE">
        <w:t>73</w:t>
      </w:r>
      <w:r w:rsidRPr="00100BF5">
        <w:t xml:space="preserve"> to </w:t>
      </w:r>
      <w:r w:rsidR="00D518EE">
        <w:t>90</w:t>
      </w:r>
      <w:r w:rsidRPr="00100BF5">
        <w:t>. We have read the other information contained in the interim results announcement and considered whether it contains any apparent misstatements or material inconsistencies with the information in the condensed consolidated interim financial statements.</w:t>
      </w:r>
    </w:p>
    <w:p w:rsidR="00A12DCA" w:rsidRPr="00100BF5" w:rsidRDefault="00A12DCA" w:rsidP="00A12DCA">
      <w:pPr>
        <w:pStyle w:val="HeadingLevel2-BarcRA17"/>
        <w:rPr>
          <w:color w:val="auto"/>
          <w:lang w:val="en-GB"/>
        </w:rPr>
      </w:pPr>
      <w:r w:rsidRPr="00100BF5">
        <w:rPr>
          <w:color w:val="auto"/>
        </w:rPr>
        <w:t>Directors’ Responsibilities</w:t>
      </w:r>
      <w:r w:rsidR="000C354E" w:rsidRPr="00100BF5">
        <w:rPr>
          <w:color w:val="auto"/>
          <w:vertAlign w:val="superscript"/>
          <w:lang w:val="en-GB"/>
        </w:rPr>
        <w:t>1,2</w:t>
      </w:r>
    </w:p>
    <w:p w:rsidR="000C354E" w:rsidRPr="00100BF5" w:rsidRDefault="000C354E" w:rsidP="000C354E">
      <w:pPr>
        <w:pStyle w:val="BodyText-BarcRA72"/>
      </w:pPr>
      <w:r w:rsidRPr="00100BF5">
        <w:t xml:space="preserve">The interim results announcement is the responsibility of, and has been approved by, the Directors. The Directors are responsible for preparing the interim results announcement in accordance with the Disclosure and Transparency Rules of the United Kingdom's Financial Services Authority. </w:t>
      </w:r>
    </w:p>
    <w:p w:rsidR="000C354E" w:rsidRPr="00100BF5" w:rsidRDefault="000C354E" w:rsidP="000C354E">
      <w:pPr>
        <w:pStyle w:val="BodyText-BarcRA72"/>
      </w:pPr>
      <w:r w:rsidRPr="00100BF5">
        <w:t>As disclosed in the ‘Accounting Policies’ section, the annual financial statements of the Group are prepared in accordance with IFRSs as adopted by the European Union. The condensed consolidated interim financial statements included in this interim results announcement have been prepared in accordance with International Accounting Standard 34, "Interim Financial Reporting", as adopted by the European Union.</w:t>
      </w:r>
    </w:p>
    <w:p w:rsidR="00A12DCA" w:rsidRPr="00100BF5" w:rsidRDefault="00A12DCA" w:rsidP="00A12DCA">
      <w:pPr>
        <w:pStyle w:val="HeadingLevel2-BarcRA17"/>
        <w:rPr>
          <w:color w:val="auto"/>
        </w:rPr>
      </w:pPr>
      <w:r w:rsidRPr="00100BF5">
        <w:rPr>
          <w:color w:val="auto"/>
        </w:rPr>
        <w:t>Our Responsibility</w:t>
      </w:r>
    </w:p>
    <w:p w:rsidR="000C354E" w:rsidRPr="00100BF5" w:rsidRDefault="000C354E" w:rsidP="000C354E">
      <w:pPr>
        <w:pStyle w:val="BodyText-BarcRA72"/>
      </w:pPr>
      <w:r w:rsidRPr="00100BF5">
        <w:t>Our responsibility is to express to the company a conclusion on the condensed consolidated interim financial statements in the interim results announcement based on our review. This report, including the conclusion, has been prepared for and only for the company for the purpose of the Disclosure and Transparency Rules of the Financial Services Authority and for no other purpose. We do not, in producing this report, accept or assume responsibility for any other purpose or to any other person to whom this report is shown or into whose hands it may come save where expressly agreed by our prior consent in writing.</w:t>
      </w:r>
    </w:p>
    <w:p w:rsidR="00A12DCA" w:rsidRPr="00100BF5" w:rsidRDefault="00A12DCA" w:rsidP="00A12DCA">
      <w:pPr>
        <w:pStyle w:val="HeadingLevel2-BarcRA17"/>
        <w:rPr>
          <w:color w:val="auto"/>
        </w:rPr>
      </w:pPr>
      <w:r w:rsidRPr="00100BF5">
        <w:rPr>
          <w:color w:val="auto"/>
        </w:rPr>
        <w:t>Scope of Review</w:t>
      </w:r>
    </w:p>
    <w:p w:rsidR="000C354E" w:rsidRPr="00100BF5" w:rsidRDefault="000C354E" w:rsidP="000C354E">
      <w:pPr>
        <w:pStyle w:val="BodyText-BarcRA72"/>
      </w:pPr>
      <w:r w:rsidRPr="00100BF5">
        <w:t>We conducted our review in accordance with the International Standard on Review Engagements (UK and Ireland) 2410, ‘Review of Interim Financial Information Performed by the Independent Auditor of the Entity’ issued by the Auditing Practices Board for use in the United Kingdom.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(UK and Ireland) and consequently does not enable us to obtain assurance that we would become aware of all significant matters that might be identified in an audit. Accordingly, we do not express an audit opinion.</w:t>
      </w:r>
    </w:p>
    <w:p w:rsidR="00A12DCA" w:rsidRPr="00100BF5" w:rsidRDefault="00A12DCA" w:rsidP="00A12DCA">
      <w:pPr>
        <w:pStyle w:val="HeadingLevel2-BarcRA17"/>
        <w:rPr>
          <w:color w:val="auto"/>
        </w:rPr>
      </w:pPr>
      <w:r w:rsidRPr="00100BF5">
        <w:rPr>
          <w:color w:val="auto"/>
        </w:rPr>
        <w:t>Conclusion</w:t>
      </w:r>
    </w:p>
    <w:p w:rsidR="000C354E" w:rsidRPr="00100BF5" w:rsidRDefault="000C354E" w:rsidP="000C354E">
      <w:pPr>
        <w:pStyle w:val="BodyText-BarcRA72"/>
      </w:pPr>
      <w:r w:rsidRPr="00100BF5">
        <w:t>Based on our review, nothing has come to our attention that causes us to believe that the condensed consolidated interim financial statements in the interim results announcement for the six months ended 30 June 2012 are not prepared, in all material respects, in accordance with International Accounting Standard 34 as adopted by the European Union and the Disclosure and Transparency Rules of the United Kingdom's Financial Services Authority.</w:t>
      </w:r>
    </w:p>
    <w:p w:rsidR="00A12DCA" w:rsidRPr="00100BF5" w:rsidRDefault="00A12DCA" w:rsidP="00A12DCA">
      <w:pPr>
        <w:pStyle w:val="BodyText-BarcRA69"/>
        <w:spacing w:before="0" w:after="0"/>
      </w:pPr>
    </w:p>
    <w:p w:rsidR="00A12DCA" w:rsidRPr="00100BF5" w:rsidRDefault="00A12DCA" w:rsidP="00A12DCA">
      <w:pPr>
        <w:pStyle w:val="BodyText-BarcRA69"/>
        <w:spacing w:before="0" w:after="0"/>
      </w:pPr>
    </w:p>
    <w:p w:rsidR="00A12DCA" w:rsidRPr="00100BF5" w:rsidRDefault="00A12DCA" w:rsidP="00A12DCA">
      <w:pPr>
        <w:pStyle w:val="BodyText-BarcRA69"/>
        <w:spacing w:before="0" w:after="0"/>
      </w:pPr>
      <w:r w:rsidRPr="00100BF5">
        <w:t>PricewaterhouseCoopers LLP</w:t>
      </w:r>
    </w:p>
    <w:p w:rsidR="00A12DCA" w:rsidRPr="00100BF5" w:rsidRDefault="00A12DCA" w:rsidP="00A12DCA">
      <w:pPr>
        <w:pStyle w:val="BodyText-BarcRA69"/>
        <w:spacing w:before="0" w:after="0"/>
      </w:pPr>
      <w:r w:rsidRPr="00100BF5">
        <w:t xml:space="preserve">Chartered Accountants London, </w:t>
      </w:r>
    </w:p>
    <w:p w:rsidR="00A12DCA" w:rsidRPr="00100BF5" w:rsidRDefault="00A12DCA" w:rsidP="00A12DCA">
      <w:pPr>
        <w:pStyle w:val="BodyText-BarcRA69"/>
        <w:spacing w:before="0" w:after="0"/>
      </w:pPr>
      <w:r w:rsidRPr="00100BF5">
        <w:t xml:space="preserve">United Kingdom </w:t>
      </w:r>
    </w:p>
    <w:p w:rsidR="00A12DCA" w:rsidRPr="00100BF5" w:rsidRDefault="00A124F9" w:rsidP="00A12DCA">
      <w:pPr>
        <w:pStyle w:val="BodyText-BarcRA69"/>
        <w:spacing w:before="0" w:after="0"/>
      </w:pPr>
      <w:r>
        <w:t>26 July</w:t>
      </w:r>
      <w:r w:rsidR="00A12DCA" w:rsidRPr="00100BF5">
        <w:t xml:space="preserve"> 2012</w:t>
      </w:r>
    </w:p>
    <w:p w:rsidR="00A12DCA" w:rsidRPr="00100BF5" w:rsidRDefault="00A12DCA" w:rsidP="00A12DCA">
      <w:pPr>
        <w:pStyle w:val="BodyText-BarcRA69"/>
        <w:spacing w:before="0" w:after="0"/>
      </w:pPr>
    </w:p>
    <w:p w:rsidR="00A12DCA" w:rsidRPr="00100BF5" w:rsidRDefault="00A12DCA" w:rsidP="00A12DCA">
      <w:pPr>
        <w:pStyle w:val="NoteSourceText-BarcRA6"/>
      </w:pPr>
    </w:p>
    <w:p w:rsidR="000C354E" w:rsidRPr="00100BF5" w:rsidRDefault="000C354E" w:rsidP="00A12DCA">
      <w:pPr>
        <w:pStyle w:val="NoteSourceText-BarcRA6"/>
      </w:pPr>
    </w:p>
    <w:p w:rsidR="000C354E" w:rsidRPr="00100BF5" w:rsidRDefault="000C354E" w:rsidP="00A12DCA">
      <w:pPr>
        <w:pStyle w:val="NoteSourceText-BarcRA6"/>
        <w:rPr>
          <w:sz w:val="2"/>
          <w:szCs w:val="2"/>
        </w:rPr>
      </w:pPr>
    </w:p>
    <w:p w:rsidR="003B473F" w:rsidRPr="00100BF5" w:rsidRDefault="003B473F" w:rsidP="00A12DCA">
      <w:pPr>
        <w:pStyle w:val="NoteSourceText-BarcRA6"/>
        <w:rPr>
          <w:sz w:val="2"/>
          <w:szCs w:val="2"/>
        </w:rPr>
      </w:pPr>
    </w:p>
    <w:p w:rsidR="003B473F" w:rsidRDefault="003B473F" w:rsidP="00A12DCA">
      <w:pPr>
        <w:pStyle w:val="NoteSourceText-BarcRA6"/>
        <w:rPr>
          <w:sz w:val="2"/>
          <w:szCs w:val="2"/>
        </w:rPr>
      </w:pPr>
    </w:p>
    <w:p w:rsidR="00FB0640" w:rsidRDefault="00FB0640" w:rsidP="00A12DCA">
      <w:pPr>
        <w:pStyle w:val="NoteSourceText-BarcRA6"/>
        <w:rPr>
          <w:sz w:val="2"/>
          <w:szCs w:val="2"/>
        </w:rPr>
      </w:pPr>
    </w:p>
    <w:p w:rsidR="00FB0640" w:rsidRDefault="00FB0640" w:rsidP="00A12DCA">
      <w:pPr>
        <w:pStyle w:val="NoteSourceText-BarcRA6"/>
        <w:rPr>
          <w:sz w:val="2"/>
          <w:szCs w:val="2"/>
        </w:rPr>
      </w:pPr>
    </w:p>
    <w:p w:rsidR="00FB0640" w:rsidRDefault="00FB0640" w:rsidP="00A12DCA">
      <w:pPr>
        <w:pStyle w:val="NoteSourceText-BarcRA6"/>
        <w:rPr>
          <w:sz w:val="2"/>
          <w:szCs w:val="2"/>
        </w:rPr>
      </w:pPr>
    </w:p>
    <w:p w:rsidR="00FB0640" w:rsidRDefault="00FB0640" w:rsidP="00A12DCA">
      <w:pPr>
        <w:pStyle w:val="NoteSourceText-BarcRA6"/>
        <w:rPr>
          <w:sz w:val="2"/>
          <w:szCs w:val="2"/>
        </w:rPr>
      </w:pPr>
    </w:p>
    <w:p w:rsidR="00FB0640" w:rsidRPr="00100BF5" w:rsidRDefault="00FB0640" w:rsidP="00A12DCA">
      <w:pPr>
        <w:pStyle w:val="NoteSourceText-BarcRA6"/>
        <w:rPr>
          <w:sz w:val="2"/>
          <w:szCs w:val="2"/>
        </w:rPr>
      </w:pPr>
    </w:p>
    <w:p w:rsidR="003B473F" w:rsidRPr="00100BF5" w:rsidRDefault="003B473F" w:rsidP="00A12DCA">
      <w:pPr>
        <w:pStyle w:val="NoteSourceText-BarcRA6"/>
        <w:rPr>
          <w:sz w:val="2"/>
          <w:szCs w:val="2"/>
        </w:rPr>
      </w:pPr>
    </w:p>
    <w:p w:rsidR="003B473F" w:rsidRPr="00100BF5" w:rsidRDefault="003B473F" w:rsidP="00A12DCA">
      <w:pPr>
        <w:pStyle w:val="NoteSourceText-BarcRA6"/>
        <w:rPr>
          <w:sz w:val="2"/>
          <w:szCs w:val="2"/>
        </w:rPr>
      </w:pPr>
    </w:p>
    <w:p w:rsidR="003B473F" w:rsidRPr="00100BF5" w:rsidRDefault="003B473F" w:rsidP="00A12DCA">
      <w:pPr>
        <w:pStyle w:val="NoteSourceText-BarcRA6"/>
        <w:rPr>
          <w:sz w:val="2"/>
          <w:szCs w:val="2"/>
        </w:rPr>
      </w:pPr>
    </w:p>
    <w:p w:rsidR="003B473F" w:rsidRPr="00100BF5" w:rsidRDefault="003B473F" w:rsidP="00A12DCA">
      <w:pPr>
        <w:pStyle w:val="NoteSourceText-BarcRA6"/>
        <w:rPr>
          <w:sz w:val="2"/>
          <w:szCs w:val="2"/>
        </w:rPr>
      </w:pPr>
    </w:p>
    <w:p w:rsidR="003B473F" w:rsidRPr="00100BF5" w:rsidRDefault="003B473F" w:rsidP="00A12DCA">
      <w:pPr>
        <w:pStyle w:val="NoteSourceText-BarcRA6"/>
        <w:rPr>
          <w:sz w:val="2"/>
          <w:szCs w:val="2"/>
        </w:rPr>
      </w:pPr>
    </w:p>
    <w:p w:rsidR="000C354E" w:rsidRPr="00100BF5" w:rsidRDefault="000C354E" w:rsidP="00764510">
      <w:pPr>
        <w:pStyle w:val="NoteSourceText-BarcRA6"/>
      </w:pPr>
      <w:r w:rsidRPr="00100BF5">
        <w:t>1</w:t>
      </w:r>
      <w:r w:rsidRPr="00100BF5">
        <w:tab/>
        <w:t>The maintenance and integrity of the Barclays website is the responsibility of the Directors; the work carried out by the auditors does not involve</w:t>
      </w:r>
      <w:r w:rsidR="00764510">
        <w:t xml:space="preserve"> </w:t>
      </w:r>
      <w:r w:rsidRPr="00100BF5">
        <w:t>consideration of these matters and, accordingly, the auditors accept no responsibility for any changes that may</w:t>
      </w:r>
      <w:r w:rsidR="00764510">
        <w:t xml:space="preserve"> have occurred to the financial </w:t>
      </w:r>
      <w:r w:rsidRPr="00100BF5">
        <w:t>statements since they were initially presented on the website.</w:t>
      </w:r>
    </w:p>
    <w:p w:rsidR="000C354E" w:rsidRPr="00100BF5" w:rsidRDefault="000C354E" w:rsidP="000C354E">
      <w:pPr>
        <w:pStyle w:val="NoteSourceText-BarcRA6"/>
      </w:pPr>
      <w:r w:rsidRPr="00100BF5">
        <w:t>2</w:t>
      </w:r>
      <w:r w:rsidRPr="00100BF5">
        <w:tab/>
        <w:t>Legislation in the United Kingdom governing the preparation and dissemination of financial statements may differ from legislation in other jurisdictions.</w:t>
      </w:r>
    </w:p>
    <w:p w:rsidR="00A12DCA" w:rsidRPr="00100BF5" w:rsidRDefault="00A12DCA">
      <w:pPr>
        <w:sectPr w:rsidR="00A12DCA" w:rsidRPr="00100BF5" w:rsidSect="00E100EB">
          <w:headerReference w:type="default" r:id="rId31"/>
          <w:pgSz w:w="11905" w:h="16837"/>
          <w:pgMar w:top="851" w:right="1134" w:bottom="567" w:left="1134" w:header="851" w:footer="567" w:gutter="0"/>
          <w:cols w:space="708"/>
        </w:sectPr>
      </w:pPr>
    </w:p>
    <w:p w:rsidR="005F437E" w:rsidRDefault="005F437E" w:rsidP="005F437E">
      <w:pPr>
        <w:pStyle w:val="HeadingLevel1-BarcRA"/>
      </w:pPr>
      <w:r>
        <w:t>Financial Statement Notes</w:t>
      </w:r>
    </w:p>
    <w:p w:rsidR="00A12DCA" w:rsidRPr="00100BF5" w:rsidRDefault="00A12DCA" w:rsidP="00FB0640">
      <w:pPr>
        <w:pStyle w:val="HeadingLevel1-BarcRA47"/>
        <w:rPr>
          <w:color w:val="auto"/>
        </w:rPr>
      </w:pPr>
      <w:r w:rsidRPr="00100BF5">
        <w:rPr>
          <w:color w:val="auto"/>
        </w:rPr>
        <w:t>1.</w:t>
      </w:r>
      <w:r w:rsidRPr="00100BF5">
        <w:rPr>
          <w:color w:val="auto"/>
          <w:lang w:val="en-GB"/>
        </w:rPr>
        <w:t xml:space="preserve"> </w:t>
      </w:r>
      <w:r w:rsidRPr="00100BF5">
        <w:rPr>
          <w:color w:val="auto"/>
        </w:rPr>
        <w:t xml:space="preserve"> </w:t>
      </w:r>
      <w:r w:rsidRPr="00100BF5">
        <w:rPr>
          <w:color w:val="auto"/>
          <w:lang w:val="en-GB"/>
        </w:rPr>
        <w:t xml:space="preserve">  </w:t>
      </w:r>
      <w:r w:rsidRPr="00100BF5">
        <w:rPr>
          <w:color w:val="auto"/>
        </w:rPr>
        <w:t>Basis of preparation</w:t>
      </w:r>
    </w:p>
    <w:p w:rsidR="00A12DCA" w:rsidRPr="00100BF5" w:rsidRDefault="00A12DCA" w:rsidP="00A12DCA">
      <w:pPr>
        <w:pStyle w:val="BodyText-BarcRA71"/>
      </w:pPr>
      <w:r w:rsidRPr="00100BF5">
        <w:t>The Results Announcement has been prepared in accordance with IAS 34 Interim Financial Reporting, using the same accounting policies and methods of computation as those used in the 2011 Annual Report.</w:t>
      </w:r>
    </w:p>
    <w:p w:rsidR="00A12DCA" w:rsidRPr="00100BF5" w:rsidRDefault="00A12DCA" w:rsidP="00A12DCA">
      <w:pPr>
        <w:pStyle w:val="BodyText-BarcRA71"/>
      </w:pPr>
      <w:r w:rsidRPr="00100BF5">
        <w:t>There have been no accounting developments since those disclosed in the 2011 Annual Report that are expected to have a material impact on the Group’s 2012 results. There have been and are expected to be a number of significant changes to the Group’s financial reporting after 2012 as a result of amended or new accounting standards that have been or will be issued by the IASB. The most significant of these are as follows:</w:t>
      </w:r>
    </w:p>
    <w:p w:rsidR="00A12DCA" w:rsidRPr="00100BF5" w:rsidRDefault="00A12DCA" w:rsidP="00A12DCA">
      <w:pPr>
        <w:pStyle w:val="BodyText-BarcRA71"/>
        <w:rPr>
          <w:i/>
        </w:rPr>
      </w:pPr>
      <w:r w:rsidRPr="00100BF5">
        <w:rPr>
          <w:i/>
        </w:rPr>
        <w:t>Effective from 1 January 2013:</w:t>
      </w:r>
    </w:p>
    <w:p w:rsidR="00A12DCA" w:rsidRPr="00100BF5" w:rsidRDefault="00A12DCA" w:rsidP="00DF0442">
      <w:pPr>
        <w:pStyle w:val="Level1Bullet-BarcRA03"/>
        <w:rPr>
          <w:lang w:val="en-GB"/>
        </w:rPr>
      </w:pPr>
      <w:r w:rsidRPr="00100BF5">
        <w:rPr>
          <w:lang w:val="en-GB"/>
        </w:rPr>
        <w:t>From 1 January 2013, the Group will adopt IAS 19 Employee Benefits revised. The main impact of</w:t>
      </w:r>
      <w:r w:rsidR="00595EC4">
        <w:rPr>
          <w:lang w:val="en-GB"/>
        </w:rPr>
        <w:t xml:space="preserve"> the revision is the removal of</w:t>
      </w:r>
      <w:r w:rsidRPr="00100BF5">
        <w:rPr>
          <w:lang w:val="en-GB"/>
        </w:rPr>
        <w:t> the ability to defer actuarial gains and losses as part of its pension assets and liabilities. The Group will also include changes in net pension liabilities or assets that do not arise from regular cost, interest (on the net pension liabilities or assets) or contributions, within Other Comprehensive Income.</w:t>
      </w:r>
      <w:r w:rsidR="009D7AE3" w:rsidRPr="00100BF5">
        <w:rPr>
          <w:lang w:val="en-GB"/>
        </w:rPr>
        <w:t xml:space="preserve"> Details of the</w:t>
      </w:r>
      <w:r w:rsidRPr="00100BF5">
        <w:rPr>
          <w:lang w:val="en-GB"/>
        </w:rPr>
        <w:t xml:space="preserve"> financial and capital impact of these changes a</w:t>
      </w:r>
      <w:r w:rsidR="001A1BB5" w:rsidRPr="00100BF5">
        <w:rPr>
          <w:lang w:val="en-GB"/>
        </w:rPr>
        <w:t>re detailed in note 15, p</w:t>
      </w:r>
      <w:r w:rsidR="0066494C">
        <w:rPr>
          <w:lang w:val="en-GB"/>
        </w:rPr>
        <w:t>a</w:t>
      </w:r>
      <w:r w:rsidR="001A1BB5" w:rsidRPr="00100BF5">
        <w:rPr>
          <w:lang w:val="en-GB"/>
        </w:rPr>
        <w:t>g</w:t>
      </w:r>
      <w:r w:rsidR="0066494C">
        <w:rPr>
          <w:lang w:val="en-GB"/>
        </w:rPr>
        <w:t>e 81</w:t>
      </w:r>
    </w:p>
    <w:p w:rsidR="00A12DCA" w:rsidRPr="00100BF5" w:rsidRDefault="00A12DCA" w:rsidP="00DF0442">
      <w:pPr>
        <w:pStyle w:val="Level1Bullet-BarcRA03"/>
        <w:rPr>
          <w:lang w:val="en-GB"/>
        </w:rPr>
      </w:pPr>
      <w:r w:rsidRPr="00100BF5">
        <w:rPr>
          <w:lang w:val="en-GB"/>
        </w:rPr>
        <w:t>IFRS 10 Consolidated Financial Statements will require the Group to apply different criteria to determine the entities that are included in the Group’s consolidated financial statements. It is not yet possible to estimate the financial effects of adopting the standard</w:t>
      </w:r>
    </w:p>
    <w:p w:rsidR="00A12DCA" w:rsidRPr="00100BF5" w:rsidRDefault="00A12DCA" w:rsidP="00A12DCA">
      <w:pPr>
        <w:pStyle w:val="Normal68"/>
        <w:rPr>
          <w:i/>
        </w:rPr>
      </w:pPr>
      <w:r w:rsidRPr="00100BF5">
        <w:rPr>
          <w:i/>
        </w:rPr>
        <w:t>Effective from 1 January 2015:</w:t>
      </w:r>
    </w:p>
    <w:p w:rsidR="00A12DCA" w:rsidRPr="00100BF5" w:rsidRDefault="00A12DCA" w:rsidP="00DF0442">
      <w:pPr>
        <w:pStyle w:val="Level1Bullet-BarcRA03"/>
        <w:rPr>
          <w:lang w:val="en-GB"/>
        </w:rPr>
      </w:pPr>
      <w:r w:rsidRPr="00100BF5">
        <w:rPr>
          <w:lang w:val="en-GB"/>
        </w:rPr>
        <w:t>IFRS 9 Financial Instruments will change the classification and therefore the measurement of its financial assets, the calculation of impairment and hedge accounting. In addition to these changes, the portion of gains and losses arising from changes in the Group’s credit rating included in changes in the value of the Group’s issued debt securities held at fair value through profit or loss will be included in other comprehensive income rather than the income statement. The proposals have yet to be finalised and it is therefore not yet possible to estimate the financial effects.</w:t>
      </w:r>
    </w:p>
    <w:p w:rsidR="00A12DCA" w:rsidRPr="00100BF5" w:rsidRDefault="00A12DCA" w:rsidP="00A12DCA">
      <w:pPr>
        <w:pStyle w:val="Normal68"/>
      </w:pPr>
      <w:r w:rsidRPr="00100BF5">
        <w:t>For more information on the changes, refer to the Barclays 2011 Annual Report.</w:t>
      </w:r>
    </w:p>
    <w:p w:rsidR="00A12DCA" w:rsidRPr="00100BF5" w:rsidRDefault="00A12DCA" w:rsidP="00A47EAA">
      <w:pPr>
        <w:pStyle w:val="HeadingLevel2-BarcRA18"/>
        <w:spacing w:before="180"/>
        <w:rPr>
          <w:color w:val="auto"/>
        </w:rPr>
      </w:pPr>
      <w:r w:rsidRPr="00100BF5">
        <w:rPr>
          <w:color w:val="auto"/>
          <w:lang w:val="en-GB"/>
        </w:rPr>
        <w:t>G</w:t>
      </w:r>
      <w:r w:rsidRPr="00100BF5">
        <w:rPr>
          <w:color w:val="auto"/>
        </w:rPr>
        <w:t>oing Concern</w:t>
      </w:r>
    </w:p>
    <w:p w:rsidR="00A12DCA" w:rsidRPr="00100BF5" w:rsidRDefault="00A12DCA" w:rsidP="00A12DCA">
      <w:pPr>
        <w:pStyle w:val="BodyText-BarcRA71"/>
      </w:pPr>
      <w:r w:rsidRPr="00100BF5">
        <w:t xml:space="preserve">The Group's business activities and financial position, the factors likely to affect its future development and performance, and its objectives and policies in managing the financial risks to which it is exposed and its capital are discussed in the Results by Business, Performance Management and Risk Management sections. </w:t>
      </w:r>
    </w:p>
    <w:p w:rsidR="00A12DCA" w:rsidRPr="00100BF5" w:rsidRDefault="00A12DCA" w:rsidP="00A12DCA">
      <w:pPr>
        <w:pStyle w:val="BodyText-BarcRA71"/>
      </w:pPr>
      <w:r w:rsidRPr="00100BF5">
        <w:t>The Directors confirm they are satisfied that the Group has adequate resources to continue in business for the foreseeable future.  For this reason, they continue to adopt the going concern basis for preparing accounts.</w:t>
      </w:r>
    </w:p>
    <w:p w:rsidR="00A12DCA" w:rsidRPr="00100BF5" w:rsidRDefault="00A12DCA">
      <w:pPr>
        <w:sectPr w:rsidR="00A12DCA" w:rsidRPr="00100BF5" w:rsidSect="00E100EB">
          <w:headerReference w:type="default" r:id="rId32"/>
          <w:pgSz w:w="11905" w:h="16837"/>
          <w:pgMar w:top="851" w:right="1134" w:bottom="567" w:left="1134" w:header="851" w:footer="567" w:gutter="0"/>
          <w:cols w:space="708"/>
        </w:sectPr>
      </w:pPr>
    </w:p>
    <w:p w:rsidR="00A12DCA" w:rsidRPr="00100BF5" w:rsidRDefault="00A12DCA"/>
    <w:p w:rsidR="00A12DCA" w:rsidRPr="00100BF5" w:rsidRDefault="00A12DCA"/>
    <w:p w:rsidR="00A12DCA" w:rsidRPr="00100BF5" w:rsidRDefault="00A12DCA"/>
    <w:p w:rsidR="00A12DCA" w:rsidRPr="00100BF5" w:rsidRDefault="00A12DCA"/>
    <w:tbl>
      <w:tblPr>
        <w:tblW w:w="0" w:type="auto"/>
        <w:tblLayout w:type="fixed"/>
        <w:tblLook w:val="0000" w:firstRow="0" w:lastRow="0" w:firstColumn="0" w:lastColumn="0" w:noHBand="0" w:noVBand="0"/>
      </w:tblPr>
      <w:tblGrid>
        <w:gridCol w:w="6270"/>
        <w:gridCol w:w="1125"/>
        <w:gridCol w:w="1125"/>
        <w:gridCol w:w="1125"/>
      </w:tblGrid>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r w:rsidRPr="00100BF5">
              <w:rPr>
                <w:b/>
                <w:sz w:val="24"/>
              </w:rPr>
              <w:t>2.    Net Interest Income</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rPr>
            </w:pPr>
            <w:r w:rsidRPr="00100BF5">
              <w:rPr>
                <w:b/>
                <w:sz w:val="24"/>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rPr>
            </w:pPr>
            <w:r w:rsidRPr="00100BF5">
              <w:rPr>
                <w:sz w:val="20"/>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20"/>
              </w:rPr>
            </w:pPr>
            <w:r w:rsidRPr="00100BF5">
              <w:rPr>
                <w:sz w:val="20"/>
              </w:rPr>
              <w:t xml:space="preserve"> </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0"/>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b/>
                <w:sz w:val="16"/>
              </w:rPr>
              <w:t>Half Year</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Half Year</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Half Year</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b/>
                <w:sz w:val="16"/>
              </w:rPr>
              <w:t>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Ended</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30.06.11</w:t>
            </w:r>
          </w:p>
        </w:tc>
      </w:tr>
      <w:tr w:rsidR="00A12DCA" w:rsidRPr="00100BF5" w:rsidTr="00E50D5B">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£m</w:t>
            </w:r>
          </w:p>
        </w:tc>
      </w:tr>
      <w:tr w:rsidR="00A12DCA" w:rsidRPr="00100BF5" w:rsidTr="00E50D5B">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Cash and balances with central banks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169 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206 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186 </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Available for sale financial investments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1,683 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1,029 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1,108 </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Loans and advances to banks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185 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192 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158 </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Loans and advances to customers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8,471 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8,681 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8,590 </w:t>
            </w:r>
          </w:p>
        </w:tc>
      </w:tr>
      <w:tr w:rsidR="00A12DCA" w:rsidRPr="00100BF5" w:rsidTr="00E50D5B">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178 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285 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154 </w:t>
            </w:r>
          </w:p>
        </w:tc>
      </w:tr>
      <w:tr w:rsidR="00A12DCA" w:rsidRPr="00100BF5" w:rsidTr="00E50D5B">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Interest income</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50D5B">
            <w:pPr>
              <w:jc w:val="right"/>
              <w:rPr>
                <w:b/>
                <w:sz w:val="16"/>
              </w:rPr>
            </w:pPr>
            <w:r w:rsidRPr="00100BF5">
              <w:rPr>
                <w:b/>
                <w:sz w:val="16"/>
              </w:rPr>
              <w:t>10,686 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10,393 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10,196 </w:t>
            </w:r>
          </w:p>
        </w:tc>
      </w:tr>
      <w:tr w:rsidR="00A12DCA" w:rsidRPr="00100BF5" w:rsidTr="00E50D5B">
        <w:tblPrEx>
          <w:tblCellMar>
            <w:top w:w="0" w:type="dxa"/>
            <w:bottom w:w="0" w:type="dxa"/>
          </w:tblCellMar>
        </w:tblPrEx>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 xml:space="preserve"> </w:t>
            </w:r>
          </w:p>
        </w:tc>
      </w:tr>
      <w:tr w:rsidR="00A12DCA" w:rsidRPr="00100BF5" w:rsidTr="00E50D5B">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Deposits from banks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(171)</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(221)</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(145)</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Customer accounts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(1,864)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(1,494)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(1,032)</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Debt securities in issue</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(1,583)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(1,711)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(1,813)</w:t>
            </w:r>
          </w:p>
        </w:tc>
      </w:tr>
      <w:tr w:rsidR="00A12DCA" w:rsidRPr="00100BF5" w:rsidTr="00E50D5B">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Subordinated liabilities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(817)</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(910)</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(903)</w:t>
            </w:r>
          </w:p>
        </w:tc>
      </w:tr>
      <w:tr w:rsidR="00A12DCA" w:rsidRPr="00100BF5" w:rsidTr="00E50D5B">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E50D5B">
            <w:pPr>
              <w:jc w:val="right"/>
              <w:rPr>
                <w:sz w:val="16"/>
              </w:rPr>
            </w:pPr>
            <w:r w:rsidRPr="00100BF5">
              <w:rPr>
                <w:sz w:val="16"/>
              </w:rPr>
              <w:t>(139)</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(45)</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(114)</w:t>
            </w:r>
          </w:p>
        </w:tc>
      </w:tr>
      <w:tr w:rsidR="00A12DCA" w:rsidRPr="00100BF5" w:rsidTr="00E50D5B">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Interest expense</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50D5B">
            <w:pPr>
              <w:jc w:val="right"/>
              <w:rPr>
                <w:b/>
                <w:sz w:val="16"/>
              </w:rPr>
            </w:pPr>
            <w:r w:rsidRPr="00100BF5">
              <w:rPr>
                <w:b/>
                <w:sz w:val="16"/>
              </w:rPr>
              <w:t>(4,574)</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(4,381)</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(4,007)</w:t>
            </w:r>
          </w:p>
        </w:tc>
      </w:tr>
      <w:tr w:rsidR="00A12DCA" w:rsidRPr="00100BF5" w:rsidTr="00E50D5B">
        <w:tblPrEx>
          <w:tblCellMar>
            <w:top w:w="0" w:type="dxa"/>
            <w:bottom w:w="0" w:type="dxa"/>
          </w:tblCellMar>
        </w:tblPrEx>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50D5B">
            <w:pPr>
              <w:jc w:val="right"/>
              <w:rPr>
                <w:sz w:val="16"/>
              </w:rPr>
            </w:pPr>
            <w:r w:rsidRPr="00100BF5">
              <w:rPr>
                <w:sz w:val="16"/>
              </w:rPr>
              <w:t xml:space="preserve"> </w:t>
            </w:r>
          </w:p>
        </w:tc>
      </w:tr>
      <w:tr w:rsidR="00A12DCA" w:rsidRPr="00100BF5" w:rsidTr="00E50D5B">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Net interest income</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E50D5B">
            <w:pPr>
              <w:jc w:val="right"/>
              <w:rPr>
                <w:b/>
                <w:sz w:val="16"/>
              </w:rPr>
            </w:pPr>
            <w:r w:rsidRPr="00100BF5">
              <w:rPr>
                <w:b/>
                <w:sz w:val="16"/>
              </w:rPr>
              <w:t>6,112 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6,012 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50D5B">
            <w:pPr>
              <w:jc w:val="right"/>
              <w:rPr>
                <w:b/>
                <w:sz w:val="16"/>
              </w:rPr>
            </w:pPr>
            <w:r w:rsidRPr="00100BF5">
              <w:rPr>
                <w:b/>
                <w:sz w:val="16"/>
              </w:rPr>
              <w:t>6,189 </w:t>
            </w:r>
          </w:p>
        </w:tc>
      </w:tr>
    </w:tbl>
    <w:p w:rsidR="00A12DCA" w:rsidRPr="00100BF5" w:rsidRDefault="00A12DCA">
      <w:pPr>
        <w:sectPr w:rsidR="00A12DCA" w:rsidRPr="00100BF5" w:rsidSect="00E100EB">
          <w:type w:val="continuous"/>
          <w:pgSz w:w="11905" w:h="16837"/>
          <w:pgMar w:top="851" w:right="1134" w:bottom="567" w:left="1134" w:header="851" w:footer="567" w:gutter="0"/>
          <w:cols w:space="708"/>
        </w:sectPr>
      </w:pPr>
    </w:p>
    <w:p w:rsidR="00351861" w:rsidRDefault="005F437E" w:rsidP="005F437E">
      <w:pPr>
        <w:pStyle w:val="HeadingLevel1-BarcRA"/>
        <w:rPr>
          <w:lang w:val="en-GB"/>
        </w:rPr>
      </w:pPr>
      <w:r>
        <w:t>Financial Statement Notes</w:t>
      </w:r>
    </w:p>
    <w:p w:rsidR="00A12DCA" w:rsidRPr="00100BF5" w:rsidRDefault="00A12DCA" w:rsidP="005F437E">
      <w:pPr>
        <w:pStyle w:val="HeadingLevel1-BarcRA"/>
      </w:pPr>
      <w:r w:rsidRPr="00100BF5">
        <w:t>3.   Staff Costs</w:t>
      </w:r>
    </w:p>
    <w:tbl>
      <w:tblPr>
        <w:tblW w:w="0" w:type="auto"/>
        <w:tblLayout w:type="fixed"/>
        <w:tblLook w:val="0000" w:firstRow="0" w:lastRow="0" w:firstColumn="0" w:lastColumn="0" w:noHBand="0" w:noVBand="0"/>
      </w:tblPr>
      <w:tblGrid>
        <w:gridCol w:w="6270"/>
        <w:gridCol w:w="1125"/>
        <w:gridCol w:w="1125"/>
        <w:gridCol w:w="1125"/>
      </w:tblGrid>
      <w:tr w:rsidR="00A12DCA" w:rsidRPr="00100BF5" w:rsidTr="00834F33">
        <w:tblPrEx>
          <w:tblCellMar>
            <w:top w:w="0" w:type="dxa"/>
            <w:bottom w:w="0" w:type="dxa"/>
          </w:tblCellMar>
        </w:tblPrEx>
        <w:trPr>
          <w:trHeight w:val="48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vertAlign w:val="superscript"/>
              </w:rPr>
            </w:pPr>
            <w:r w:rsidRPr="00100BF5">
              <w:rPr>
                <w:b/>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Half Year Ended</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vertAlign w:val="superscript"/>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30.06.11</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b/>
                <w:sz w:val="16"/>
                <w:vertAlign w:val="superscript"/>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£m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Current year bonus accrual</w:t>
            </w:r>
            <w:r w:rsidRPr="00100BF5">
              <w:rPr>
                <w:sz w:val="16"/>
                <w:vertAlign w:val="superscript"/>
              </w:rPr>
              <w:t>1 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539 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99 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856 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Deferred bonus charge</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655 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537 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458 </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Sales commissions, commitments and other incentives</w:t>
            </w:r>
            <w:r w:rsidRPr="00100BF5">
              <w:rPr>
                <w:sz w:val="16"/>
                <w:vertAlign w:val="superscript"/>
              </w:rPr>
              <w:t>1 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228 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243 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334 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Performance costs</w:t>
            </w:r>
            <w:r w:rsidRPr="00100BF5">
              <w:rPr>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b/>
                <w:sz w:val="16"/>
              </w:rPr>
              <w:t>1,422 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879 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1,648 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Salaries</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2,991 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3,113 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3,164 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Non-performance employee share plans</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57 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100 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67 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Social security costs</w:t>
            </w:r>
            <w:r w:rsidRPr="00100BF5">
              <w:rPr>
                <w:sz w:val="16"/>
                <w:vertAlign w:val="superscript"/>
              </w:rPr>
              <w:t>2 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369 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316 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400 </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Post retirement benefits</w:t>
            </w:r>
            <w:r w:rsidRPr="00100BF5">
              <w:rPr>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315 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380 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347 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compensation costs</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b/>
                <w:sz w:val="16"/>
                <w:vertAlign w:val="superscript"/>
              </w:rPr>
            </w:pPr>
            <w:r w:rsidRPr="00100BF5">
              <w:rPr>
                <w:b/>
                <w:sz w:val="16"/>
              </w:rPr>
              <w:t>5,154 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4,788 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5,626 </w:t>
            </w:r>
          </w:p>
        </w:tc>
      </w:tr>
      <w:tr w:rsidR="00A12DCA" w:rsidRPr="00100BF5" w:rsidTr="00834F33">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vertAlign w:val="superscript"/>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Bank payroll tax</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17 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38 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38 </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r w:rsidRPr="00100BF5">
              <w:rPr>
                <w:sz w:val="16"/>
                <w:vertAlign w:val="superscript"/>
              </w:rPr>
              <w:t>3 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834F33">
            <w:pPr>
              <w:jc w:val="right"/>
              <w:rPr>
                <w:sz w:val="16"/>
                <w:vertAlign w:val="superscript"/>
              </w:rPr>
            </w:pPr>
            <w:r w:rsidRPr="00100BF5">
              <w:rPr>
                <w:sz w:val="16"/>
              </w:rPr>
              <w:t>298 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sz w:val="16"/>
              </w:rPr>
              <w:t>471 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446 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Non compensation costs</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b/>
                <w:sz w:val="16"/>
                <w:vertAlign w:val="superscript"/>
              </w:rPr>
            </w:pPr>
            <w:r w:rsidRPr="00100BF5">
              <w:rPr>
                <w:b/>
                <w:sz w:val="16"/>
              </w:rPr>
              <w:t>315 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509 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484 </w:t>
            </w:r>
          </w:p>
        </w:tc>
      </w:tr>
      <w:tr w:rsidR="00A12DCA" w:rsidRPr="00100BF5" w:rsidTr="00834F33">
        <w:tblPrEx>
          <w:tblCellMar>
            <w:top w:w="0" w:type="dxa"/>
            <w:bottom w:w="0" w:type="dxa"/>
          </w:tblCellMar>
        </w:tblPrEx>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vertAlign w:val="superscript"/>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Staff costs</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b/>
                <w:sz w:val="16"/>
                <w:vertAlign w:val="superscript"/>
              </w:rPr>
            </w:pPr>
            <w:r w:rsidRPr="00100BF5">
              <w:rPr>
                <w:b/>
                <w:sz w:val="16"/>
              </w:rPr>
              <w:t>5,469 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5,297 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6,110 </w:t>
            </w:r>
          </w:p>
        </w:tc>
      </w:tr>
      <w:tr w:rsidR="00A12DCA" w:rsidRPr="00100BF5" w:rsidTr="00834F33">
        <w:tblPrEx>
          <w:tblCellMar>
            <w:top w:w="0" w:type="dxa"/>
            <w:bottom w:w="0" w:type="dxa"/>
          </w:tblCellMar>
        </w:tblPrEx>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vertAlign w:val="superscript"/>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b/>
                <w:sz w:val="16"/>
              </w:rPr>
              <w:t xml:space="preserve">Total employees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vertAlign w:val="superscript"/>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rPr>
            </w:pPr>
            <w:r w:rsidRPr="00100BF5">
              <w:rPr>
                <w:sz w:val="16"/>
              </w:rPr>
              <w:t xml:space="preserve">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Full time equivalent</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b/>
                <w:sz w:val="16"/>
                <w:vertAlign w:val="superscript"/>
              </w:rPr>
            </w:pPr>
            <w:r w:rsidRPr="00100BF5">
              <w:rPr>
                <w:b/>
                <w:sz w:val="16"/>
              </w:rPr>
              <w:t>139,000 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141,100 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rPr>
            </w:pPr>
            <w:r w:rsidRPr="00100BF5">
              <w:rPr>
                <w:b/>
                <w:sz w:val="16"/>
              </w:rPr>
              <w:t>146,100 </w:t>
            </w:r>
          </w:p>
        </w:tc>
      </w:tr>
    </w:tbl>
    <w:p w:rsidR="00A12DCA" w:rsidRPr="00100BF5" w:rsidRDefault="00A12DCA" w:rsidP="00DF0442">
      <w:pPr>
        <w:pStyle w:val="Level1Bullet-BarcRA03"/>
        <w:rPr>
          <w:lang w:val="en-GB"/>
        </w:rPr>
      </w:pPr>
      <w:r w:rsidRPr="00100BF5">
        <w:rPr>
          <w:lang w:val="en-GB"/>
        </w:rPr>
        <w:t>Total staff costs reduced 10% to £5,469m, principally reflecting reductions in the current year bonus accrual and salaries, partially offset by the increased impact of prior year deferrals</w:t>
      </w:r>
    </w:p>
    <w:p w:rsidR="00A12DCA" w:rsidRPr="00100BF5" w:rsidRDefault="00A12DCA" w:rsidP="00DF0442">
      <w:pPr>
        <w:pStyle w:val="Level1Bullet-BarcRA03"/>
        <w:rPr>
          <w:lang w:val="en-GB"/>
        </w:rPr>
      </w:pPr>
      <w:r w:rsidRPr="00100BF5">
        <w:rPr>
          <w:lang w:val="en-GB"/>
        </w:rPr>
        <w:t xml:space="preserve">No awards have yet been granted in relation to the 2012 bonus pool as decisions regarding incentive awards are not taken by the Remuneration Committee until the performance for the full year can be assessed. The current year bonus charge for the first six months represents an accrual for estimated costs in accordance with accounting requirements </w:t>
      </w:r>
    </w:p>
    <w:p w:rsidR="00A12DCA" w:rsidRPr="00100BF5" w:rsidRDefault="00A12DCA" w:rsidP="00DF0442">
      <w:pPr>
        <w:pStyle w:val="Level1Bullet-BarcRA03"/>
        <w:rPr>
          <w:lang w:val="en-GB"/>
        </w:rPr>
      </w:pPr>
      <w:r w:rsidRPr="00100BF5">
        <w:rPr>
          <w:lang w:val="en-GB"/>
        </w:rPr>
        <w:t>Group performance costs reduced 14% to £1,422m, compared to a 13% increase in adjusted profit before tax</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The Group compensation: income ratio</w:t>
      </w:r>
      <w:r w:rsidR="0052473E" w:rsidRPr="0052473E">
        <w:rPr>
          <w:vertAlign w:val="superscript"/>
          <w:lang w:val="en-GB"/>
        </w:rPr>
        <w:t>4</w:t>
      </w:r>
      <w:r w:rsidRPr="00100BF5">
        <w:rPr>
          <w:lang w:val="en-GB"/>
        </w:rPr>
        <w:t xml:space="preserve"> reduced to 33% (</w:t>
      </w:r>
      <w:r w:rsidR="00882E4A">
        <w:rPr>
          <w:lang w:val="en-GB"/>
        </w:rPr>
        <w:t>F</w:t>
      </w:r>
      <w:r w:rsidR="00882E4A" w:rsidRPr="00100BF5">
        <w:rPr>
          <w:lang w:val="en-GB"/>
        </w:rPr>
        <w:t xml:space="preserve">ull </w:t>
      </w:r>
      <w:r w:rsidR="00882E4A">
        <w:rPr>
          <w:lang w:val="en-GB"/>
        </w:rPr>
        <w:t>Y</w:t>
      </w:r>
      <w:r w:rsidR="00882E4A" w:rsidRPr="00100BF5">
        <w:rPr>
          <w:lang w:val="en-GB"/>
        </w:rPr>
        <w:t>ear 2011: 37%</w:t>
      </w:r>
      <w:r w:rsidR="00882E4A">
        <w:rPr>
          <w:lang w:val="en-GB"/>
        </w:rPr>
        <w:t xml:space="preserve">; </w:t>
      </w:r>
      <w:r w:rsidR="00230C09">
        <w:rPr>
          <w:lang w:val="en-GB"/>
        </w:rPr>
        <w:t>Half Y</w:t>
      </w:r>
      <w:r w:rsidR="0067611F" w:rsidRPr="00100BF5">
        <w:rPr>
          <w:lang w:val="en-GB"/>
        </w:rPr>
        <w:t xml:space="preserve">ear </w:t>
      </w:r>
      <w:r w:rsidRPr="00100BF5">
        <w:rPr>
          <w:lang w:val="en-GB"/>
        </w:rPr>
        <w:t xml:space="preserve">2011: 37%)  </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The deferred bonus charge increased 43% to £655m, principally reflecting the increased levels of deferrals relating to the 2011 bonus pool</w:t>
      </w:r>
    </w:p>
    <w:p w:rsidR="00A12DCA" w:rsidRPr="00100BF5" w:rsidRDefault="00A12DCA" w:rsidP="00DF0442">
      <w:pPr>
        <w:pStyle w:val="Level1Bullet-BarcRA03"/>
      </w:pPr>
      <w:r w:rsidRPr="00100BF5">
        <w:t xml:space="preserve">Investment Bank performance costs reduced 19% to £1,028m, compared to a 2% decrease in profit before tax </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Investment Bank compensation: income ratio reduced to 39% (</w:t>
      </w:r>
      <w:r w:rsidR="00882E4A">
        <w:rPr>
          <w:lang w:val="en-GB"/>
        </w:rPr>
        <w:t>Full Y</w:t>
      </w:r>
      <w:r w:rsidR="00882E4A" w:rsidRPr="00100BF5">
        <w:rPr>
          <w:lang w:val="en-GB"/>
        </w:rPr>
        <w:t>ear 2011: 47%</w:t>
      </w:r>
      <w:r w:rsidR="00882E4A">
        <w:rPr>
          <w:lang w:val="en-GB"/>
        </w:rPr>
        <w:t xml:space="preserve">; </w:t>
      </w:r>
      <w:r w:rsidR="00230C09">
        <w:rPr>
          <w:lang w:val="en-GB"/>
        </w:rPr>
        <w:t>Half Y</w:t>
      </w:r>
      <w:r w:rsidR="0067611F" w:rsidRPr="00100BF5">
        <w:rPr>
          <w:lang w:val="en-GB"/>
        </w:rPr>
        <w:t xml:space="preserve">ear </w:t>
      </w:r>
      <w:r w:rsidRPr="00100BF5">
        <w:rPr>
          <w:lang w:val="en-GB"/>
        </w:rPr>
        <w:t>2011: 45%)</w:t>
      </w:r>
    </w:p>
    <w:p w:rsidR="00A12DCA" w:rsidRPr="00100BF5" w:rsidRDefault="00A12DCA" w:rsidP="00DF0442">
      <w:pPr>
        <w:pStyle w:val="Level2Bullet-BarcRA2"/>
        <w:numPr>
          <w:ilvl w:val="2"/>
          <w:numId w:val="9"/>
        </w:numPr>
        <w:tabs>
          <w:tab w:val="num" w:pos="567"/>
        </w:tabs>
        <w:ind w:left="567" w:hanging="283"/>
        <w:rPr>
          <w:lang w:val="en-GB"/>
        </w:rPr>
      </w:pPr>
      <w:r w:rsidRPr="00100BF5">
        <w:rPr>
          <w:lang w:val="en-GB"/>
        </w:rPr>
        <w:t>Performance costs included a deferred bonus charge of £597m (2011: £432m)</w:t>
      </w:r>
    </w:p>
    <w:p w:rsidR="00A12DCA" w:rsidRPr="00100BF5" w:rsidRDefault="00A12DCA" w:rsidP="00DF0442">
      <w:pPr>
        <w:pStyle w:val="Level1Bullet-BarcRA03"/>
        <w:rPr>
          <w:lang w:val="en-GB"/>
        </w:rPr>
      </w:pPr>
      <w:r w:rsidRPr="00100BF5">
        <w:rPr>
          <w:lang w:val="en-GB"/>
        </w:rPr>
        <w:t>The expected charge relating to future periods for bonus awards granted but not yet expensed as at 30 June 2012 was £1.4bn (31 December 2011: £2.0bn)</w:t>
      </w:r>
    </w:p>
    <w:p w:rsidR="00A12DCA" w:rsidRPr="00100BF5" w:rsidRDefault="00A12DCA" w:rsidP="00DF0442">
      <w:pPr>
        <w:pStyle w:val="Level1Bullet-BarcRA03"/>
        <w:rPr>
          <w:lang w:val="en-GB"/>
        </w:rPr>
      </w:pPr>
      <w:r w:rsidRPr="00100BF5">
        <w:rPr>
          <w:lang w:val="en-GB"/>
        </w:rPr>
        <w:t>Salaries decreased 5% to £2,991m in line with the 5% reduction in total employees to 139,000. This reduction primarily related to restructuring activity in Europe RBB, Africa RBB and Corporate Banking outside of the UK</w:t>
      </w:r>
    </w:p>
    <w:p w:rsidR="00A12DCA" w:rsidRPr="00100BF5" w:rsidRDefault="00A12DCA">
      <w:pPr>
        <w:rPr>
          <w:lang w:val="en-GB"/>
        </w:rPr>
      </w:pPr>
    </w:p>
    <w:p w:rsidR="00A47EAA" w:rsidRPr="00100BF5" w:rsidRDefault="00A47EAA" w:rsidP="00A47EAA">
      <w:pPr>
        <w:pStyle w:val="NoteandSourceText-BarcRA130"/>
        <w:numPr>
          <w:ilvl w:val="0"/>
          <w:numId w:val="0"/>
        </w:numPr>
        <w:ind w:left="284"/>
        <w:rPr>
          <w:rFonts w:eastAsia="Times New Roman" w:cs="Times New Roman"/>
          <w:lang w:val="en-GB"/>
        </w:rPr>
      </w:pPr>
    </w:p>
    <w:p w:rsidR="00A47EAA" w:rsidRPr="00100BF5" w:rsidRDefault="00A47EAA" w:rsidP="00A47EAA">
      <w:pPr>
        <w:pStyle w:val="NoteandSourceText-BarcRA130"/>
        <w:numPr>
          <w:ilvl w:val="0"/>
          <w:numId w:val="0"/>
        </w:numPr>
        <w:ind w:left="284"/>
        <w:rPr>
          <w:rFonts w:eastAsia="Times New Roman" w:cs="Times New Roman"/>
          <w:lang w:val="en-GB"/>
        </w:rPr>
      </w:pPr>
    </w:p>
    <w:p w:rsidR="00A47EAA" w:rsidRPr="00100BF5" w:rsidRDefault="00A47EAA" w:rsidP="00A47EAA">
      <w:pPr>
        <w:pStyle w:val="NoteandSourceText-BarcRA130"/>
        <w:numPr>
          <w:ilvl w:val="0"/>
          <w:numId w:val="0"/>
        </w:numPr>
        <w:ind w:left="284"/>
        <w:rPr>
          <w:rFonts w:eastAsia="Times New Roman" w:cs="Times New Roman"/>
          <w:lang w:val="en-GB"/>
        </w:rPr>
      </w:pPr>
    </w:p>
    <w:p w:rsidR="00A47EAA" w:rsidRPr="00100BF5" w:rsidRDefault="00A47EAA" w:rsidP="00A47EAA">
      <w:pPr>
        <w:pStyle w:val="NoteandSourceText-BarcRA130"/>
        <w:numPr>
          <w:ilvl w:val="0"/>
          <w:numId w:val="0"/>
        </w:numPr>
        <w:ind w:left="284"/>
        <w:rPr>
          <w:rFonts w:eastAsia="Times New Roman" w:cs="Times New Roman"/>
          <w:lang w:val="en-GB"/>
        </w:rPr>
      </w:pPr>
    </w:p>
    <w:p w:rsidR="00A47EAA" w:rsidRPr="00100BF5" w:rsidRDefault="00A47EAA" w:rsidP="00A47EAA">
      <w:pPr>
        <w:pStyle w:val="NoteandSourceText-BarcRA130"/>
        <w:numPr>
          <w:ilvl w:val="0"/>
          <w:numId w:val="0"/>
        </w:numPr>
        <w:ind w:left="284"/>
        <w:rPr>
          <w:rFonts w:eastAsia="Times New Roman" w:cs="Times New Roman"/>
          <w:lang w:val="en-GB"/>
        </w:rPr>
      </w:pPr>
    </w:p>
    <w:p w:rsidR="001A77E4" w:rsidRPr="00100BF5" w:rsidRDefault="001A77E4" w:rsidP="00A47EAA">
      <w:pPr>
        <w:pStyle w:val="NoteandSourceText-BarcRA130"/>
        <w:numPr>
          <w:ilvl w:val="0"/>
          <w:numId w:val="0"/>
        </w:numPr>
        <w:ind w:left="284"/>
        <w:rPr>
          <w:rFonts w:eastAsia="Times New Roman" w:cs="Times New Roman"/>
          <w:sz w:val="2"/>
          <w:szCs w:val="2"/>
          <w:lang w:val="en-GB"/>
        </w:rPr>
      </w:pPr>
    </w:p>
    <w:p w:rsidR="003B473F" w:rsidRPr="00100BF5" w:rsidRDefault="003B473F" w:rsidP="00A47EAA">
      <w:pPr>
        <w:pStyle w:val="NoteandSourceText-BarcRA130"/>
        <w:numPr>
          <w:ilvl w:val="0"/>
          <w:numId w:val="0"/>
        </w:numPr>
        <w:ind w:left="284"/>
        <w:rPr>
          <w:rFonts w:eastAsia="Times New Roman" w:cs="Times New Roman"/>
          <w:sz w:val="2"/>
          <w:szCs w:val="2"/>
          <w:lang w:val="en-GB"/>
        </w:rPr>
      </w:pPr>
    </w:p>
    <w:p w:rsidR="003B473F" w:rsidRDefault="003B473F" w:rsidP="00A47EAA">
      <w:pPr>
        <w:pStyle w:val="NoteandSourceText-BarcRA130"/>
        <w:numPr>
          <w:ilvl w:val="0"/>
          <w:numId w:val="0"/>
        </w:numPr>
        <w:ind w:left="284"/>
        <w:rPr>
          <w:rFonts w:eastAsia="Times New Roman" w:cs="Times New Roman"/>
          <w:sz w:val="2"/>
          <w:szCs w:val="2"/>
          <w:lang w:val="en-GB"/>
        </w:rPr>
      </w:pPr>
    </w:p>
    <w:p w:rsidR="00230C09" w:rsidRDefault="00230C09" w:rsidP="00A47EAA">
      <w:pPr>
        <w:pStyle w:val="NoteandSourceText-BarcRA130"/>
        <w:numPr>
          <w:ilvl w:val="0"/>
          <w:numId w:val="0"/>
        </w:numPr>
        <w:ind w:left="284"/>
        <w:rPr>
          <w:rFonts w:eastAsia="Times New Roman" w:cs="Times New Roman"/>
          <w:sz w:val="2"/>
          <w:szCs w:val="2"/>
          <w:lang w:val="en-GB"/>
        </w:rPr>
      </w:pPr>
    </w:p>
    <w:p w:rsidR="00230C09" w:rsidRDefault="00230C09" w:rsidP="00A47EAA">
      <w:pPr>
        <w:pStyle w:val="NoteandSourceText-BarcRA130"/>
        <w:numPr>
          <w:ilvl w:val="0"/>
          <w:numId w:val="0"/>
        </w:numPr>
        <w:ind w:left="284"/>
        <w:rPr>
          <w:rFonts w:eastAsia="Times New Roman" w:cs="Times New Roman"/>
          <w:sz w:val="2"/>
          <w:szCs w:val="2"/>
          <w:lang w:val="en-GB"/>
        </w:rPr>
      </w:pPr>
    </w:p>
    <w:p w:rsidR="00230C09" w:rsidRDefault="00230C09" w:rsidP="00A47EAA">
      <w:pPr>
        <w:pStyle w:val="NoteandSourceText-BarcRA130"/>
        <w:numPr>
          <w:ilvl w:val="0"/>
          <w:numId w:val="0"/>
        </w:numPr>
        <w:ind w:left="284"/>
        <w:rPr>
          <w:rFonts w:eastAsia="Times New Roman" w:cs="Times New Roman"/>
          <w:sz w:val="2"/>
          <w:szCs w:val="2"/>
          <w:lang w:val="en-GB"/>
        </w:rPr>
      </w:pPr>
    </w:p>
    <w:p w:rsidR="002F14BD" w:rsidRDefault="002F14BD" w:rsidP="00A47EAA">
      <w:pPr>
        <w:pStyle w:val="NoteandSourceText-BarcRA130"/>
        <w:numPr>
          <w:ilvl w:val="0"/>
          <w:numId w:val="0"/>
        </w:numPr>
        <w:ind w:left="284"/>
        <w:rPr>
          <w:rFonts w:eastAsia="Times New Roman" w:cs="Times New Roman"/>
          <w:sz w:val="2"/>
          <w:szCs w:val="2"/>
          <w:lang w:val="en-GB"/>
        </w:rPr>
      </w:pPr>
    </w:p>
    <w:p w:rsidR="00230C09" w:rsidRDefault="00230C09" w:rsidP="00A47EAA">
      <w:pPr>
        <w:pStyle w:val="NoteandSourceText-BarcRA130"/>
        <w:numPr>
          <w:ilvl w:val="0"/>
          <w:numId w:val="0"/>
        </w:numPr>
        <w:ind w:left="284"/>
        <w:rPr>
          <w:rFonts w:eastAsia="Times New Roman" w:cs="Times New Roman"/>
          <w:sz w:val="2"/>
          <w:szCs w:val="2"/>
          <w:lang w:val="en-GB"/>
        </w:rPr>
      </w:pPr>
    </w:p>
    <w:p w:rsidR="00230C09" w:rsidRDefault="00230C09" w:rsidP="00A47EAA">
      <w:pPr>
        <w:pStyle w:val="NoteandSourceText-BarcRA130"/>
        <w:numPr>
          <w:ilvl w:val="0"/>
          <w:numId w:val="0"/>
        </w:numPr>
        <w:ind w:left="284"/>
        <w:rPr>
          <w:rFonts w:eastAsia="Times New Roman" w:cs="Times New Roman"/>
          <w:sz w:val="2"/>
          <w:szCs w:val="2"/>
          <w:lang w:val="en-GB"/>
        </w:rPr>
      </w:pPr>
    </w:p>
    <w:p w:rsidR="00230C09" w:rsidRDefault="00230C09" w:rsidP="00A47EAA">
      <w:pPr>
        <w:pStyle w:val="NoteandSourceText-BarcRA130"/>
        <w:numPr>
          <w:ilvl w:val="0"/>
          <w:numId w:val="0"/>
        </w:numPr>
        <w:ind w:left="284"/>
        <w:rPr>
          <w:rFonts w:eastAsia="Times New Roman" w:cs="Times New Roman"/>
          <w:sz w:val="2"/>
          <w:szCs w:val="2"/>
          <w:lang w:val="en-GB"/>
        </w:rPr>
      </w:pPr>
    </w:p>
    <w:p w:rsidR="00FB0640" w:rsidRDefault="00FB0640" w:rsidP="00A47EAA">
      <w:pPr>
        <w:pStyle w:val="NoteandSourceText-BarcRA130"/>
        <w:numPr>
          <w:ilvl w:val="0"/>
          <w:numId w:val="0"/>
        </w:numPr>
        <w:ind w:left="284"/>
        <w:rPr>
          <w:rFonts w:eastAsia="Times New Roman" w:cs="Times New Roman"/>
          <w:sz w:val="2"/>
          <w:szCs w:val="2"/>
          <w:lang w:val="en-GB"/>
        </w:rPr>
      </w:pPr>
    </w:p>
    <w:p w:rsidR="00FB0640" w:rsidRDefault="00FB0640" w:rsidP="00A47EAA">
      <w:pPr>
        <w:pStyle w:val="NoteandSourceText-BarcRA130"/>
        <w:numPr>
          <w:ilvl w:val="0"/>
          <w:numId w:val="0"/>
        </w:numPr>
        <w:ind w:left="284"/>
        <w:rPr>
          <w:rFonts w:eastAsia="Times New Roman" w:cs="Times New Roman"/>
          <w:sz w:val="2"/>
          <w:szCs w:val="2"/>
          <w:lang w:val="en-GB"/>
        </w:rPr>
      </w:pPr>
    </w:p>
    <w:p w:rsidR="00FB0640" w:rsidRDefault="00FB0640" w:rsidP="00A47EAA">
      <w:pPr>
        <w:pStyle w:val="NoteandSourceText-BarcRA130"/>
        <w:numPr>
          <w:ilvl w:val="0"/>
          <w:numId w:val="0"/>
        </w:numPr>
        <w:ind w:left="284"/>
        <w:rPr>
          <w:rFonts w:eastAsia="Times New Roman" w:cs="Times New Roman"/>
          <w:sz w:val="2"/>
          <w:szCs w:val="2"/>
          <w:lang w:val="en-GB"/>
        </w:rPr>
      </w:pPr>
    </w:p>
    <w:p w:rsidR="00FB0640" w:rsidRDefault="00FB0640" w:rsidP="00A47EAA">
      <w:pPr>
        <w:pStyle w:val="NoteandSourceText-BarcRA130"/>
        <w:numPr>
          <w:ilvl w:val="0"/>
          <w:numId w:val="0"/>
        </w:numPr>
        <w:ind w:left="284"/>
        <w:rPr>
          <w:rFonts w:eastAsia="Times New Roman" w:cs="Times New Roman"/>
          <w:sz w:val="2"/>
          <w:szCs w:val="2"/>
          <w:lang w:val="en-GB"/>
        </w:rPr>
      </w:pPr>
    </w:p>
    <w:p w:rsidR="00230C09" w:rsidRPr="00100BF5" w:rsidRDefault="00230C09" w:rsidP="00A47EAA">
      <w:pPr>
        <w:pStyle w:val="NoteandSourceText-BarcRA130"/>
        <w:numPr>
          <w:ilvl w:val="0"/>
          <w:numId w:val="0"/>
        </w:numPr>
        <w:ind w:left="284"/>
        <w:rPr>
          <w:rFonts w:eastAsia="Times New Roman" w:cs="Times New Roman"/>
          <w:sz w:val="2"/>
          <w:szCs w:val="2"/>
          <w:lang w:val="en-GB"/>
        </w:rPr>
      </w:pPr>
    </w:p>
    <w:p w:rsidR="003B473F" w:rsidRPr="00100BF5" w:rsidRDefault="003B473F" w:rsidP="00A47EAA">
      <w:pPr>
        <w:pStyle w:val="NoteandSourceText-BarcRA130"/>
        <w:numPr>
          <w:ilvl w:val="0"/>
          <w:numId w:val="0"/>
        </w:numPr>
        <w:ind w:left="284"/>
        <w:rPr>
          <w:rFonts w:eastAsia="Times New Roman" w:cs="Times New Roman"/>
          <w:sz w:val="2"/>
          <w:szCs w:val="2"/>
          <w:lang w:val="en-GB"/>
        </w:rPr>
      </w:pPr>
    </w:p>
    <w:p w:rsidR="003B473F" w:rsidRPr="00100BF5" w:rsidRDefault="003B473F" w:rsidP="00A47EAA">
      <w:pPr>
        <w:pStyle w:val="NoteandSourceText-BarcRA130"/>
        <w:numPr>
          <w:ilvl w:val="0"/>
          <w:numId w:val="0"/>
        </w:numPr>
        <w:ind w:left="284"/>
        <w:rPr>
          <w:rFonts w:eastAsia="Times New Roman" w:cs="Times New Roman"/>
          <w:sz w:val="2"/>
          <w:szCs w:val="2"/>
          <w:lang w:val="en-GB"/>
        </w:rPr>
      </w:pPr>
    </w:p>
    <w:p w:rsidR="003B473F" w:rsidRPr="00100BF5" w:rsidRDefault="003B473F" w:rsidP="00A47EAA">
      <w:pPr>
        <w:pStyle w:val="NoteandSourceText-BarcRA130"/>
        <w:numPr>
          <w:ilvl w:val="0"/>
          <w:numId w:val="0"/>
        </w:numPr>
        <w:ind w:left="284"/>
        <w:rPr>
          <w:rFonts w:eastAsia="Times New Roman" w:cs="Times New Roman"/>
          <w:sz w:val="2"/>
          <w:szCs w:val="2"/>
          <w:lang w:val="en-GB"/>
        </w:rPr>
      </w:pPr>
    </w:p>
    <w:p w:rsidR="001A77E4" w:rsidRPr="00100BF5" w:rsidRDefault="001A77E4" w:rsidP="003B473F">
      <w:pPr>
        <w:pStyle w:val="NoteandSourceText-BarcRA130"/>
        <w:spacing w:after="0"/>
        <w:ind w:left="284" w:hanging="284"/>
      </w:pPr>
      <w:r w:rsidRPr="00100BF5">
        <w:t xml:space="preserve">The total current year bonus </w:t>
      </w:r>
      <w:r w:rsidR="009D7AE3" w:rsidRPr="00100BF5">
        <w:t>cost</w:t>
      </w:r>
      <w:r w:rsidRPr="00100BF5">
        <w:t xml:space="preserve"> for 2011 included £57m over</w:t>
      </w:r>
      <w:r w:rsidR="00593046">
        <w:t xml:space="preserve"> </w:t>
      </w:r>
      <w:r w:rsidRPr="00100BF5">
        <w:t>accrual for the full year.</w:t>
      </w:r>
    </w:p>
    <w:p w:rsidR="00A12DCA" w:rsidRPr="00100BF5" w:rsidRDefault="00A12DCA" w:rsidP="003B473F">
      <w:pPr>
        <w:pStyle w:val="NoteandSourceText-BarcRA130"/>
        <w:spacing w:after="0"/>
        <w:ind w:left="284" w:hanging="284"/>
        <w:rPr>
          <w:rFonts w:eastAsia="Times New Roman" w:cs="Times New Roman"/>
          <w:lang w:val="en-GB"/>
        </w:rPr>
      </w:pPr>
      <w:r w:rsidRPr="00100BF5">
        <w:t>Includes social security costs relating to salaries, bonuses and other incentives.</w:t>
      </w:r>
    </w:p>
    <w:p w:rsidR="00A12DCA" w:rsidRDefault="00A12DCA" w:rsidP="003B473F">
      <w:pPr>
        <w:pStyle w:val="NoteandSourceText-BarcRA130"/>
        <w:spacing w:after="0"/>
        <w:ind w:left="284" w:hanging="284"/>
      </w:pPr>
      <w:r w:rsidRPr="00100BF5">
        <w:t>Includes staff training, redundancy and recruitment.</w:t>
      </w:r>
    </w:p>
    <w:p w:rsidR="0052473E" w:rsidRPr="00100BF5" w:rsidRDefault="0052473E" w:rsidP="003B473F">
      <w:pPr>
        <w:pStyle w:val="NoteandSourceText-BarcRA130"/>
        <w:spacing w:after="0"/>
        <w:ind w:left="284" w:hanging="284"/>
      </w:pPr>
      <w:r>
        <w:t>Total compensation costs divided by total adjusted income net of insurance claims</w:t>
      </w:r>
      <w:r w:rsidR="00B34AE3">
        <w:t>.</w:t>
      </w:r>
    </w:p>
    <w:p w:rsidR="00A12DCA" w:rsidRDefault="00A12DCA"/>
    <w:p w:rsidR="0052473E" w:rsidRPr="00100BF5" w:rsidRDefault="0052473E">
      <w:pPr>
        <w:sectPr w:rsidR="0052473E" w:rsidRPr="00100BF5" w:rsidSect="00E100EB">
          <w:pgSz w:w="11905" w:h="16837"/>
          <w:pgMar w:top="851" w:right="1134" w:bottom="567" w:left="1134" w:header="851" w:footer="567" w:gutter="0"/>
          <w:cols w:space="708"/>
        </w:sectPr>
      </w:pPr>
      <w:r>
        <w:t>4</w:t>
      </w:r>
    </w:p>
    <w:p w:rsidR="00351861" w:rsidRDefault="005F437E" w:rsidP="005F437E">
      <w:pPr>
        <w:pStyle w:val="HeadingLevel1-BarcRA"/>
        <w:rPr>
          <w:lang w:val="en-GB"/>
        </w:rPr>
      </w:pPr>
      <w:r>
        <w:t>Financial Statement Notes</w:t>
      </w:r>
    </w:p>
    <w:p w:rsidR="00A12DCA" w:rsidRPr="00100BF5" w:rsidRDefault="00A12DCA" w:rsidP="005F437E">
      <w:pPr>
        <w:pStyle w:val="HeadingLevel1-BarcRA"/>
      </w:pPr>
      <w:r w:rsidRPr="00100BF5">
        <w:t>4.  Administration and General Expenses</w:t>
      </w:r>
    </w:p>
    <w:tbl>
      <w:tblPr>
        <w:tblW w:w="0" w:type="auto"/>
        <w:tblLayout w:type="fixed"/>
        <w:tblLook w:val="0000" w:firstRow="0" w:lastRow="0" w:firstColumn="0" w:lastColumn="0" w:noHBand="0" w:noVBand="0"/>
      </w:tblPr>
      <w:tblGrid>
        <w:gridCol w:w="6270"/>
        <w:gridCol w:w="1125"/>
        <w:gridCol w:w="1125"/>
        <w:gridCol w:w="1125"/>
      </w:tblGrid>
      <w:tr w:rsidR="00A12DCA" w:rsidRPr="00100BF5" w:rsidTr="00834F33">
        <w:tblPrEx>
          <w:tblCellMar>
            <w:top w:w="0" w:type="dxa"/>
            <w:bottom w:w="0" w:type="dxa"/>
          </w:tblCellMar>
        </w:tblPrEx>
        <w:trPr>
          <w:trHeight w:val="510"/>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24"/>
                <w:lang w:val="en-GB"/>
              </w:rPr>
            </w:pPr>
            <w:r w:rsidRPr="00100BF5">
              <w:rPr>
                <w:sz w:val="16"/>
                <w:lang w:val="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b/>
                <w:sz w:val="16"/>
                <w:lang w:val="en-GB"/>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Half Year  Ended</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lang w:val="en-GB"/>
              </w:rPr>
            </w:pPr>
            <w:r w:rsidRPr="00100BF5">
              <w:rPr>
                <w:b/>
                <w:sz w:val="16"/>
                <w:lang w:val="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30.06.11</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lang w:val="en-GB"/>
              </w:rPr>
            </w:pPr>
            <w:r w:rsidRPr="00100BF5">
              <w:rPr>
                <w:b/>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sz w:val="16"/>
                <w:lang w:val="en-GB"/>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 xml:space="preserve">£m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Property and equipment</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892 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856 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907 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Outsourcing and professional services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1,023 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971 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898 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Operating lease rentals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307 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335 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324 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Marketing, advertising and sponsorship</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257 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323 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262 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Subscriptions, publications, stationery and communications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367 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364 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376 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Travel and accommodation</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157 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168 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160 </w:t>
            </w:r>
          </w:p>
        </w:tc>
      </w:tr>
      <w:tr w:rsidR="00A12DCA" w:rsidRPr="00100BF5" w:rsidTr="00834F33">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Other administration and general expenses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468 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209 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191 </w:t>
            </w:r>
          </w:p>
        </w:tc>
      </w:tr>
      <w:tr w:rsidR="00A12DCA" w:rsidRPr="00100BF5" w:rsidTr="00834F33">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lang w:val="en-GB"/>
              </w:rPr>
            </w:pPr>
            <w:r w:rsidRPr="00100BF5">
              <w:rPr>
                <w:sz w:val="16"/>
                <w:lang w:val="en-GB"/>
              </w:rPr>
              <w:t>Impairment of property, equipment and intangible assets</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834F33">
            <w:pPr>
              <w:jc w:val="right"/>
              <w:rPr>
                <w:sz w:val="16"/>
                <w:lang w:val="en-GB"/>
              </w:rPr>
            </w:pPr>
            <w:r w:rsidRPr="00100BF5">
              <w:rPr>
                <w:sz w:val="16"/>
                <w:lang w:val="en-GB"/>
              </w:rPr>
              <w:t>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6 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834F33">
            <w:pPr>
              <w:jc w:val="right"/>
              <w:rPr>
                <w:sz w:val="16"/>
                <w:lang w:val="en-GB"/>
              </w:rPr>
            </w:pPr>
            <w:r w:rsidRPr="00100BF5">
              <w:rPr>
                <w:sz w:val="16"/>
                <w:lang w:val="en-GB"/>
              </w:rPr>
              <w:t>6 </w:t>
            </w:r>
          </w:p>
        </w:tc>
      </w:tr>
      <w:tr w:rsidR="00A12DCA" w:rsidRPr="00100BF5" w:rsidTr="00834F33">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lang w:val="en-GB"/>
              </w:rPr>
            </w:pPr>
            <w:r w:rsidRPr="00100BF5">
              <w:rPr>
                <w:b/>
                <w:sz w:val="16"/>
                <w:lang w:val="en-GB"/>
              </w:rPr>
              <w:t>Administration and general expenses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834F33">
            <w:pPr>
              <w:jc w:val="right"/>
              <w:rPr>
                <w:b/>
                <w:sz w:val="16"/>
                <w:lang w:val="en-GB"/>
              </w:rPr>
            </w:pPr>
            <w:r w:rsidRPr="00100BF5">
              <w:rPr>
                <w:b/>
                <w:sz w:val="16"/>
                <w:lang w:val="en-GB"/>
              </w:rPr>
              <w:t>3,474 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3,232 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834F33">
            <w:pPr>
              <w:jc w:val="right"/>
              <w:rPr>
                <w:b/>
                <w:sz w:val="16"/>
                <w:lang w:val="en-GB"/>
              </w:rPr>
            </w:pPr>
            <w:r w:rsidRPr="00100BF5">
              <w:rPr>
                <w:b/>
                <w:sz w:val="16"/>
                <w:lang w:val="en-GB"/>
              </w:rPr>
              <w:t>3,124 </w:t>
            </w:r>
          </w:p>
        </w:tc>
      </w:tr>
    </w:tbl>
    <w:p w:rsidR="00A12DCA" w:rsidRPr="00100BF5" w:rsidRDefault="00A12DCA">
      <w:pPr>
        <w:rPr>
          <w:sz w:val="24"/>
          <w:lang w:val="en-GB"/>
        </w:rPr>
      </w:pPr>
    </w:p>
    <w:p w:rsidR="00A12DCA" w:rsidRPr="00100BF5" w:rsidRDefault="00A12DCA" w:rsidP="00A12DCA">
      <w:pPr>
        <w:pStyle w:val="BodyText-BarcRA72"/>
      </w:pPr>
      <w:r w:rsidRPr="00100BF5">
        <w:t>Administration and general expenses increased 11% to £3,474 (2011: £3,124m) reflecting the higher regulatory costs and the £290m penalty relating to the industry wide investigation into the setting of interbank offered rates which is included within Other administration and general expenses.</w:t>
      </w:r>
    </w:p>
    <w:p w:rsidR="00A12DCA" w:rsidRPr="00100BF5" w:rsidRDefault="00A12DCA">
      <w:pPr>
        <w:sectPr w:rsidR="00A12DCA" w:rsidRPr="00100BF5" w:rsidSect="00E100EB">
          <w:pgSz w:w="11905" w:h="16837"/>
          <w:pgMar w:top="851" w:right="1134" w:bottom="567" w:left="1134" w:header="851" w:footer="567" w:gutter="0"/>
          <w:cols w:space="708"/>
        </w:sectPr>
      </w:pPr>
    </w:p>
    <w:p w:rsidR="00A12DCA" w:rsidRPr="00100BF5" w:rsidRDefault="00A12DCA"/>
    <w:p w:rsidR="00A12DCA" w:rsidRPr="00100BF5" w:rsidRDefault="00A12DCA"/>
    <w:p w:rsidR="00A12DCA" w:rsidRPr="00100BF5" w:rsidRDefault="00A12DCA" w:rsidP="00A12DCA">
      <w:pPr>
        <w:pStyle w:val="Normal73"/>
        <w:rPr>
          <w:rFonts w:ascii="Expert Sans Regular" w:hAnsi="Expert Sans Regular"/>
          <w:b/>
          <w:sz w:val="24"/>
          <w:szCs w:val="24"/>
        </w:rPr>
      </w:pPr>
      <w:r w:rsidRPr="00100BF5">
        <w:rPr>
          <w:rFonts w:ascii="Expert Sans Regular" w:hAnsi="Expert Sans Regular"/>
          <w:b/>
          <w:sz w:val="24"/>
          <w:szCs w:val="24"/>
        </w:rPr>
        <w:t xml:space="preserve">5. </w:t>
      </w:r>
      <w:r w:rsidRPr="00100BF5">
        <w:rPr>
          <w:rFonts w:ascii="Expert Sans Regular" w:hAnsi="Expert Sans Regular"/>
          <w:b/>
          <w:sz w:val="24"/>
          <w:szCs w:val="24"/>
        </w:rPr>
        <w:tab/>
        <w:t xml:space="preserve">UK Bank Levy </w:t>
      </w:r>
    </w:p>
    <w:p w:rsidR="00A12DCA" w:rsidRPr="00100BF5" w:rsidRDefault="00A12DCA" w:rsidP="00A12DCA">
      <w:pPr>
        <w:pStyle w:val="Normal490"/>
        <w:autoSpaceDE w:val="0"/>
        <w:autoSpaceDN w:val="0"/>
        <w:adjustRightInd w:val="0"/>
        <w:jc w:val="both"/>
        <w:rPr>
          <w:iCs/>
        </w:rPr>
      </w:pPr>
      <w:r w:rsidRPr="00100BF5">
        <w:t>UK legislation was enacted in July 2011 to introduce an annual bank levy, which is calculated by reference to the Group’s year end liabilities. The levy resulted in an additional operating expense of £325m for the year ended 31 December 2011. The total cost for 2012 is expected to be approximately £</w:t>
      </w:r>
      <w:r w:rsidRPr="00100BF5">
        <w:rPr>
          <w:iCs/>
        </w:rPr>
        <w:t>360m, all of which is due to be recognised on 31 December 2012 in accordance with IFRS.</w:t>
      </w:r>
    </w:p>
    <w:p w:rsidR="00A12DCA" w:rsidRPr="00100BF5" w:rsidRDefault="00A12DCA"/>
    <w:p w:rsidR="00A47EAA" w:rsidRPr="00100BF5" w:rsidRDefault="00A47EAA"/>
    <w:p w:rsidR="00A47EAA" w:rsidRPr="00100BF5" w:rsidRDefault="00A47EAA"/>
    <w:p w:rsidR="00A47EAA" w:rsidRPr="00100BF5" w:rsidRDefault="00A47EAA"/>
    <w:p w:rsidR="00A47EAA" w:rsidRPr="00100BF5" w:rsidRDefault="00A47EAA"/>
    <w:p w:rsidR="00A47EAA" w:rsidRPr="00100BF5" w:rsidRDefault="00A47EAA"/>
    <w:p w:rsidR="00A47EAA" w:rsidRPr="00100BF5" w:rsidRDefault="00A47EAA"/>
    <w:p w:rsidR="00A47EAA" w:rsidRPr="00100BF5" w:rsidRDefault="00A47EAA"/>
    <w:p w:rsidR="00A47EAA" w:rsidRPr="00100BF5" w:rsidRDefault="00A47EAA"/>
    <w:p w:rsidR="00A47EAA" w:rsidRPr="00100BF5" w:rsidRDefault="00A47EAA">
      <w:pPr>
        <w:sectPr w:rsidR="00A47EAA" w:rsidRPr="00100BF5" w:rsidSect="00E100EB">
          <w:type w:val="continuous"/>
          <w:pgSz w:w="11905" w:h="16837"/>
          <w:pgMar w:top="851" w:right="1134" w:bottom="567" w:left="1134" w:header="851" w:footer="567" w:gutter="0"/>
          <w:cols w:space="708"/>
        </w:sectPr>
      </w:pPr>
    </w:p>
    <w:p w:rsidR="00A12DCA" w:rsidRPr="00100BF5" w:rsidRDefault="00A12DCA"/>
    <w:p w:rsidR="00A12DCA" w:rsidRPr="00100BF5" w:rsidRDefault="00A12DCA" w:rsidP="00A12DCA">
      <w:pPr>
        <w:pStyle w:val="HeadingLevel1-BarcRA48"/>
        <w:rPr>
          <w:color w:val="auto"/>
        </w:rPr>
      </w:pPr>
      <w:r w:rsidRPr="00100BF5">
        <w:rPr>
          <w:color w:val="auto"/>
        </w:rPr>
        <w:t>6.</w:t>
      </w:r>
      <w:r w:rsidRPr="00100BF5">
        <w:rPr>
          <w:color w:val="auto"/>
        </w:rPr>
        <w:tab/>
        <w:t>Tax</w:t>
      </w:r>
    </w:p>
    <w:p w:rsidR="00A12DCA" w:rsidRPr="00100BF5" w:rsidRDefault="00882E4A" w:rsidP="00A12DCA">
      <w:pPr>
        <w:pStyle w:val="Normal74"/>
        <w:autoSpaceDE w:val="0"/>
        <w:autoSpaceDN w:val="0"/>
        <w:adjustRightInd w:val="0"/>
        <w:jc w:val="both"/>
        <w:rPr>
          <w:szCs w:val="20"/>
        </w:rPr>
      </w:pPr>
      <w:r>
        <w:rPr>
          <w:szCs w:val="20"/>
        </w:rPr>
        <w:t xml:space="preserve">The tax charge for H1 </w:t>
      </w:r>
      <w:r w:rsidR="00A12DCA" w:rsidRPr="00100BF5">
        <w:rPr>
          <w:szCs w:val="20"/>
        </w:rPr>
        <w:t xml:space="preserve">12 was £279m (2011: £661m) representing an effective tax rate of 36.8% (2011: 25.0%). The increase in the effective tax rate compared to 2011 reflects the recognition in 2011 of previously unrecognised deferred tax assets in the US branch of Barclays Bank PLC. </w:t>
      </w:r>
    </w:p>
    <w:p w:rsidR="00A12DCA" w:rsidRPr="00100BF5" w:rsidRDefault="00A12DCA" w:rsidP="00A12DCA">
      <w:pPr>
        <w:pStyle w:val="Normal74"/>
        <w:autoSpaceDE w:val="0"/>
        <w:autoSpaceDN w:val="0"/>
        <w:adjustRightInd w:val="0"/>
        <w:jc w:val="both"/>
        <w:rPr>
          <w:szCs w:val="20"/>
        </w:rPr>
      </w:pPr>
    </w:p>
    <w:p w:rsidR="00A12DCA" w:rsidRPr="00100BF5" w:rsidRDefault="00A12DCA" w:rsidP="00A12DCA">
      <w:pPr>
        <w:pStyle w:val="Normal74"/>
        <w:autoSpaceDE w:val="0"/>
        <w:autoSpaceDN w:val="0"/>
        <w:adjustRightInd w:val="0"/>
        <w:jc w:val="both"/>
        <w:rPr>
          <w:szCs w:val="20"/>
        </w:rPr>
      </w:pPr>
      <w:r w:rsidRPr="00100BF5">
        <w:rPr>
          <w:szCs w:val="20"/>
        </w:rPr>
        <w:t>The effective tax rate for both periods differs from the UK tax rate of 24.5% (2011: 26.5%) because of non taxable gains and income, the effect of profits and losses outside of the UK being taxed at local statutory tax rates that are different to the UK statutory tax rate, non-creditable taxes and non-d</w:t>
      </w:r>
      <w:r w:rsidR="00882E4A">
        <w:rPr>
          <w:szCs w:val="20"/>
        </w:rPr>
        <w:t xml:space="preserve">eductible expenses, and in H1 </w:t>
      </w:r>
      <w:r w:rsidRPr="00100BF5">
        <w:rPr>
          <w:szCs w:val="20"/>
        </w:rPr>
        <w:t>11, the impact of recognising deferred tax assets previously unrecognised.</w:t>
      </w:r>
    </w:p>
    <w:p w:rsidR="00A12DCA" w:rsidRPr="00100BF5" w:rsidRDefault="00A12DCA">
      <w:pPr>
        <w:rPr>
          <w:szCs w:val="20"/>
        </w:rPr>
      </w:pPr>
    </w:p>
    <w:tbl>
      <w:tblPr>
        <w:tblW w:w="0" w:type="auto"/>
        <w:tblLayout w:type="fixed"/>
        <w:tblLook w:val="0000" w:firstRow="0" w:lastRow="0" w:firstColumn="0" w:lastColumn="0" w:noHBand="0" w:noVBand="0"/>
      </w:tblPr>
      <w:tblGrid>
        <w:gridCol w:w="3705"/>
        <w:gridCol w:w="960"/>
        <w:gridCol w:w="960"/>
        <w:gridCol w:w="960"/>
        <w:gridCol w:w="180"/>
        <w:gridCol w:w="960"/>
        <w:gridCol w:w="960"/>
        <w:gridCol w:w="960"/>
      </w:tblGrid>
      <w:tr w:rsidR="00A12DCA" w:rsidRPr="00100BF5">
        <w:tblPrEx>
          <w:tblCellMar>
            <w:top w:w="0" w:type="dxa"/>
            <w:bottom w:w="0" w:type="dxa"/>
          </w:tblCellMar>
        </w:tblPrEx>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Cs w:val="20"/>
              </w:rPr>
            </w:pPr>
            <w:r w:rsidRPr="00100BF5">
              <w:rPr>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 </w:t>
            </w:r>
          </w:p>
        </w:tc>
      </w:tr>
      <w:tr w:rsidR="00A12DCA" w:rsidRPr="00100BF5" w:rsidTr="00A12DCA">
        <w:tblPrEx>
          <w:tblCellMar>
            <w:top w:w="0" w:type="dxa"/>
            <w:bottom w:w="0" w:type="dxa"/>
          </w:tblCellMar>
        </w:tblPrEx>
        <w:trPr>
          <w:trHeight w:val="240"/>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b/>
                <w:sz w:val="16"/>
                <w:szCs w:val="20"/>
              </w:rPr>
              <w:t xml:space="preserve"> </w:t>
            </w: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szCs w:val="20"/>
              </w:rPr>
            </w:pPr>
            <w:r w:rsidRPr="00100BF5">
              <w:rPr>
                <w:b/>
                <w:sz w:val="16"/>
                <w:szCs w:val="20"/>
              </w:rPr>
              <w:t>Assets</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szCs w:val="20"/>
              </w:rPr>
            </w:pPr>
            <w:r w:rsidRPr="00100BF5">
              <w:rPr>
                <w:b/>
                <w:sz w:val="16"/>
                <w:szCs w:val="20"/>
              </w:rPr>
              <w:t xml:space="preserve"> </w:t>
            </w:r>
          </w:p>
        </w:tc>
        <w:tc>
          <w:tcPr>
            <w:tcW w:w="96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szCs w:val="20"/>
              </w:rPr>
            </w:pPr>
            <w:r w:rsidRPr="00100BF5">
              <w:rPr>
                <w:b/>
                <w:sz w:val="16"/>
                <w:szCs w:val="20"/>
              </w:rPr>
              <w:t>Liabilities</w:t>
            </w:r>
          </w:p>
        </w:tc>
      </w:tr>
      <w:tr w:rsidR="00A12DCA" w:rsidRPr="00100BF5">
        <w:tblPrEx>
          <w:tblCellMar>
            <w:top w:w="0" w:type="dxa"/>
            <w:bottom w:w="0" w:type="dxa"/>
          </w:tblCellMar>
        </w:tblPrEx>
        <w:trPr>
          <w:trHeight w:val="225"/>
        </w:trPr>
        <w:tc>
          <w:tcPr>
            <w:tcW w:w="370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20"/>
              </w:rPr>
            </w:pPr>
            <w:r w:rsidRPr="00100BF5">
              <w:rPr>
                <w:b/>
                <w:sz w:val="16"/>
                <w:szCs w:val="20"/>
              </w:rPr>
              <w:t>Current and Deferred Tax Assets and Liabilities</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31.12.11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30.06.11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31.12.11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30.06.11</w:t>
            </w:r>
          </w:p>
        </w:tc>
      </w:tr>
      <w:tr w:rsidR="00A12DCA" w:rsidRPr="00100BF5">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20"/>
              </w:rPr>
            </w:pPr>
            <w:r w:rsidRPr="00100BF5">
              <w:rPr>
                <w:b/>
                <w:sz w:val="16"/>
                <w:szCs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£m</w:t>
            </w:r>
          </w:p>
        </w:tc>
      </w:tr>
      <w:tr w:rsidR="00A12DCA" w:rsidRPr="00100BF5">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Current tax</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20"/>
              </w:rPr>
            </w:pPr>
            <w:r w:rsidRPr="00100BF5">
              <w:rPr>
                <w:sz w:val="16"/>
                <w:szCs w:val="20"/>
              </w:rPr>
              <w:t>266  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374  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265  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20"/>
              </w:rPr>
            </w:pPr>
            <w:r w:rsidRPr="00100BF5">
              <w:rPr>
                <w:sz w:val="16"/>
                <w:szCs w:val="20"/>
              </w:rPr>
              <w:t>(353)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(1,397)</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(487)</w:t>
            </w:r>
          </w:p>
        </w:tc>
      </w:tr>
      <w:tr w:rsidR="00A12DCA" w:rsidRPr="00100BF5">
        <w:tblPrEx>
          <w:tblCellMar>
            <w:top w:w="0" w:type="dxa"/>
            <w:bottom w:w="0" w:type="dxa"/>
          </w:tblCellMar>
        </w:tblPrEx>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Deferred tax</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20"/>
              </w:rPr>
            </w:pPr>
            <w:r w:rsidRPr="00100BF5">
              <w:rPr>
                <w:sz w:val="16"/>
                <w:szCs w:val="20"/>
              </w:rPr>
              <w:t>2,978  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3,010  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2,742  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szCs w:val="20"/>
              </w:rPr>
            </w:pPr>
            <w:r w:rsidRPr="00100BF5">
              <w:rPr>
                <w:sz w:val="16"/>
                <w:szCs w:val="20"/>
              </w:rPr>
              <w:t>(1,024)</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(695)</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20"/>
              </w:rPr>
            </w:pPr>
            <w:r w:rsidRPr="00100BF5">
              <w:rPr>
                <w:sz w:val="16"/>
                <w:szCs w:val="20"/>
              </w:rPr>
              <w:t>(613)</w:t>
            </w:r>
          </w:p>
        </w:tc>
      </w:tr>
      <w:tr w:rsidR="00A12DCA" w:rsidRPr="00100BF5">
        <w:tblPrEx>
          <w:tblCellMar>
            <w:top w:w="0" w:type="dxa"/>
            <w:bottom w:w="0" w:type="dxa"/>
          </w:tblCellMar>
        </w:tblPrEx>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b/>
                <w:sz w:val="16"/>
                <w:szCs w:val="20"/>
              </w:rPr>
              <w:t>Total</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szCs w:val="20"/>
              </w:rPr>
            </w:pPr>
            <w:r w:rsidRPr="00100BF5">
              <w:rPr>
                <w:b/>
                <w:sz w:val="16"/>
                <w:szCs w:val="20"/>
              </w:rPr>
              <w:t>3,244  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3,384  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3,007  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sz w:val="16"/>
                <w:szCs w:val="20"/>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szCs w:val="20"/>
              </w:rPr>
            </w:pPr>
            <w:r w:rsidRPr="00100BF5">
              <w:rPr>
                <w:b/>
                <w:sz w:val="16"/>
                <w:szCs w:val="20"/>
              </w:rPr>
              <w:t>(1,377)</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(2,092)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20"/>
              </w:rPr>
            </w:pPr>
            <w:r w:rsidRPr="00100BF5">
              <w:rPr>
                <w:b/>
                <w:sz w:val="16"/>
                <w:szCs w:val="20"/>
              </w:rPr>
              <w:t>(1,100)</w:t>
            </w:r>
          </w:p>
        </w:tc>
      </w:tr>
    </w:tbl>
    <w:p w:rsidR="00A12DCA" w:rsidRPr="00100BF5" w:rsidRDefault="00A12DCA">
      <w:pPr>
        <w:rPr>
          <w:szCs w:val="20"/>
        </w:rPr>
      </w:pPr>
    </w:p>
    <w:p w:rsidR="008C1856" w:rsidRDefault="008C1856" w:rsidP="00A12DCA">
      <w:pPr>
        <w:pStyle w:val="Normal100"/>
        <w:autoSpaceDE w:val="0"/>
        <w:autoSpaceDN w:val="0"/>
        <w:adjustRightInd w:val="0"/>
        <w:jc w:val="both"/>
        <w:rPr>
          <w:szCs w:val="20"/>
        </w:rPr>
      </w:pPr>
    </w:p>
    <w:p w:rsidR="00A12DCA" w:rsidRPr="00100BF5" w:rsidRDefault="00A12DCA" w:rsidP="00A12DCA">
      <w:pPr>
        <w:pStyle w:val="Normal100"/>
        <w:autoSpaceDE w:val="0"/>
        <w:autoSpaceDN w:val="0"/>
        <w:adjustRightInd w:val="0"/>
        <w:jc w:val="both"/>
        <w:rPr>
          <w:szCs w:val="20"/>
        </w:rPr>
      </w:pPr>
      <w:r w:rsidRPr="00100BF5">
        <w:rPr>
          <w:szCs w:val="20"/>
        </w:rPr>
        <w:t>The deferred tax asset of £2,978m (31 December 2011: £3,010m) mainly relates to amounts in the Barclays Group US Inc. tax group, the US Branch of Barclays Bank Plc and the Spanish tax group. As at 30 June 2012, the deferred tax asset in the Spanish tax group is recoverable, as supported by the latest business forecasts updated for the current economic environment in Spain. The asset has reduced to £608m (31 December 2011: £696m) reflecting a lower anticipated tax recovery rate.</w:t>
      </w:r>
    </w:p>
    <w:p w:rsidR="00A12DCA" w:rsidRPr="00100BF5" w:rsidRDefault="00A12DCA">
      <w:pPr>
        <w:rPr>
          <w:szCs w:val="20"/>
        </w:rPr>
        <w:sectPr w:rsidR="00A12DCA" w:rsidRPr="00100BF5" w:rsidSect="00E100EB">
          <w:type w:val="continuous"/>
          <w:pgSz w:w="11905" w:h="16837"/>
          <w:pgMar w:top="851" w:right="1134" w:bottom="567" w:left="1134" w:header="851" w:footer="567" w:gutter="0"/>
          <w:cols w:space="708"/>
        </w:sectPr>
      </w:pPr>
    </w:p>
    <w:p w:rsidR="005F437E" w:rsidRPr="005F437E" w:rsidRDefault="005F437E" w:rsidP="005F437E">
      <w:pPr>
        <w:pStyle w:val="HeadingLevel1-BarcRA"/>
      </w:pPr>
      <w:r>
        <w:t>Financial Statement Notes</w:t>
      </w:r>
    </w:p>
    <w:tbl>
      <w:tblPr>
        <w:tblW w:w="0" w:type="auto"/>
        <w:tblLayout w:type="fixed"/>
        <w:tblLook w:val="0000" w:firstRow="0" w:lastRow="0" w:firstColumn="0" w:lastColumn="0" w:noHBand="0" w:noVBand="0"/>
      </w:tblPr>
      <w:tblGrid>
        <w:gridCol w:w="3615"/>
        <w:gridCol w:w="975"/>
        <w:gridCol w:w="975"/>
        <w:gridCol w:w="975"/>
        <w:gridCol w:w="180"/>
        <w:gridCol w:w="975"/>
        <w:gridCol w:w="975"/>
        <w:gridCol w:w="975"/>
      </w:tblGrid>
      <w:tr w:rsidR="00A12DCA" w:rsidRPr="00100BF5" w:rsidTr="00FB0640">
        <w:tblPrEx>
          <w:tblCellMar>
            <w:top w:w="0" w:type="dxa"/>
            <w:bottom w:w="0" w:type="dxa"/>
          </w:tblCellMar>
        </w:tblPrEx>
        <w:trPr>
          <w:trHeight w:val="285"/>
        </w:trPr>
        <w:tc>
          <w:tcPr>
            <w:tcW w:w="9645" w:type="dxa"/>
            <w:gridSpan w:val="8"/>
            <w:tcBorders>
              <w:top w:val="nil"/>
              <w:left w:val="nil"/>
              <w:bottom w:val="nil"/>
              <w:right w:val="nil"/>
            </w:tcBorders>
            <w:shd w:val="clear" w:color="auto" w:fill="FFFFFF"/>
            <w:tcMar>
              <w:left w:w="36" w:type="dxa"/>
              <w:right w:w="36" w:type="dxa"/>
            </w:tcMar>
            <w:vAlign w:val="center"/>
          </w:tcPr>
          <w:p w:rsidR="00A12DCA" w:rsidRPr="00100BF5" w:rsidRDefault="00A12DCA" w:rsidP="00FB0640">
            <w:pPr>
              <w:rPr>
                <w:rFonts w:ascii="Barclays Sans" w:eastAsia="Barclays Sans" w:hAnsi="Barclays Sans" w:cs="Barclays Sans"/>
                <w:sz w:val="16"/>
                <w:szCs w:val="20"/>
              </w:rPr>
            </w:pPr>
            <w:r w:rsidRPr="00100BF5">
              <w:rPr>
                <w:b/>
                <w:sz w:val="24"/>
                <w:szCs w:val="20"/>
              </w:rPr>
              <w:t>7.       Non-controlling Interests</w:t>
            </w:r>
          </w:p>
        </w:tc>
      </w:tr>
      <w:tr w:rsidR="00A12DCA" w:rsidRPr="00100BF5" w:rsidTr="00FB0640">
        <w:tblPrEx>
          <w:tblCellMar>
            <w:top w:w="0" w:type="dxa"/>
            <w:bottom w:w="0" w:type="dxa"/>
          </w:tblCellMar>
        </w:tblPrEx>
        <w:trPr>
          <w:trHeight w:val="240"/>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szCs w:val="20"/>
              </w:rPr>
            </w:pPr>
            <w:r w:rsidRPr="00100BF5">
              <w:rPr>
                <w:sz w:val="18"/>
                <w:szCs w:val="20"/>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sz w:val="18"/>
                <w:szCs w:val="20"/>
              </w:rPr>
            </w:pPr>
            <w:r w:rsidRPr="00100BF5">
              <w:rPr>
                <w:b/>
                <w:sz w:val="16"/>
                <w:szCs w:val="20"/>
              </w:rPr>
              <w:t>Profit Attributable to Non-controlling Interest</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center"/>
              <w:rPr>
                <w:b/>
                <w:sz w:val="16"/>
                <w:szCs w:val="20"/>
              </w:rPr>
            </w:pPr>
            <w:r w:rsidRPr="00100BF5">
              <w:rPr>
                <w:b/>
                <w:sz w:val="16"/>
                <w:szCs w:val="20"/>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center"/>
              <w:rPr>
                <w:b/>
                <w:sz w:val="16"/>
                <w:szCs w:val="20"/>
              </w:rPr>
            </w:pPr>
            <w:r w:rsidRPr="00100BF5">
              <w:rPr>
                <w:b/>
                <w:sz w:val="16"/>
                <w:szCs w:val="20"/>
              </w:rPr>
              <w:t>Equity Attributable to Non-controlling Interest</w:t>
            </w:r>
          </w:p>
        </w:tc>
      </w:tr>
      <w:tr w:rsidR="00A12DCA" w:rsidRPr="00100BF5" w:rsidTr="00533015">
        <w:tblPrEx>
          <w:tblCellMar>
            <w:top w:w="0" w:type="dxa"/>
            <w:bottom w:w="0" w:type="dxa"/>
          </w:tblCellMar>
        </w:tblPrEx>
        <w:trPr>
          <w:trHeight w:hRule="exact" w:val="454"/>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20"/>
              </w:rPr>
            </w:pPr>
            <w:r w:rsidRPr="00100BF5">
              <w:rPr>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b/>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Half Year Ended</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Half Year Ended</w:t>
            </w:r>
          </w:p>
        </w:tc>
      </w:tr>
      <w:tr w:rsidR="00A12DCA" w:rsidRPr="00100BF5" w:rsidTr="00533015">
        <w:tblPrEx>
          <w:tblCellMar>
            <w:top w:w="0" w:type="dxa"/>
            <w:bottom w:w="0" w:type="dxa"/>
          </w:tblCellMar>
        </w:tblPrEx>
        <w:trPr>
          <w:trHeight w:val="240"/>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20"/>
              </w:rPr>
            </w:pPr>
            <w:r w:rsidRPr="00100BF5">
              <w:rPr>
                <w:b/>
                <w:sz w:val="16"/>
                <w:szCs w:val="20"/>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30.06.12</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31.12.11</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30.06.11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 xml:space="preserve">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30.06.12</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31.12.11</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30.06.11</w:t>
            </w:r>
          </w:p>
        </w:tc>
      </w:tr>
      <w:tr w:rsidR="00A12DCA" w:rsidRPr="00100BF5" w:rsidTr="00533015">
        <w:tblPrEx>
          <w:tblCellMar>
            <w:top w:w="0" w:type="dxa"/>
            <w:bottom w:w="0" w:type="dxa"/>
          </w:tblCellMar>
        </w:tblPrEx>
        <w:trPr>
          <w:trHeight w:val="240"/>
        </w:trPr>
        <w:tc>
          <w:tcPr>
            <w:tcW w:w="3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20"/>
              </w:rPr>
            </w:pPr>
            <w:r w:rsidRPr="00100BF5">
              <w:rPr>
                <w:sz w:val="16"/>
                <w:szCs w:val="20"/>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£m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£m </w:t>
            </w:r>
          </w:p>
        </w:tc>
      </w:tr>
      <w:tr w:rsidR="00A12DCA" w:rsidRPr="00100BF5" w:rsidTr="00533015">
        <w:tblPrEx>
          <w:tblCellMar>
            <w:top w:w="0" w:type="dxa"/>
            <w:bottom w:w="0" w:type="dxa"/>
          </w:tblCellMar>
        </w:tblPrEx>
        <w:trPr>
          <w:trHeight w:val="240"/>
        </w:trPr>
        <w:tc>
          <w:tcPr>
            <w:tcW w:w="3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Barclays Bank PLC Issued: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r>
      <w:tr w:rsidR="00A12DCA" w:rsidRPr="00100BF5" w:rsidTr="00533015">
        <w:tblPrEx>
          <w:tblCellMar>
            <w:top w:w="0" w:type="dxa"/>
            <w:bottom w:w="0" w:type="dxa"/>
          </w:tblCellMar>
        </w:tblPrEx>
        <w:trPr>
          <w:trHeight w:val="240"/>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Preference shares</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232 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234 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231 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5,942 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5,929 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5,948 </w:t>
            </w:r>
          </w:p>
        </w:tc>
      </w:tr>
      <w:tr w:rsidR="00A12DCA" w:rsidRPr="00100BF5" w:rsidTr="00533015">
        <w:tblPrEx>
          <w:tblCellMar>
            <w:top w:w="0" w:type="dxa"/>
            <w:bottom w:w="0" w:type="dxa"/>
          </w:tblCellMar>
        </w:tblPrEx>
        <w:trPr>
          <w:trHeight w:val="240"/>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Reserve Capital Instruments (RCIs)</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12 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34 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529 </w:t>
            </w:r>
          </w:p>
        </w:tc>
      </w:tr>
      <w:tr w:rsidR="00A12DCA" w:rsidRPr="00100BF5" w:rsidTr="00533015">
        <w:tblPrEx>
          <w:tblCellMar>
            <w:top w:w="0" w:type="dxa"/>
            <w:bottom w:w="0" w:type="dxa"/>
          </w:tblCellMar>
        </w:tblPrEx>
        <w:trPr>
          <w:trHeight w:val="240"/>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Upper Tier 2 instruments</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2 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589 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586 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586 </w:t>
            </w:r>
          </w:p>
        </w:tc>
      </w:tr>
      <w:tr w:rsidR="00A12DCA" w:rsidRPr="00100BF5" w:rsidTr="00533015">
        <w:tblPrEx>
          <w:tblCellMar>
            <w:top w:w="0" w:type="dxa"/>
            <w:bottom w:w="0" w:type="dxa"/>
          </w:tblCellMar>
        </w:tblPrEx>
        <w:trPr>
          <w:trHeight w:val="240"/>
        </w:trPr>
        <w:tc>
          <w:tcPr>
            <w:tcW w:w="36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 xml:space="preserve">Absa Group Limited </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154 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204 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197 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2,842 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2,861 </w:t>
            </w:r>
          </w:p>
        </w:tc>
        <w:tc>
          <w:tcPr>
            <w:tcW w:w="975"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3,110 </w:t>
            </w:r>
          </w:p>
        </w:tc>
      </w:tr>
      <w:tr w:rsidR="00A12DCA" w:rsidRPr="00100BF5" w:rsidTr="00533015">
        <w:tblPrEx>
          <w:tblCellMar>
            <w:top w:w="0" w:type="dxa"/>
            <w:bottom w:w="0" w:type="dxa"/>
          </w:tblCellMar>
        </w:tblPrEx>
        <w:trPr>
          <w:trHeight w:val="240"/>
        </w:trPr>
        <w:tc>
          <w:tcPr>
            <w:tcW w:w="36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20"/>
              </w:rPr>
            </w:pPr>
            <w:r w:rsidRPr="00100BF5">
              <w:rPr>
                <w:sz w:val="16"/>
                <w:szCs w:val="20"/>
              </w:rPr>
              <w:t>Other non-controlling interests</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22 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7 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 xml:space="preserve"> </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533015">
            <w:pPr>
              <w:jc w:val="right"/>
              <w:rPr>
                <w:sz w:val="16"/>
                <w:szCs w:val="20"/>
              </w:rPr>
            </w:pPr>
            <w:r w:rsidRPr="00100BF5">
              <w:rPr>
                <w:sz w:val="16"/>
                <w:szCs w:val="20"/>
              </w:rPr>
              <w:t>112 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231 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533015">
            <w:pPr>
              <w:jc w:val="right"/>
              <w:rPr>
                <w:sz w:val="16"/>
                <w:szCs w:val="20"/>
              </w:rPr>
            </w:pPr>
            <w:r w:rsidRPr="00100BF5">
              <w:rPr>
                <w:sz w:val="16"/>
                <w:szCs w:val="20"/>
              </w:rPr>
              <w:t>244 </w:t>
            </w:r>
          </w:p>
        </w:tc>
      </w:tr>
      <w:tr w:rsidR="00A12DCA" w:rsidRPr="00100BF5" w:rsidTr="00533015">
        <w:tblPrEx>
          <w:tblCellMar>
            <w:top w:w="0" w:type="dxa"/>
            <w:bottom w:w="0" w:type="dxa"/>
          </w:tblCellMar>
        </w:tblPrEx>
        <w:trPr>
          <w:trHeight w:val="240"/>
        </w:trPr>
        <w:tc>
          <w:tcPr>
            <w:tcW w:w="36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20"/>
              </w:rPr>
            </w:pPr>
            <w:r w:rsidRPr="00100BF5">
              <w:rPr>
                <w:b/>
                <w:sz w:val="16"/>
                <w:szCs w:val="20"/>
              </w:rPr>
              <w:t>Total</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33015">
            <w:pPr>
              <w:jc w:val="right"/>
              <w:rPr>
                <w:b/>
                <w:sz w:val="16"/>
                <w:szCs w:val="20"/>
              </w:rPr>
            </w:pPr>
            <w:r w:rsidRPr="00100BF5">
              <w:rPr>
                <w:b/>
                <w:sz w:val="16"/>
                <w:szCs w:val="20"/>
              </w:rPr>
              <w:t>410 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459 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485 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533015">
            <w:pPr>
              <w:jc w:val="right"/>
              <w:rPr>
                <w:b/>
                <w:sz w:val="16"/>
                <w:szCs w:val="20"/>
              </w:rPr>
            </w:pPr>
            <w:r w:rsidRPr="00100BF5">
              <w:rPr>
                <w:b/>
                <w:sz w:val="16"/>
                <w:szCs w:val="20"/>
              </w:rPr>
              <w:t>9,485 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9,607 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533015">
            <w:pPr>
              <w:jc w:val="right"/>
              <w:rPr>
                <w:b/>
                <w:sz w:val="16"/>
                <w:szCs w:val="20"/>
              </w:rPr>
            </w:pPr>
            <w:r w:rsidRPr="00100BF5">
              <w:rPr>
                <w:b/>
                <w:sz w:val="16"/>
                <w:szCs w:val="20"/>
              </w:rPr>
              <w:t>10,417 </w:t>
            </w:r>
          </w:p>
        </w:tc>
      </w:tr>
    </w:tbl>
    <w:p w:rsidR="00A12DCA" w:rsidRPr="00100BF5" w:rsidRDefault="00A12DCA">
      <w:pPr>
        <w:rPr>
          <w:szCs w:val="20"/>
        </w:rPr>
      </w:pPr>
    </w:p>
    <w:p w:rsidR="00A12DCA" w:rsidRPr="00100BF5" w:rsidRDefault="00A12DCA" w:rsidP="00A12DCA">
      <w:pPr>
        <w:pStyle w:val="BodyText-BarcRA74"/>
      </w:pPr>
      <w:r w:rsidRPr="00100BF5">
        <w:t xml:space="preserve">RCIs with a nominal value of $1.25bn and $0.75bn were redeemed at Barclays option in June and December 2011 respectively. </w:t>
      </w:r>
    </w:p>
    <w:p w:rsidR="00A12DCA" w:rsidRPr="00100BF5" w:rsidRDefault="00A12DCA">
      <w:pPr>
        <w:sectPr w:rsidR="00A12DCA" w:rsidRPr="00100BF5" w:rsidSect="00E100EB">
          <w:pgSz w:w="11905" w:h="16837"/>
          <w:pgMar w:top="851" w:right="1134" w:bottom="567" w:left="1134" w:header="851" w:footer="567" w:gutter="0"/>
          <w:cols w:space="708"/>
        </w:sectPr>
      </w:pPr>
    </w:p>
    <w:p w:rsidR="00A12DCA" w:rsidRPr="00100BF5" w:rsidRDefault="00A12DCA"/>
    <w:tbl>
      <w:tblPr>
        <w:tblW w:w="0" w:type="auto"/>
        <w:tblLayout w:type="fixed"/>
        <w:tblLook w:val="0000" w:firstRow="0" w:lastRow="0" w:firstColumn="0" w:lastColumn="0" w:noHBand="0" w:noVBand="0"/>
      </w:tblPr>
      <w:tblGrid>
        <w:gridCol w:w="6270"/>
        <w:gridCol w:w="1125"/>
        <w:gridCol w:w="1125"/>
        <w:gridCol w:w="1125"/>
      </w:tblGrid>
      <w:tr w:rsidR="00A12DCA" w:rsidRPr="00100BF5" w:rsidTr="0053301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rsidP="00533015">
            <w:r w:rsidRPr="00100BF5">
              <w:rPr>
                <w:b/>
                <w:sz w:val="24"/>
              </w:rPr>
              <w:t>8.         Earnings Per Share</w:t>
            </w:r>
            <w:r w:rsidRPr="00100BF5">
              <w:rPr>
                <w:b/>
                <w:sz w:val="24"/>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vertAlign w:val="superscript"/>
              </w:rPr>
            </w:pPr>
            <w:r w:rsidRPr="00100BF5">
              <w:rPr>
                <w:sz w:val="24"/>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24"/>
              </w:rPr>
            </w:pPr>
            <w:r w:rsidRPr="00100BF5">
              <w:rPr>
                <w:sz w:val="24"/>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24"/>
              </w:rPr>
            </w:pPr>
            <w:r w:rsidRPr="00100BF5">
              <w:rPr>
                <w:sz w:val="24"/>
              </w:rPr>
              <w:t xml:space="preserve"> </w:t>
            </w:r>
          </w:p>
        </w:tc>
      </w:tr>
      <w:tr w:rsidR="00A12DCA" w:rsidRPr="00100BF5" w:rsidTr="00E51420">
        <w:tblPrEx>
          <w:tblCellMar>
            <w:top w:w="0" w:type="dxa"/>
            <w:bottom w:w="0" w:type="dxa"/>
          </w:tblCellMar>
        </w:tblPrEx>
        <w:trPr>
          <w:trHeight w:val="425"/>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24"/>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 Ended</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£m </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Profit attributable to equity holders of the parent</w:t>
            </w:r>
            <w:r w:rsidRPr="00100BF5">
              <w:rPr>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 xml:space="preserve"> 70 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1,509 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1,498 </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Dilutive impact of convertible options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w:t>
            </w:r>
          </w:p>
        </w:tc>
      </w:tr>
      <w:tr w:rsidR="00A12DCA" w:rsidRPr="00100BF5">
        <w:tblPrEx>
          <w:tblCellMar>
            <w:top w:w="0" w:type="dxa"/>
            <w:bottom w:w="0" w:type="dxa"/>
          </w:tblCellMar>
        </w:tblPrEx>
        <w:trPr>
          <w:trHeight w:val="48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Profit attributable to equity holders of the parent including dilutive impact of convertible options</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 xml:space="preserve"> 70 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1,511 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1,496 </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Impact of adjusting items</w:t>
            </w:r>
            <w:r w:rsidRPr="00100BF5">
              <w:rPr>
                <w:b/>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7C49A8">
            <w:pPr>
              <w:jc w:val="right"/>
              <w:rPr>
                <w:b/>
                <w:sz w:val="16"/>
                <w:vertAlign w:val="superscript"/>
              </w:rPr>
            </w:pPr>
            <w:r w:rsidRPr="00100BF5">
              <w:rPr>
                <w:sz w:val="16"/>
              </w:rPr>
              <w:t>2,5</w:t>
            </w:r>
            <w:r w:rsidR="007C49A8" w:rsidRPr="00100BF5">
              <w:rPr>
                <w:sz w:val="16"/>
              </w:rPr>
              <w:t>89</w:t>
            </w: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(525)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6215B0">
            <w:pPr>
              <w:jc w:val="right"/>
              <w:rPr>
                <w:sz w:val="16"/>
              </w:rPr>
            </w:pPr>
            <w:r w:rsidRPr="00100BF5">
              <w:rPr>
                <w:sz w:val="16"/>
              </w:rPr>
              <w:t xml:space="preserve"> 8</w:t>
            </w:r>
            <w:r w:rsidR="006215B0">
              <w:rPr>
                <w:sz w:val="16"/>
              </w:rPr>
              <w:t>39</w:t>
            </w:r>
            <w:r w:rsidRPr="00100BF5">
              <w:rPr>
                <w:sz w:val="16"/>
              </w:rPr>
              <w:t> </w:t>
            </w:r>
          </w:p>
        </w:tc>
      </w:tr>
      <w:tr w:rsidR="00A12DCA" w:rsidRPr="00100BF5">
        <w:tblPrEx>
          <w:tblCellMar>
            <w:top w:w="0" w:type="dxa"/>
            <w:bottom w:w="0" w:type="dxa"/>
          </w:tblCellMar>
        </w:tblPrEx>
        <w:trPr>
          <w:trHeight w:val="48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Adjusted Profit attributable to equity holders of the parent including dilutive impact of convertible options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7C49A8">
            <w:pPr>
              <w:jc w:val="right"/>
              <w:rPr>
                <w:sz w:val="16"/>
                <w:vertAlign w:val="superscript"/>
              </w:rPr>
            </w:pPr>
            <w:r w:rsidRPr="00100BF5">
              <w:rPr>
                <w:sz w:val="16"/>
              </w:rPr>
              <w:t xml:space="preserve"> 2,6</w:t>
            </w:r>
            <w:r w:rsidR="007C49A8" w:rsidRPr="00100BF5">
              <w:rPr>
                <w:sz w:val="16"/>
              </w:rPr>
              <w:t>59</w:t>
            </w:r>
            <w:r w:rsidRPr="00100BF5">
              <w:rPr>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986 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6215B0">
            <w:pPr>
              <w:jc w:val="right"/>
              <w:rPr>
                <w:sz w:val="16"/>
              </w:rPr>
            </w:pPr>
            <w:r w:rsidRPr="00100BF5">
              <w:rPr>
                <w:sz w:val="16"/>
              </w:rPr>
              <w:t xml:space="preserve"> 2,33</w:t>
            </w:r>
            <w:r w:rsidR="006215B0">
              <w:rPr>
                <w:sz w:val="16"/>
              </w:rPr>
              <w:t>5</w:t>
            </w:r>
            <w:r w:rsidRPr="00100BF5">
              <w:rPr>
                <w:sz w:val="16"/>
              </w:rPr>
              <w:t> </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Basic weighted average number of shares in issue</w:t>
            </w:r>
            <w:r w:rsidRPr="00100BF5">
              <w:rPr>
                <w:b/>
                <w:sz w:val="16"/>
                <w:vertAlign w:val="superscript"/>
              </w:rPr>
              <w:t>2 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12,215m</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11,976m</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11,938m</w:t>
            </w:r>
          </w:p>
        </w:tc>
      </w:tr>
      <w:tr w:rsidR="00A12DCA" w:rsidRPr="00100BF5">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Number of potential ordinary shares</w:t>
            </w:r>
            <w:r w:rsidRPr="00100BF5">
              <w:rPr>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317m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511m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651m</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Diluted weighted average number of shares</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b/>
                <w:sz w:val="16"/>
                <w:vertAlign w:val="superscript"/>
              </w:rPr>
            </w:pPr>
            <w:r w:rsidRPr="00100BF5">
              <w:rPr>
                <w:b/>
                <w:sz w:val="16"/>
              </w:rPr>
              <w:t>12,532m</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12,487m</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12,589m</w:t>
            </w:r>
          </w:p>
        </w:tc>
      </w:tr>
      <w:tr w:rsidR="00A12DCA" w:rsidRPr="00100BF5">
        <w:tblPrEx>
          <w:tblCellMar>
            <w:top w:w="0" w:type="dxa"/>
            <w:bottom w:w="0" w:type="dxa"/>
          </w:tblCellMar>
        </w:tblPrEx>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p>
        </w:tc>
      </w:tr>
      <w:tr w:rsidR="00A12DCA" w:rsidRPr="00100BF5">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Basic earnings per ordinary share </w:t>
            </w:r>
            <w:r w:rsidRPr="00100BF5">
              <w:rPr>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0.6p</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12.6p</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12.5p</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Diluted earnings per ordinary share</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0.6p</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12.1p</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11.9p</w:t>
            </w:r>
          </w:p>
        </w:tc>
      </w:tr>
      <w:tr w:rsidR="00A12DCA" w:rsidRPr="00100BF5">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Adjusted earnings per ordinary share</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21.8p</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8.2p</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19.6p</w:t>
            </w:r>
          </w:p>
        </w:tc>
      </w:tr>
    </w:tbl>
    <w:p w:rsidR="00A12DCA" w:rsidRPr="00100BF5" w:rsidRDefault="00A12DCA"/>
    <w:p w:rsidR="00A47EAA" w:rsidRPr="00100BF5" w:rsidRDefault="00A47EAA" w:rsidP="00A47EAA">
      <w:pPr>
        <w:pStyle w:val="HeadingLevel1-BarcRA49"/>
        <w:spacing w:before="180"/>
        <w:rPr>
          <w:color w:val="auto"/>
          <w:lang w:val="en-GB"/>
        </w:rPr>
      </w:pPr>
      <w:r w:rsidRPr="00100BF5">
        <w:rPr>
          <w:color w:val="auto"/>
        </w:rPr>
        <w:t>9.</w:t>
      </w:r>
      <w:r w:rsidRPr="00100BF5">
        <w:rPr>
          <w:color w:val="auto"/>
        </w:rPr>
        <w:tab/>
        <w:t>Dividends on Ordinary Shares</w:t>
      </w:r>
    </w:p>
    <w:p w:rsidR="00A47EAA" w:rsidRPr="00100BF5" w:rsidRDefault="00A47EAA" w:rsidP="00A47EAA">
      <w:pPr>
        <w:pStyle w:val="BodyText-BarcRA75"/>
      </w:pPr>
      <w:r w:rsidRPr="00100BF5">
        <w:t>It is Barclays policy to declare and pay dividends on a quarterly basis. The first interim cash dividend for 2012 of 1p per share was paid on 8 June 2012. The Board has decided to pay on 7 September 2012, a sec</w:t>
      </w:r>
      <w:r w:rsidR="00AC40BE" w:rsidRPr="00100BF5">
        <w:t xml:space="preserve">ond dividend for 2012 of </w:t>
      </w:r>
      <w:r w:rsidRPr="00100BF5">
        <w:t>1p per ordinary share to shareholders on the share register on 10 August 2012, making a total for the first half of 2012 of 2p (2011: 2p).</w:t>
      </w:r>
    </w:p>
    <w:p w:rsidR="00A47EAA" w:rsidRPr="00100BF5" w:rsidRDefault="00A47EAA" w:rsidP="00A47EAA"/>
    <w:tbl>
      <w:tblPr>
        <w:tblW w:w="0" w:type="auto"/>
        <w:tblLayout w:type="fixed"/>
        <w:tblLook w:val="0000" w:firstRow="0" w:lastRow="0" w:firstColumn="0" w:lastColumn="0" w:noHBand="0" w:noVBand="0"/>
      </w:tblPr>
      <w:tblGrid>
        <w:gridCol w:w="2775"/>
        <w:gridCol w:w="1125"/>
        <w:gridCol w:w="1125"/>
        <w:gridCol w:w="92"/>
        <w:gridCol w:w="1125"/>
        <w:gridCol w:w="1125"/>
        <w:gridCol w:w="92"/>
        <w:gridCol w:w="1125"/>
        <w:gridCol w:w="1125"/>
      </w:tblGrid>
      <w:tr w:rsidR="00A47EAA" w:rsidRPr="00100BF5" w:rsidTr="00A47EAA">
        <w:tblPrEx>
          <w:tblCellMar>
            <w:top w:w="0" w:type="dxa"/>
            <w:bottom w:w="0" w:type="dxa"/>
          </w:tblCellMar>
        </w:tblPrEx>
        <w:trPr>
          <w:trHeight w:val="255"/>
        </w:trPr>
        <w:tc>
          <w:tcPr>
            <w:tcW w:w="277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r w:rsidRPr="00100BF5">
              <w:rPr>
                <w:sz w:val="16"/>
              </w:rPr>
              <w:t xml:space="preserve"> </w:t>
            </w:r>
          </w:p>
        </w:tc>
        <w:tc>
          <w:tcPr>
            <w:tcW w:w="1125" w:type="dxa"/>
            <w:gridSpan w:val="2"/>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center"/>
              <w:rPr>
                <w:sz w:val="16"/>
              </w:rPr>
            </w:pPr>
            <w:r w:rsidRPr="00100BF5">
              <w:rPr>
                <w:b/>
                <w:sz w:val="16"/>
              </w:rPr>
              <w:t>Half Year Ended 30.06.12</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center"/>
              <w:rPr>
                <w:b/>
                <w:sz w:val="16"/>
              </w:rPr>
            </w:pPr>
            <w:r w:rsidRPr="00100BF5">
              <w:rPr>
                <w:b/>
                <w:sz w:val="16"/>
              </w:rPr>
              <w:t xml:space="preserve"> </w:t>
            </w:r>
          </w:p>
        </w:tc>
        <w:tc>
          <w:tcPr>
            <w:tcW w:w="1125" w:type="dxa"/>
            <w:gridSpan w:val="2"/>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center"/>
              <w:rPr>
                <w:b/>
                <w:sz w:val="16"/>
              </w:rPr>
            </w:pPr>
            <w:r w:rsidRPr="00100BF5">
              <w:rPr>
                <w:b/>
                <w:sz w:val="16"/>
              </w:rPr>
              <w:t>Half Year Ended 31.12.11</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center"/>
              <w:rPr>
                <w:b/>
                <w:sz w:val="16"/>
              </w:rPr>
            </w:pPr>
            <w:r w:rsidRPr="00100BF5">
              <w:rPr>
                <w:b/>
                <w:sz w:val="16"/>
              </w:rPr>
              <w:t xml:space="preserve"> </w:t>
            </w:r>
          </w:p>
        </w:tc>
        <w:tc>
          <w:tcPr>
            <w:tcW w:w="1125" w:type="dxa"/>
            <w:gridSpan w:val="2"/>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center"/>
              <w:rPr>
                <w:b/>
                <w:sz w:val="16"/>
              </w:rPr>
            </w:pPr>
            <w:r w:rsidRPr="00100BF5">
              <w:rPr>
                <w:b/>
                <w:sz w:val="16"/>
              </w:rPr>
              <w:t>Half Year Ended 30.06.11</w:t>
            </w:r>
          </w:p>
        </w:tc>
      </w:tr>
      <w:tr w:rsidR="00A47EAA" w:rsidRPr="00100BF5" w:rsidTr="00533015">
        <w:tblPrEx>
          <w:tblCellMar>
            <w:top w:w="0" w:type="dxa"/>
            <w:bottom w:w="0" w:type="dxa"/>
          </w:tblCellMar>
        </w:tblPrEx>
        <w:trPr>
          <w:trHeight w:val="240"/>
        </w:trPr>
        <w:tc>
          <w:tcPr>
            <w:tcW w:w="2775" w:type="dxa"/>
            <w:tcBorders>
              <w:top w:val="nil"/>
              <w:left w:val="nil"/>
              <w:bottom w:val="nil"/>
              <w:right w:val="nil"/>
            </w:tcBorders>
            <w:shd w:val="clear" w:color="auto" w:fill="FFFFFF"/>
            <w:tcMar>
              <w:left w:w="36" w:type="dxa"/>
              <w:right w:w="36" w:type="dxa"/>
            </w:tcMar>
            <w:vAlign w:val="center"/>
          </w:tcPr>
          <w:p w:rsidR="00A47EAA" w:rsidRPr="00100BF5" w:rsidRDefault="00A47EAA" w:rsidP="00533015">
            <w:pPr>
              <w:rPr>
                <w:b/>
                <w:sz w:val="16"/>
              </w:rPr>
            </w:pPr>
            <w:r w:rsidRPr="00100BF5">
              <w:rPr>
                <w:b/>
                <w:sz w:val="16"/>
              </w:rPr>
              <w:t>Dividends Paid During the Period</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Per Share</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Total</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Per Share</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Total</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 xml:space="preserve">Per Share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b/>
                <w:sz w:val="16"/>
              </w:rPr>
              <w:t>Total</w:t>
            </w:r>
          </w:p>
        </w:tc>
      </w:tr>
      <w:tr w:rsidR="00A47EAA" w:rsidRPr="00100BF5" w:rsidTr="00533015">
        <w:tblPrEx>
          <w:tblCellMar>
            <w:top w:w="0" w:type="dxa"/>
            <w:bottom w:w="0" w:type="dxa"/>
          </w:tblCellMar>
        </w:tblPrEx>
        <w:trPr>
          <w:trHeight w:val="240"/>
        </w:trPr>
        <w:tc>
          <w:tcPr>
            <w:tcW w:w="277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533015">
            <w:pPr>
              <w:rPr>
                <w:b/>
                <w:sz w:val="16"/>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right"/>
              <w:rPr>
                <w:b/>
                <w:sz w:val="16"/>
              </w:rPr>
            </w:pPr>
            <w:r w:rsidRPr="00100BF5">
              <w:rPr>
                <w:sz w:val="16"/>
              </w:rPr>
              <w:t>Pence</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£m </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Pence</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£m </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Pence</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£m </w:t>
            </w:r>
          </w:p>
        </w:tc>
      </w:tr>
      <w:tr w:rsidR="00A47EAA" w:rsidRPr="00100BF5" w:rsidTr="00533015">
        <w:tblPrEx>
          <w:tblCellMar>
            <w:top w:w="0" w:type="dxa"/>
            <w:bottom w:w="0" w:type="dxa"/>
          </w:tblCellMar>
        </w:tblPrEx>
        <w:trPr>
          <w:trHeight w:val="240"/>
        </w:trPr>
        <w:tc>
          <w:tcPr>
            <w:tcW w:w="277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533015">
            <w:pPr>
              <w:rPr>
                <w:sz w:val="16"/>
              </w:rPr>
            </w:pPr>
            <w:r w:rsidRPr="00100BF5">
              <w:rPr>
                <w:sz w:val="16"/>
              </w:rPr>
              <w:t>Final dividend paid during period</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47EAA" w:rsidRPr="00100BF5" w:rsidRDefault="00A47EAA" w:rsidP="00A47EAA">
            <w:pPr>
              <w:jc w:val="right"/>
              <w:rPr>
                <w:sz w:val="16"/>
              </w:rPr>
            </w:pPr>
            <w:r w:rsidRPr="00100BF5">
              <w:rPr>
                <w:sz w:val="16"/>
              </w:rPr>
              <w:t>3.0p</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47EAA" w:rsidRPr="00100BF5" w:rsidRDefault="00A47EAA" w:rsidP="00A47EAA">
            <w:pPr>
              <w:jc w:val="right"/>
              <w:rPr>
                <w:sz w:val="16"/>
              </w:rPr>
            </w:pPr>
            <w:r w:rsidRPr="00100BF5">
              <w:rPr>
                <w:sz w:val="16"/>
              </w:rPr>
              <w:t xml:space="preserve"> 366 </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2.5p</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298 </w:t>
            </w:r>
          </w:p>
        </w:tc>
      </w:tr>
      <w:tr w:rsidR="00A47EAA" w:rsidRPr="00100BF5" w:rsidTr="00533015">
        <w:tblPrEx>
          <w:tblCellMar>
            <w:top w:w="0" w:type="dxa"/>
            <w:bottom w:w="0" w:type="dxa"/>
          </w:tblCellMar>
        </w:tblPrEx>
        <w:trPr>
          <w:trHeight w:val="240"/>
        </w:trPr>
        <w:tc>
          <w:tcPr>
            <w:tcW w:w="2775" w:type="dxa"/>
            <w:tcBorders>
              <w:top w:val="nil"/>
              <w:left w:val="nil"/>
              <w:bottom w:val="nil"/>
              <w:right w:val="nil"/>
            </w:tcBorders>
            <w:shd w:val="clear" w:color="auto" w:fill="FFFFFF"/>
            <w:tcMar>
              <w:left w:w="36" w:type="dxa"/>
              <w:right w:w="36" w:type="dxa"/>
            </w:tcMar>
            <w:vAlign w:val="center"/>
          </w:tcPr>
          <w:p w:rsidR="00A47EAA" w:rsidRPr="00100BF5" w:rsidRDefault="00A47EAA" w:rsidP="00533015">
            <w:pPr>
              <w:rPr>
                <w:sz w:val="16"/>
              </w:rPr>
            </w:pPr>
            <w:r w:rsidRPr="00100BF5">
              <w:rPr>
                <w:sz w:val="16"/>
              </w:rPr>
              <w:t>Interim dividends paid during period</w:t>
            </w:r>
          </w:p>
        </w:tc>
        <w:tc>
          <w:tcPr>
            <w:tcW w:w="1125" w:type="dxa"/>
            <w:tcBorders>
              <w:top w:val="nil"/>
              <w:left w:val="nil"/>
              <w:bottom w:val="nil"/>
              <w:right w:val="nil"/>
            </w:tcBorders>
            <w:shd w:val="clear" w:color="auto" w:fill="EAEAEA"/>
            <w:tcMar>
              <w:left w:w="36" w:type="dxa"/>
              <w:right w:w="36" w:type="dxa"/>
            </w:tcMar>
            <w:vAlign w:val="center"/>
          </w:tcPr>
          <w:p w:rsidR="00A47EAA" w:rsidRPr="00100BF5" w:rsidRDefault="00A47EAA" w:rsidP="00A47EAA">
            <w:pPr>
              <w:jc w:val="right"/>
              <w:rPr>
                <w:sz w:val="16"/>
              </w:rPr>
            </w:pPr>
            <w:r w:rsidRPr="00100BF5">
              <w:rPr>
                <w:sz w:val="16"/>
              </w:rPr>
              <w:t>1.0p</w:t>
            </w:r>
          </w:p>
        </w:tc>
        <w:tc>
          <w:tcPr>
            <w:tcW w:w="1125" w:type="dxa"/>
            <w:tcBorders>
              <w:top w:val="nil"/>
              <w:left w:val="nil"/>
              <w:bottom w:val="nil"/>
              <w:right w:val="nil"/>
            </w:tcBorders>
            <w:shd w:val="clear" w:color="auto" w:fill="EAEAEA"/>
            <w:tcMar>
              <w:left w:w="36" w:type="dxa"/>
              <w:right w:w="36" w:type="dxa"/>
            </w:tcMar>
            <w:vAlign w:val="center"/>
          </w:tcPr>
          <w:p w:rsidR="00A47EAA" w:rsidRPr="00100BF5" w:rsidRDefault="00A47EAA" w:rsidP="00A47EAA">
            <w:pPr>
              <w:jc w:val="right"/>
              <w:rPr>
                <w:sz w:val="16"/>
              </w:rPr>
            </w:pPr>
            <w:r w:rsidRPr="00100BF5">
              <w:rPr>
                <w:sz w:val="16"/>
              </w:rPr>
              <w:t xml:space="preserve"> 122 </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2.0p</w:t>
            </w:r>
          </w:p>
        </w:tc>
        <w:tc>
          <w:tcPr>
            <w:tcW w:w="1125" w:type="dxa"/>
            <w:tcBorders>
              <w:top w:val="nil"/>
              <w:left w:val="nil"/>
              <w:bottom w:val="nil"/>
              <w:right w:val="nil"/>
            </w:tcBorders>
            <w:shd w:val="clear" w:color="auto" w:fill="FFFFFF"/>
            <w:tcMar>
              <w:left w:w="36" w:type="dxa"/>
              <w:right w:w="36" w:type="dxa"/>
            </w:tcMar>
            <w:vAlign w:val="bottom"/>
          </w:tcPr>
          <w:p w:rsidR="00A47EAA" w:rsidRPr="00100BF5" w:rsidRDefault="00A47EAA" w:rsidP="00A47EAA">
            <w:pPr>
              <w:jc w:val="right"/>
              <w:rPr>
                <w:sz w:val="16"/>
              </w:rPr>
            </w:pPr>
            <w:r w:rsidRPr="00100BF5">
              <w:rPr>
                <w:sz w:val="16"/>
              </w:rPr>
              <w:t>241 </w:t>
            </w:r>
          </w:p>
        </w:tc>
        <w:tc>
          <w:tcPr>
            <w:tcW w:w="60"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1.0p</w:t>
            </w:r>
          </w:p>
        </w:tc>
        <w:tc>
          <w:tcPr>
            <w:tcW w:w="1125" w:type="dxa"/>
            <w:tcBorders>
              <w:top w:val="nil"/>
              <w:left w:val="nil"/>
              <w:bottom w:val="nil"/>
              <w:right w:val="nil"/>
            </w:tcBorders>
            <w:shd w:val="clear" w:color="auto" w:fill="FFFFFF"/>
            <w:tcMar>
              <w:left w:w="36" w:type="dxa"/>
              <w:right w:w="36" w:type="dxa"/>
            </w:tcMar>
            <w:vAlign w:val="center"/>
          </w:tcPr>
          <w:p w:rsidR="00A47EAA" w:rsidRPr="00100BF5" w:rsidRDefault="00A47EAA" w:rsidP="00A47EAA">
            <w:pPr>
              <w:jc w:val="right"/>
              <w:rPr>
                <w:sz w:val="16"/>
              </w:rPr>
            </w:pPr>
            <w:r w:rsidRPr="00100BF5">
              <w:rPr>
                <w:sz w:val="16"/>
              </w:rPr>
              <w:t>121 </w:t>
            </w:r>
          </w:p>
        </w:tc>
      </w:tr>
    </w:tbl>
    <w:p w:rsidR="00A47EAA" w:rsidRPr="00100BF5" w:rsidRDefault="00A47EAA" w:rsidP="00A47EAA"/>
    <w:p w:rsidR="003B473F" w:rsidRPr="00100BF5" w:rsidRDefault="00A47EAA" w:rsidP="00A47EAA">
      <w:pPr>
        <w:pStyle w:val="BodyText-BarcRA910"/>
        <w:rPr>
          <w:sz w:val="18"/>
          <w:szCs w:val="18"/>
        </w:rPr>
      </w:pPr>
      <w:r w:rsidRPr="00100BF5">
        <w:rPr>
          <w:sz w:val="18"/>
          <w:szCs w:val="18"/>
        </w:rPr>
        <w:t>For qualifying US and Canadian resident ADR holders, the interim dividend of 1p per ordinary share becomes 4p per ADS (representing four shares). The ADR depositary will post the interim dividend on 7 September 2012 to ADR holders on the record at close of business on 10 August 2012.</w:t>
      </w:r>
    </w:p>
    <w:p w:rsidR="003B473F" w:rsidRPr="00100BF5" w:rsidRDefault="003B473F" w:rsidP="003B473F">
      <w:pPr>
        <w:pStyle w:val="BodyText-BarcRA910"/>
        <w:spacing w:before="0" w:after="0"/>
        <w:rPr>
          <w:sz w:val="2"/>
          <w:szCs w:val="2"/>
        </w:rPr>
      </w:pPr>
    </w:p>
    <w:p w:rsidR="003B473F" w:rsidRPr="00100BF5" w:rsidRDefault="003B473F" w:rsidP="003B473F">
      <w:pPr>
        <w:pStyle w:val="BodyText-BarcRA910"/>
        <w:spacing w:before="0" w:after="0"/>
        <w:rPr>
          <w:sz w:val="2"/>
          <w:szCs w:val="2"/>
        </w:rPr>
      </w:pPr>
    </w:p>
    <w:p w:rsidR="003B473F" w:rsidRDefault="003B473F" w:rsidP="003B473F">
      <w:pPr>
        <w:pStyle w:val="BodyText-BarcRA910"/>
        <w:spacing w:before="0" w:after="0"/>
        <w:rPr>
          <w:sz w:val="2"/>
          <w:szCs w:val="2"/>
        </w:rPr>
      </w:pPr>
    </w:p>
    <w:p w:rsidR="00FB0640" w:rsidRDefault="00FB0640" w:rsidP="003B473F">
      <w:pPr>
        <w:pStyle w:val="BodyText-BarcRA910"/>
        <w:spacing w:before="0" w:after="0"/>
        <w:rPr>
          <w:sz w:val="2"/>
          <w:szCs w:val="2"/>
        </w:rPr>
      </w:pPr>
    </w:p>
    <w:p w:rsidR="00FB0640" w:rsidRDefault="00FB0640" w:rsidP="003B473F">
      <w:pPr>
        <w:pStyle w:val="BodyText-BarcRA910"/>
        <w:spacing w:before="0" w:after="0"/>
        <w:rPr>
          <w:sz w:val="2"/>
          <w:szCs w:val="2"/>
        </w:rPr>
      </w:pPr>
    </w:p>
    <w:p w:rsidR="00FB0640" w:rsidRDefault="00FB0640" w:rsidP="003B473F">
      <w:pPr>
        <w:pStyle w:val="BodyText-BarcRA910"/>
        <w:spacing w:before="0" w:after="0"/>
        <w:rPr>
          <w:sz w:val="2"/>
          <w:szCs w:val="2"/>
        </w:rPr>
      </w:pPr>
    </w:p>
    <w:p w:rsidR="00FB0640" w:rsidRDefault="00FB0640" w:rsidP="003B473F">
      <w:pPr>
        <w:pStyle w:val="BodyText-BarcRA910"/>
        <w:spacing w:before="0" w:after="0"/>
        <w:rPr>
          <w:sz w:val="2"/>
          <w:szCs w:val="2"/>
        </w:rPr>
      </w:pPr>
    </w:p>
    <w:p w:rsidR="00FB0640" w:rsidRPr="00100BF5" w:rsidRDefault="00FB0640" w:rsidP="003B473F">
      <w:pPr>
        <w:pStyle w:val="BodyText-BarcRA910"/>
        <w:spacing w:before="0" w:after="0"/>
        <w:rPr>
          <w:sz w:val="2"/>
          <w:szCs w:val="2"/>
        </w:rPr>
      </w:pPr>
    </w:p>
    <w:p w:rsidR="003B473F" w:rsidRPr="00100BF5" w:rsidRDefault="003B473F" w:rsidP="003B473F">
      <w:pPr>
        <w:pStyle w:val="BodyText-BarcRA910"/>
        <w:spacing w:before="0" w:after="0"/>
        <w:rPr>
          <w:sz w:val="2"/>
          <w:szCs w:val="2"/>
        </w:rPr>
      </w:pPr>
    </w:p>
    <w:p w:rsidR="003B473F" w:rsidRPr="00100BF5" w:rsidRDefault="003B473F" w:rsidP="003B473F">
      <w:pPr>
        <w:pStyle w:val="BodyText-BarcRA910"/>
        <w:spacing w:before="0" w:after="0"/>
        <w:rPr>
          <w:sz w:val="2"/>
          <w:szCs w:val="2"/>
        </w:rPr>
      </w:pPr>
    </w:p>
    <w:p w:rsidR="003B473F" w:rsidRPr="00100BF5" w:rsidRDefault="003B473F" w:rsidP="003B473F">
      <w:pPr>
        <w:pStyle w:val="BodyText-BarcRA910"/>
        <w:spacing w:before="0" w:after="0"/>
        <w:rPr>
          <w:sz w:val="2"/>
          <w:szCs w:val="2"/>
        </w:rPr>
      </w:pPr>
    </w:p>
    <w:p w:rsidR="00A12DCA" w:rsidRPr="00100BF5" w:rsidRDefault="00A47EAA" w:rsidP="00A12DCA">
      <w:pPr>
        <w:pStyle w:val="NoteandSourceText-BarcRA16"/>
        <w:tabs>
          <w:tab w:val="clear" w:pos="284"/>
          <w:tab w:val="left" w:pos="0"/>
        </w:tabs>
        <w:ind w:left="284" w:hanging="284"/>
        <w:rPr>
          <w:rFonts w:eastAsia="Calibri"/>
          <w:sz w:val="13"/>
          <w:szCs w:val="13"/>
        </w:rPr>
      </w:pPr>
      <w:r w:rsidRPr="00100BF5">
        <w:rPr>
          <w:rFonts w:eastAsia="Calibri"/>
          <w:sz w:val="13"/>
          <w:szCs w:val="13"/>
        </w:rPr>
        <w:t>A</w:t>
      </w:r>
      <w:r w:rsidR="00A12DCA" w:rsidRPr="00100BF5">
        <w:rPr>
          <w:rFonts w:eastAsia="Calibri"/>
          <w:sz w:val="13"/>
          <w:szCs w:val="13"/>
        </w:rPr>
        <w:t>djusted performance measures exclude the impact of own credit, gains on debt buy-backs, impairment and gain/(loss)on disposal of BlackRock investment, provision for PPI redress, provision for interest rate hedging products redress, goodwill impairment and  (losses) on acquisitions and disposals as detailed on page 8.  The tax impact of these items is a charge of £8</w:t>
      </w:r>
      <w:r w:rsidR="00260C2F" w:rsidRPr="00100BF5">
        <w:rPr>
          <w:rFonts w:eastAsia="Calibri"/>
          <w:sz w:val="13"/>
          <w:szCs w:val="13"/>
        </w:rPr>
        <w:t>7</w:t>
      </w:r>
      <w:r w:rsidR="007C49A8" w:rsidRPr="00100BF5">
        <w:rPr>
          <w:rFonts w:eastAsia="Calibri"/>
          <w:sz w:val="13"/>
          <w:szCs w:val="13"/>
        </w:rPr>
        <w:t>9</w:t>
      </w:r>
      <w:r w:rsidR="00A12DCA" w:rsidRPr="00100BF5">
        <w:rPr>
          <w:rFonts w:eastAsia="Calibri"/>
          <w:sz w:val="13"/>
          <w:szCs w:val="13"/>
        </w:rPr>
        <w:t>m (</w:t>
      </w:r>
      <w:r w:rsidR="00882E4A">
        <w:rPr>
          <w:rFonts w:eastAsia="Calibri"/>
          <w:sz w:val="13"/>
          <w:szCs w:val="13"/>
        </w:rPr>
        <w:t xml:space="preserve">H2 </w:t>
      </w:r>
      <w:r w:rsidR="00A12DCA" w:rsidRPr="00100BF5">
        <w:rPr>
          <w:rFonts w:eastAsia="Calibri"/>
          <w:sz w:val="13"/>
          <w:szCs w:val="13"/>
        </w:rPr>
        <w:t>11: credit of £845m</w:t>
      </w:r>
      <w:r w:rsidR="00882E4A">
        <w:rPr>
          <w:rFonts w:eastAsia="Calibri"/>
          <w:sz w:val="13"/>
          <w:szCs w:val="13"/>
        </w:rPr>
        <w:t xml:space="preserve">; H1 </w:t>
      </w:r>
      <w:r w:rsidR="00882E4A" w:rsidRPr="00100BF5">
        <w:rPr>
          <w:rFonts w:eastAsia="Calibri"/>
          <w:sz w:val="13"/>
          <w:szCs w:val="13"/>
        </w:rPr>
        <w:t>11: charge of £24</w:t>
      </w:r>
      <w:r w:rsidR="00882E4A">
        <w:rPr>
          <w:rFonts w:eastAsia="Calibri"/>
          <w:sz w:val="13"/>
          <w:szCs w:val="13"/>
        </w:rPr>
        <w:t>2m</w:t>
      </w:r>
      <w:r w:rsidR="00A12DCA" w:rsidRPr="00100BF5">
        <w:rPr>
          <w:rFonts w:eastAsia="Calibri"/>
          <w:sz w:val="13"/>
          <w:szCs w:val="13"/>
        </w:rPr>
        <w:t>).</w:t>
      </w:r>
    </w:p>
    <w:p w:rsidR="00A12DCA" w:rsidRPr="00100BF5" w:rsidRDefault="00A12DCA" w:rsidP="00A12DCA">
      <w:pPr>
        <w:pStyle w:val="NoteandSourceText-BarcRA16"/>
        <w:ind w:left="284" w:hanging="284"/>
      </w:pPr>
      <w:r w:rsidRPr="00100BF5">
        <w:rPr>
          <w:rFonts w:eastAsia="Calibri"/>
          <w:sz w:val="13"/>
          <w:szCs w:val="13"/>
        </w:rPr>
        <w:t>The number of basic weighted average number of shares excludes Treasury shares held in employee benefit trusts for trading.</w:t>
      </w:r>
    </w:p>
    <w:p w:rsidR="00A12DCA" w:rsidRPr="00100BF5" w:rsidRDefault="00A12DCA">
      <w:pPr>
        <w:rPr>
          <w:sz w:val="13"/>
          <w:szCs w:val="13"/>
        </w:rPr>
        <w:sectPr w:rsidR="00A12DCA" w:rsidRPr="00100BF5" w:rsidSect="00E100EB">
          <w:type w:val="continuous"/>
          <w:pgSz w:w="11905" w:h="16837"/>
          <w:pgMar w:top="851" w:right="1134" w:bottom="567" w:left="1134" w:header="851" w:footer="567" w:gutter="0"/>
          <w:cols w:space="708"/>
        </w:sectPr>
      </w:pPr>
    </w:p>
    <w:p w:rsidR="005F437E" w:rsidRPr="005F437E" w:rsidRDefault="005F437E" w:rsidP="005F437E">
      <w:pPr>
        <w:pStyle w:val="HeadingLevel1-BarcRA"/>
      </w:pPr>
      <w:r>
        <w:t>Financial Statement Notes</w:t>
      </w:r>
    </w:p>
    <w:tbl>
      <w:tblPr>
        <w:tblW w:w="0" w:type="auto"/>
        <w:tblLayout w:type="fixed"/>
        <w:tblLook w:val="0000" w:firstRow="0" w:lastRow="0" w:firstColumn="0" w:lastColumn="0" w:noHBand="0" w:noVBand="0"/>
      </w:tblPr>
      <w:tblGrid>
        <w:gridCol w:w="6225"/>
        <w:gridCol w:w="1080"/>
        <w:gridCol w:w="180"/>
        <w:gridCol w:w="1080"/>
        <w:gridCol w:w="1080"/>
      </w:tblGrid>
      <w:tr w:rsidR="00A12DCA" w:rsidRPr="00100BF5">
        <w:tblPrEx>
          <w:tblCellMar>
            <w:top w:w="0" w:type="dxa"/>
            <w:bottom w:w="0" w:type="dxa"/>
          </w:tblCellMar>
        </w:tblPrEx>
        <w:trPr>
          <w:trHeight w:val="315"/>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rsidP="00FB0640">
            <w:pPr>
              <w:rPr>
                <w:sz w:val="13"/>
                <w:szCs w:val="13"/>
              </w:rPr>
            </w:pPr>
            <w:r w:rsidRPr="00100BF5">
              <w:rPr>
                <w:b/>
                <w:sz w:val="24"/>
                <w:szCs w:val="13"/>
              </w:rPr>
              <w:t>10.       Derivative Financial Instruments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24"/>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 xml:space="preserve"> </w:t>
            </w:r>
          </w:p>
        </w:tc>
      </w:tr>
      <w:tr w:rsidR="00A12DCA" w:rsidRPr="00100BF5" w:rsidTr="00E51420">
        <w:tblPrEx>
          <w:tblCellMar>
            <w:top w:w="0" w:type="dxa"/>
            <w:bottom w:w="0" w:type="dxa"/>
          </w:tblCellMar>
        </w:tblPrEx>
        <w:trPr>
          <w:trHeight w:val="48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 xml:space="preserve"> </w:t>
            </w:r>
          </w:p>
        </w:tc>
        <w:tc>
          <w:tcPr>
            <w:tcW w:w="1080" w:type="dxa"/>
            <w:vMerge w:val="restart"/>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szCs w:val="13"/>
              </w:rPr>
            </w:pPr>
            <w:r w:rsidRPr="00100BF5">
              <w:rPr>
                <w:b/>
                <w:sz w:val="16"/>
                <w:szCs w:val="13"/>
              </w:rPr>
              <w:t xml:space="preserve">Contract Notional </w:t>
            </w:r>
          </w:p>
          <w:p w:rsidR="00A12DCA" w:rsidRPr="00100BF5" w:rsidRDefault="00A12DCA">
            <w:pPr>
              <w:jc w:val="right"/>
              <w:rPr>
                <w:b/>
                <w:sz w:val="16"/>
                <w:szCs w:val="13"/>
              </w:rPr>
            </w:pPr>
            <w:r w:rsidRPr="00100BF5">
              <w:rPr>
                <w:b/>
                <w:sz w:val="16"/>
                <w:szCs w:val="13"/>
              </w:rPr>
              <w:t xml:space="preserve">Amount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2160" w:type="dxa"/>
            <w:gridSpan w:val="2"/>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jc w:val="center"/>
              <w:rPr>
                <w:sz w:val="16"/>
                <w:szCs w:val="13"/>
              </w:rPr>
            </w:pPr>
            <w:r w:rsidRPr="00100BF5">
              <w:rPr>
                <w:b/>
                <w:sz w:val="16"/>
                <w:szCs w:val="13"/>
              </w:rPr>
              <w:t>Fair Value</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As at 30.06.12</w:t>
            </w:r>
          </w:p>
        </w:tc>
        <w:tc>
          <w:tcPr>
            <w:tcW w:w="1080" w:type="dxa"/>
            <w:vMerge/>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Liabilities</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£m</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Foreign exchange derivatives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5,067,266 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58,663 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(63,369)</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Interest rate derivatives</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8B1464" w:rsidP="008B1464">
            <w:pPr>
              <w:jc w:val="right"/>
              <w:rPr>
                <w:sz w:val="16"/>
                <w:szCs w:val="13"/>
              </w:rPr>
            </w:pPr>
            <w:r>
              <w:rPr>
                <w:sz w:val="16"/>
                <w:szCs w:val="13"/>
              </w:rPr>
              <w:t>38,549,480</w:t>
            </w:r>
            <w:r w:rsidR="00A12DCA" w:rsidRPr="00100BF5">
              <w:rPr>
                <w:sz w:val="16"/>
                <w:szCs w:val="13"/>
              </w:rPr>
              <w:t>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374,353 </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(357,665)</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Credit derivatives</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1,926,860 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48,100 </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(46,539)</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Equity and stock index and commodity derivatives</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1,504,099 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31,582 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(34,917)</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 assets/(liabilities) held for trading</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8B1464">
            <w:pPr>
              <w:jc w:val="right"/>
              <w:rPr>
                <w:b/>
                <w:sz w:val="16"/>
                <w:szCs w:val="13"/>
              </w:rPr>
            </w:pPr>
            <w:r>
              <w:rPr>
                <w:b/>
                <w:sz w:val="16"/>
                <w:szCs w:val="13"/>
              </w:rPr>
              <w:t>47,047,705</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b/>
                <w:sz w:val="16"/>
                <w:szCs w:val="13"/>
              </w:rPr>
              <w:t>512,698 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b/>
                <w:sz w:val="16"/>
                <w:szCs w:val="13"/>
              </w:rPr>
            </w:pPr>
            <w:r w:rsidRPr="00100BF5">
              <w:rPr>
                <w:b/>
                <w:sz w:val="16"/>
                <w:szCs w:val="13"/>
              </w:rPr>
              <w:t>(502,490)</w:t>
            </w:r>
          </w:p>
        </w:tc>
      </w:tr>
      <w:tr w:rsidR="00A12DCA" w:rsidRPr="00100BF5">
        <w:tblPrEx>
          <w:tblCellMar>
            <w:top w:w="0" w:type="dxa"/>
            <w:bottom w:w="0" w:type="dxa"/>
          </w:tblCellMar>
        </w:tblPrEx>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b/>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Derivatives in Hedge Accounting Relationships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cash flow hedges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210,141 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2,760 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(1,414)</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fair value hedges</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133,581 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2,121 </w:t>
            </w:r>
          </w:p>
        </w:tc>
        <w:tc>
          <w:tcPr>
            <w:tcW w:w="1080" w:type="dxa"/>
            <w:tcBorders>
              <w:top w:val="nil"/>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(3,388)</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hedges of net investments</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10,246 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106 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sz w:val="16"/>
                <w:szCs w:val="13"/>
              </w:rPr>
              <w:t>(59)</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 assets/(liabilities) designated in hedge accounting relationships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b/>
                <w:sz w:val="16"/>
                <w:szCs w:val="13"/>
              </w:rPr>
            </w:pPr>
            <w:r w:rsidRPr="00100BF5">
              <w:rPr>
                <w:b/>
                <w:sz w:val="16"/>
                <w:szCs w:val="13"/>
              </w:rPr>
              <w:t>353,968 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b/>
                <w:sz w:val="16"/>
                <w:szCs w:val="13"/>
              </w:rPr>
              <w:t>4,987 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b/>
                <w:sz w:val="16"/>
                <w:szCs w:val="13"/>
              </w:rPr>
            </w:pPr>
            <w:r w:rsidRPr="00100BF5">
              <w:rPr>
                <w:b/>
                <w:sz w:val="16"/>
                <w:szCs w:val="13"/>
              </w:rPr>
              <w:t>(4,861)</w:t>
            </w:r>
          </w:p>
        </w:tc>
      </w:tr>
      <w:tr w:rsidR="00A12DCA" w:rsidRPr="00100BF5">
        <w:tblPrEx>
          <w:tblCellMar>
            <w:top w:w="0" w:type="dxa"/>
            <w:bottom w:w="0" w:type="dxa"/>
          </w:tblCellMar>
        </w:tblPrEx>
        <w:trPr>
          <w:trHeight w:hRule="exac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b/>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Total recognised derivative assets/(liabilities)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8B1464" w:rsidP="008B1464">
            <w:pPr>
              <w:jc w:val="right"/>
              <w:rPr>
                <w:b/>
                <w:sz w:val="16"/>
                <w:szCs w:val="13"/>
              </w:rPr>
            </w:pPr>
            <w:r>
              <w:rPr>
                <w:b/>
                <w:sz w:val="16"/>
                <w:szCs w:val="13"/>
              </w:rPr>
              <w:t>47,401,673</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sz w:val="16"/>
                <w:szCs w:val="13"/>
              </w:rPr>
            </w:pPr>
            <w:r w:rsidRPr="00100BF5">
              <w:rPr>
                <w:b/>
                <w:sz w:val="16"/>
                <w:szCs w:val="13"/>
              </w:rPr>
              <w:t>517,685 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A12DCA" w:rsidRPr="00100BF5" w:rsidRDefault="00A12DCA">
            <w:pPr>
              <w:jc w:val="right"/>
              <w:rPr>
                <w:b/>
                <w:sz w:val="16"/>
                <w:szCs w:val="13"/>
              </w:rPr>
            </w:pPr>
            <w:r w:rsidRPr="00100BF5">
              <w:rPr>
                <w:b/>
                <w:sz w:val="16"/>
                <w:szCs w:val="13"/>
              </w:rPr>
              <w:t>(507,351)</w:t>
            </w:r>
          </w:p>
        </w:tc>
      </w:tr>
      <w:tr w:rsidR="00A12DCA" w:rsidRPr="00100BF5">
        <w:tblPrEx>
          <w:tblCellMar>
            <w:top w:w="0" w:type="dxa"/>
            <w:bottom w:w="0" w:type="dxa"/>
          </w:tblCellMar>
        </w:tblPrEx>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As at 31.12.11</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Foreign exchange derivatives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4,452,874 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63,822 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(67,280)</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Interest rate derivatives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35,541,980 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372,570 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(357,440)</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Credit derivatives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1,886,650 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63,312 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(61,348)</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Equity and stock index and commodity derivatives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1,214,487 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35,602 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(38,484)</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 assets/(liabilities) held for trading</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43,095,991 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535,306 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(524,552)</w:t>
            </w:r>
          </w:p>
        </w:tc>
      </w:tr>
      <w:tr w:rsidR="00A12DCA" w:rsidRPr="00100BF5">
        <w:tblPrEx>
          <w:tblCellMar>
            <w:top w:w="0" w:type="dxa"/>
            <w:bottom w:w="0" w:type="dxa"/>
          </w:tblCellMar>
        </w:tblPrEx>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Derivatives in Hedge Accounting Relationships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cash flow hedges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157,149 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2,150 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(1,726)</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fair value hedges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74,375 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1,447 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(1,238)</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hedges of net investments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12,010 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61 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(394)</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 assets/(liabilities) designated in hedge accounting relationships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243,534 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3,658 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(3,358)</w:t>
            </w:r>
          </w:p>
        </w:tc>
      </w:tr>
      <w:tr w:rsidR="00A12DCA" w:rsidRPr="00100BF5">
        <w:tblPrEx>
          <w:tblCellMar>
            <w:top w:w="0" w:type="dxa"/>
            <w:bottom w:w="0" w:type="dxa"/>
          </w:tblCellMar>
        </w:tblPrEx>
        <w:trPr>
          <w:trHeight w:hRule="exac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Total recognised derivative assets/(liabilities)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43,339,525 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b/>
                <w:sz w:val="16"/>
                <w:szCs w:val="13"/>
              </w:rPr>
              <w:t>538,964 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(527,910)</w:t>
            </w:r>
          </w:p>
        </w:tc>
      </w:tr>
      <w:tr w:rsidR="00A12DCA" w:rsidRPr="00100BF5">
        <w:tblPrEx>
          <w:tblCellMar>
            <w:top w:w="0" w:type="dxa"/>
            <w:bottom w:w="0" w:type="dxa"/>
          </w:tblCellMar>
        </w:tblPrEx>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b/>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As at 30.06.11</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Foreign exchange derivatives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3,965,712 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54,186 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(57,176)</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Interest rate derivatives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37,739,893 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238,645 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(220,854)</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Credit derivatives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2,085,191 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45,883 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(44,169)</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Equity and stock index and commodity derivatives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1,268,250 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39,090 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(41,907)</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 assets/(liabilities) held for trading</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45,059,046 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377,804 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(364,106)</w:t>
            </w:r>
          </w:p>
        </w:tc>
      </w:tr>
      <w:tr w:rsidR="00A12DCA" w:rsidRPr="00100BF5">
        <w:tblPrEx>
          <w:tblCellMar>
            <w:top w:w="0" w:type="dxa"/>
            <w:bottom w:w="0" w:type="dxa"/>
          </w:tblCellMar>
        </w:tblPrEx>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Derivatives in Hedge Accounting Relationships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cash flow hedges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164,846 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891 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(848)</w:t>
            </w:r>
          </w:p>
        </w:tc>
      </w:tr>
      <w:tr w:rsidR="00A12DCA" w:rsidRPr="00100BF5">
        <w:tblPrEx>
          <w:tblCellMar>
            <w:top w:w="0" w:type="dxa"/>
            <w:bottom w:w="0" w:type="dxa"/>
          </w:tblCellMar>
        </w:tblPrEx>
        <w:trPr>
          <w:trHeight w:val="240"/>
        </w:trPr>
        <w:tc>
          <w:tcPr>
            <w:tcW w:w="622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fair value hedges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98,245 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1,077 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(1,116)</w:t>
            </w:r>
          </w:p>
        </w:tc>
      </w:tr>
      <w:tr w:rsidR="00A12DCA" w:rsidRPr="00100BF5">
        <w:tblPrEx>
          <w:tblCellMar>
            <w:top w:w="0" w:type="dxa"/>
            <w:bottom w:w="0" w:type="dxa"/>
          </w:tblCellMar>
        </w:tblPrEx>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szCs w:val="13"/>
              </w:rPr>
            </w:pPr>
            <w:r w:rsidRPr="00100BF5">
              <w:rPr>
                <w:sz w:val="16"/>
                <w:szCs w:val="13"/>
              </w:rPr>
              <w:t>Derivatives designated as hedges of net investments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15,405 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82 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(466)</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Derivative assets/(liabilities) designated in hedge accounting relationships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278,496 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2,050 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(2,430)</w:t>
            </w:r>
          </w:p>
        </w:tc>
      </w:tr>
      <w:tr w:rsidR="00A12DCA" w:rsidRPr="00100BF5">
        <w:tblPrEx>
          <w:tblCellMar>
            <w:top w:w="0" w:type="dxa"/>
            <w:bottom w:w="0" w:type="dxa"/>
          </w:tblCellMar>
        </w:tblPrEx>
        <w:trPr>
          <w:trHeight w:hRule="exac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szCs w:val="13"/>
              </w:rPr>
            </w:pPr>
            <w:r w:rsidRPr="00100BF5">
              <w:rPr>
                <w:b/>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sz w:val="16"/>
                <w:szCs w:val="13"/>
              </w:rPr>
              <w:t xml:space="preserve"> </w:t>
            </w:r>
          </w:p>
        </w:tc>
      </w:tr>
      <w:tr w:rsidR="00A12DCA" w:rsidRPr="00100BF5">
        <w:tblPrEx>
          <w:tblCellMar>
            <w:top w:w="0" w:type="dxa"/>
            <w:bottom w:w="0" w:type="dxa"/>
          </w:tblCellMar>
        </w:tblPrEx>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szCs w:val="13"/>
              </w:rPr>
            </w:pPr>
            <w:r w:rsidRPr="00100BF5">
              <w:rPr>
                <w:b/>
                <w:sz w:val="16"/>
                <w:szCs w:val="13"/>
              </w:rPr>
              <w:t>Total recognised derivative assets/(liabilities)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45,337,542 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sz w:val="16"/>
                <w:szCs w:val="13"/>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szCs w:val="13"/>
              </w:rPr>
            </w:pPr>
            <w:r w:rsidRPr="00100BF5">
              <w:rPr>
                <w:b/>
                <w:sz w:val="16"/>
                <w:szCs w:val="13"/>
              </w:rPr>
              <w:t>379,854 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szCs w:val="13"/>
              </w:rPr>
            </w:pPr>
            <w:r w:rsidRPr="00100BF5">
              <w:rPr>
                <w:b/>
                <w:sz w:val="16"/>
                <w:szCs w:val="13"/>
              </w:rPr>
              <w:t>(366,536)</w:t>
            </w:r>
          </w:p>
        </w:tc>
      </w:tr>
    </w:tbl>
    <w:p w:rsidR="00A12DCA" w:rsidRPr="00100BF5" w:rsidRDefault="00A12DCA" w:rsidP="00A12DCA">
      <w:pPr>
        <w:pStyle w:val="BodyText-BarcRA76"/>
      </w:pPr>
      <w:r w:rsidRPr="00100BF5">
        <w:t>The fair value of gross derivative assets decreased by 4% to £518bn (31 December 2011: £539bn) reflecting the impact of optimisation initiatives to reduce gross derivative exposures,</w:t>
      </w:r>
      <w:r w:rsidR="00AC40BE" w:rsidRPr="00100BF5">
        <w:t xml:space="preserve"> and the</w:t>
      </w:r>
      <w:r w:rsidRPr="00100BF5">
        <w:t xml:space="preserve"> tightening of credit spreads</w:t>
      </w:r>
      <w:r w:rsidR="00AC40BE" w:rsidRPr="00100BF5">
        <w:t>,</w:t>
      </w:r>
      <w:r w:rsidRPr="00100BF5">
        <w:t xml:space="preserve"> offset by decreases in the major forward curves. </w:t>
      </w:r>
    </w:p>
    <w:p w:rsidR="00A12DCA" w:rsidRPr="00100BF5" w:rsidRDefault="00A12DCA" w:rsidP="00A12DCA">
      <w:pPr>
        <w:pStyle w:val="BodyText-BarcRA76"/>
      </w:pPr>
      <w:r w:rsidRPr="00100BF5">
        <w:t xml:space="preserve">Derivative asset exposures would be £477bn (31 December 2011: £492bn) lower than reported under IFRS if netting were permitted for assets and liabilities with the same counterparty or for which we hold cash collateral. Derivative liabilities would be £463bn (31 December 2011: £478bn) lower reflecting counterparty netting and collateral placed. </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Default="005F437E" w:rsidP="005F437E">
      <w:pPr>
        <w:pStyle w:val="HeadingLevel1-BarcRA"/>
      </w:pPr>
      <w:r>
        <w:t>Financial Statement Notes</w:t>
      </w:r>
    </w:p>
    <w:p w:rsidR="00A12DCA" w:rsidRPr="00100BF5" w:rsidRDefault="00A12DCA" w:rsidP="00A12DCA">
      <w:pPr>
        <w:pStyle w:val="BarclaysBodyTextHeadingL1"/>
        <w:rPr>
          <w:rFonts w:ascii="Expert Sans Regular" w:hAnsi="Expert Sans Regular"/>
          <w:color w:val="auto"/>
          <w:lang w:val="en-GB"/>
        </w:rPr>
      </w:pPr>
      <w:r w:rsidRPr="00100BF5">
        <w:rPr>
          <w:rFonts w:ascii="Expert Sans Regular" w:hAnsi="Expert Sans Regular"/>
          <w:color w:val="auto"/>
          <w:lang w:val="en-GB"/>
        </w:rPr>
        <w:t>11.</w:t>
      </w:r>
      <w:r w:rsidRPr="00100BF5">
        <w:rPr>
          <w:rFonts w:ascii="Expert Sans Regular" w:hAnsi="Expert Sans Regular"/>
          <w:color w:val="auto"/>
          <w:lang w:val="en-GB"/>
        </w:rPr>
        <w:tab/>
        <w:t>Financial Instruments Held at Fair Value</w:t>
      </w:r>
    </w:p>
    <w:p w:rsidR="00A12DCA" w:rsidRPr="00100BF5" w:rsidRDefault="00A12DCA" w:rsidP="00A12DCA">
      <w:pPr>
        <w:pStyle w:val="BodyText-BarcRA77"/>
      </w:pPr>
      <w:r w:rsidRPr="00100BF5">
        <w:t>The table below shows the financial assets and liabilities that are recognised and measured at fair value analysed by level within the fair value hierarchy.</w:t>
      </w:r>
    </w:p>
    <w:p w:rsidR="00A12DCA" w:rsidRPr="00100BF5" w:rsidRDefault="00A12DCA"/>
    <w:tbl>
      <w:tblPr>
        <w:tblW w:w="0" w:type="auto"/>
        <w:tblLayout w:type="fixed"/>
        <w:tblLook w:val="0000" w:firstRow="0" w:lastRow="0" w:firstColumn="0" w:lastColumn="0" w:noHBand="0" w:noVBand="0"/>
      </w:tblPr>
      <w:tblGrid>
        <w:gridCol w:w="5160"/>
        <w:gridCol w:w="1080"/>
        <w:gridCol w:w="1080"/>
        <w:gridCol w:w="1080"/>
        <w:gridCol w:w="180"/>
        <w:gridCol w:w="1080"/>
      </w:tblGrid>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sz w:val="16"/>
              </w:rPr>
              <w:t xml:space="preserve"> </w:t>
            </w:r>
          </w:p>
        </w:tc>
        <w:tc>
          <w:tcPr>
            <w:tcW w:w="1080" w:type="dxa"/>
            <w:gridSpan w:val="3"/>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center"/>
              <w:rPr>
                <w:sz w:val="16"/>
              </w:rPr>
            </w:pPr>
            <w:r w:rsidRPr="00100BF5">
              <w:rPr>
                <w:b/>
                <w:sz w:val="16"/>
              </w:rPr>
              <w:t>Valuations Based on</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r>
      <w:tr w:rsidR="00A12DCA" w:rsidRPr="00100BF5" w:rsidTr="00D40FBE">
        <w:tblPrEx>
          <w:tblCellMar>
            <w:top w:w="0" w:type="dxa"/>
            <w:bottom w:w="0" w:type="dxa"/>
          </w:tblCellMar>
        </w:tblPrEx>
        <w:trPr>
          <w:trHeight w:val="598"/>
        </w:trPr>
        <w:tc>
          <w:tcPr>
            <w:tcW w:w="516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b/>
                <w:sz w:val="16"/>
              </w:rPr>
              <w:t>Quoted Market Prices</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Observable Inputs</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Significant Unobservable Inputs</w:t>
            </w:r>
          </w:p>
        </w:tc>
        <w:tc>
          <w:tcPr>
            <w:tcW w:w="1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(Level 1)</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(Level 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(Level 3)</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Total</w:t>
            </w:r>
          </w:p>
        </w:tc>
      </w:tr>
      <w:tr w:rsidR="00A12DCA" w:rsidRPr="00100BF5" w:rsidTr="009C7B67">
        <w:tblPrEx>
          <w:tblCellMar>
            <w:top w:w="0" w:type="dxa"/>
            <w:bottom w:w="0" w:type="dxa"/>
          </w:tblCellMar>
        </w:tblPrEx>
        <w:trPr>
          <w:trHeight w:val="255"/>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As at 30.06.12</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£m</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£m</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Trading portfolio 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71,695 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86,130 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8,475 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166,300 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Financial assets designated at fair value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9,469 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28,919 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7,540 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45,928 </w:t>
            </w:r>
          </w:p>
        </w:tc>
      </w:tr>
      <w:tr w:rsidR="00A12DCA" w:rsidRPr="00100BF5" w:rsidTr="009C7B67">
        <w:tblPrEx>
          <w:tblCellMar>
            <w:top w:w="0" w:type="dxa"/>
            <w:bottom w:w="0" w:type="dxa"/>
          </w:tblCellMar>
        </w:tblPrEx>
        <w:trPr>
          <w:trHeight w:val="270"/>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Derivative financial assets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1,902 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507,126 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8,657 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517,685 </w:t>
            </w:r>
          </w:p>
        </w:tc>
      </w:tr>
      <w:tr w:rsidR="00A12DCA" w:rsidRPr="00100BF5" w:rsidTr="009C7B67">
        <w:tblPrEx>
          <w:tblCellMar>
            <w:top w:w="0" w:type="dxa"/>
            <w:bottom w:w="0" w:type="dxa"/>
          </w:tblCellMar>
        </w:tblPrEx>
        <w:trPr>
          <w:trHeight w:val="270"/>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Available for sale assets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31,377 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34,571 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2,974 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68,922 </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Total 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114,443 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656,746 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27,646 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798,835 </w:t>
            </w:r>
          </w:p>
        </w:tc>
      </w:tr>
      <w:tr w:rsidR="00A12DCA" w:rsidRPr="00100BF5" w:rsidTr="009C7B67">
        <w:tblPrEx>
          <w:tblCellMar>
            <w:top w:w="0" w:type="dxa"/>
            <w:bottom w:w="0" w:type="dxa"/>
          </w:tblCellMar>
        </w:tblPrEx>
        <w:trPr>
          <w:trHeight w:hRule="exac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Trading portfolio liabilities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(25,387)</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(26,251)</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(109)</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(51,747)</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Financial liabilities designated at fair value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(51)</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(92,002)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(2,802)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(94,855)</w:t>
            </w:r>
          </w:p>
        </w:tc>
      </w:tr>
      <w:tr w:rsidR="00A12DCA" w:rsidRPr="00100BF5" w:rsidTr="009C7B67">
        <w:tblPrEx>
          <w:tblCellMar>
            <w:top w:w="0" w:type="dxa"/>
            <w:bottom w:w="0" w:type="dxa"/>
          </w:tblCellMar>
        </w:tblPrEx>
        <w:trPr>
          <w:trHeight w:val="270"/>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Derivative financial liabilities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(1,887)</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(498,776)</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(6,688)</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(507,351)</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Total 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(27,325)</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(617,029)</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(9,599)</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(653,953)</w:t>
            </w:r>
          </w:p>
        </w:tc>
      </w:tr>
      <w:tr w:rsidR="00A12DCA" w:rsidRPr="00100BF5" w:rsidTr="009C7B67">
        <w:tblPrEx>
          <w:tblCellMar>
            <w:top w:w="0" w:type="dxa"/>
            <w:bottom w:w="0" w:type="dxa"/>
          </w:tblCellMar>
        </w:tblPrEx>
        <w:trPr>
          <w:trHeight w:hRule="exac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r>
      <w:tr w:rsidR="00A12DCA" w:rsidRPr="00100BF5" w:rsidTr="009C7B67">
        <w:tblPrEx>
          <w:tblCellMar>
            <w:top w:w="0" w:type="dxa"/>
            <w:bottom w:w="0" w:type="dxa"/>
          </w:tblCellMar>
        </w:tblPrEx>
        <w:trPr>
          <w:trHeight w:val="255"/>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As at 31.12.11</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Trading portfolio 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61,530 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81,449 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9,204 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152,183 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Financial assets designated at fair value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4,179 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24,091 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8,679 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36,949 </w:t>
            </w:r>
          </w:p>
        </w:tc>
      </w:tr>
      <w:tr w:rsidR="00A12DCA" w:rsidRPr="00100BF5" w:rsidTr="009C7B67">
        <w:tblPrEx>
          <w:tblCellMar>
            <w:top w:w="0" w:type="dxa"/>
            <w:bottom w:w="0" w:type="dxa"/>
          </w:tblCellMar>
        </w:tblPrEx>
        <w:trPr>
          <w:trHeight w:val="270"/>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Derivative financial assets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2,550 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525,147 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11,267 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538,964 </w:t>
            </w:r>
          </w:p>
        </w:tc>
      </w:tr>
      <w:tr w:rsidR="00A12DCA" w:rsidRPr="00100BF5" w:rsidTr="009C7B67">
        <w:tblPrEx>
          <w:tblCellMar>
            <w:top w:w="0" w:type="dxa"/>
            <w:bottom w:w="0" w:type="dxa"/>
          </w:tblCellMar>
        </w:tblPrEx>
        <w:trPr>
          <w:trHeight w:val="270"/>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Available for sale assets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30,857 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34,761 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2,873 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68,491 </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Total 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99,116 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665,448 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32,023 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796,587 </w:t>
            </w:r>
          </w:p>
        </w:tc>
      </w:tr>
      <w:tr w:rsidR="00A12DCA" w:rsidRPr="00100BF5" w:rsidTr="009C7B67">
        <w:tblPrEx>
          <w:tblCellMar>
            <w:top w:w="0" w:type="dxa"/>
            <w:bottom w:w="0" w:type="dxa"/>
          </w:tblCellMar>
        </w:tblPrEx>
        <w:trPr>
          <w:trHeight w:hRule="exac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Trading portfolio liabilities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(26,155)</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(19,726)</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(6)</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(45,887)</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Financial liabilities designated at fair value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(39)</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(84,822)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(3,136)</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(87,997)</w:t>
            </w:r>
          </w:p>
        </w:tc>
      </w:tr>
      <w:tr w:rsidR="00A12DCA" w:rsidRPr="00100BF5" w:rsidTr="009C7B67">
        <w:tblPrEx>
          <w:tblCellMar>
            <w:top w:w="0" w:type="dxa"/>
            <w:bottom w:w="0" w:type="dxa"/>
          </w:tblCellMar>
        </w:tblPrEx>
        <w:trPr>
          <w:trHeight w:val="270"/>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Derivative financial liabilities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(2,263)</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(517,066)</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(8,581)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(527,910)</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Total 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(28,457)</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(621,614)</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(11,723)</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(661,794)</w:t>
            </w:r>
          </w:p>
        </w:tc>
      </w:tr>
      <w:tr w:rsidR="00A12DCA" w:rsidRPr="00100BF5" w:rsidTr="009C7B67">
        <w:tblPrEx>
          <w:tblCellMar>
            <w:top w:w="0" w:type="dxa"/>
            <w:bottom w:w="0" w:type="dxa"/>
          </w:tblCellMar>
        </w:tblPrEx>
        <w:trPr>
          <w:trHeight w:hRule="exac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r>
      <w:tr w:rsidR="00A12DCA" w:rsidRPr="00100BF5" w:rsidTr="009C7B67">
        <w:tblPrEx>
          <w:tblCellMar>
            <w:top w:w="0" w:type="dxa"/>
            <w:bottom w:w="0" w:type="dxa"/>
          </w:tblCellMar>
        </w:tblPrEx>
        <w:trPr>
          <w:trHeight w:val="255"/>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As at 30.06.11</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Trading portfolio 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53,259 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117,703 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10,837 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181,799 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Financial assets designated at fair value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5,875 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22,304 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10,943 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39,122 </w:t>
            </w:r>
          </w:p>
        </w:tc>
      </w:tr>
      <w:tr w:rsidR="00A12DCA" w:rsidRPr="00100BF5" w:rsidTr="009C7B67">
        <w:tblPrEx>
          <w:tblCellMar>
            <w:top w:w="0" w:type="dxa"/>
            <w:bottom w:w="0" w:type="dxa"/>
          </w:tblCellMar>
        </w:tblPrEx>
        <w:trPr>
          <w:trHeight w:val="270"/>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Derivative financial assets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3,001 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368,690 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8,163 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379,854 </w:t>
            </w:r>
          </w:p>
        </w:tc>
      </w:tr>
      <w:tr w:rsidR="00A12DCA" w:rsidRPr="00100BF5" w:rsidTr="009C7B67">
        <w:tblPrEx>
          <w:tblCellMar>
            <w:top w:w="0" w:type="dxa"/>
            <w:bottom w:w="0" w:type="dxa"/>
          </w:tblCellMar>
        </w:tblPrEx>
        <w:trPr>
          <w:trHeight w:val="270"/>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Available for sale assets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44,945 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34,139 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2,753 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81,837 </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Total 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107,080 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542,836 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32,696 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682,612 </w:t>
            </w:r>
          </w:p>
        </w:tc>
      </w:tr>
      <w:tr w:rsidR="00A12DCA" w:rsidRPr="00100BF5" w:rsidTr="009C7B67">
        <w:tblPrEx>
          <w:tblCellMar>
            <w:top w:w="0" w:type="dxa"/>
            <w:bottom w:w="0" w:type="dxa"/>
          </w:tblCellMar>
        </w:tblPrEx>
        <w:trPr>
          <w:trHeight w:hRule="exac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Trading portfolio liabilities</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(36,919)</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(40,282)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(7)</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(77,208)</w:t>
            </w:r>
          </w:p>
        </w:tc>
      </w:tr>
      <w:tr w:rsidR="00A12DCA" w:rsidRPr="00100BF5" w:rsidTr="009C7B67">
        <w:tblPrEx>
          <w:tblCellMar>
            <w:top w:w="0" w:type="dxa"/>
            <w:bottom w:w="0" w:type="dxa"/>
          </w:tblCellMar>
        </w:tblPrEx>
        <w:trPr>
          <w:trHeight w:val="255"/>
        </w:trPr>
        <w:tc>
          <w:tcPr>
            <w:tcW w:w="516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Financial liabilities designated at fair value</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(100)</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(88,862)</w:t>
            </w:r>
          </w:p>
        </w:tc>
        <w:tc>
          <w:tcPr>
            <w:tcW w:w="10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(3,511)</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(92,473)</w:t>
            </w:r>
          </w:p>
        </w:tc>
      </w:tr>
      <w:tr w:rsidR="00A12DCA" w:rsidRPr="00100BF5" w:rsidTr="009C7B67">
        <w:tblPrEx>
          <w:tblCellMar>
            <w:top w:w="0" w:type="dxa"/>
            <w:bottom w:w="0" w:type="dxa"/>
          </w:tblCellMar>
        </w:tblPrEx>
        <w:trPr>
          <w:trHeight w:val="270"/>
        </w:trPr>
        <w:tc>
          <w:tcPr>
            <w:tcW w:w="516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Derivative financial liabilities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(2,424)</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(358,930)</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(5,182)</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(366,536)</w:t>
            </w:r>
          </w:p>
        </w:tc>
      </w:tr>
      <w:tr w:rsidR="00A12DCA" w:rsidRPr="00100BF5" w:rsidTr="009C7B67">
        <w:tblPrEx>
          <w:tblCellMar>
            <w:top w:w="0" w:type="dxa"/>
            <w:bottom w:w="0" w:type="dxa"/>
          </w:tblCellMar>
        </w:tblPrEx>
        <w:trPr>
          <w:trHeight w:val="270"/>
        </w:trPr>
        <w:tc>
          <w:tcPr>
            <w:tcW w:w="516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Total 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(39,443)</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(488,074)</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(8,700)</w:t>
            </w:r>
          </w:p>
        </w:tc>
        <w:tc>
          <w:tcPr>
            <w:tcW w:w="18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(536,217)</w:t>
            </w:r>
          </w:p>
        </w:tc>
      </w:tr>
    </w:tbl>
    <w:p w:rsidR="00A12DCA" w:rsidRPr="00100BF5" w:rsidRDefault="00A12DCA" w:rsidP="005F437E">
      <w:pPr>
        <w:pStyle w:val="HeadingLevel1-BarcRA"/>
      </w:pPr>
      <w:r w:rsidRPr="00100BF5">
        <w:br w:type="page"/>
      </w:r>
      <w:r w:rsidR="005F437E">
        <w:t>Financial Statement Notes</w:t>
      </w:r>
    </w:p>
    <w:p w:rsidR="00A12DCA" w:rsidRPr="00100BF5" w:rsidRDefault="00A12DCA" w:rsidP="00FB0640">
      <w:pPr>
        <w:pStyle w:val="HeadingLevel1-BarcRA50"/>
        <w:rPr>
          <w:color w:val="auto"/>
        </w:rPr>
      </w:pPr>
      <w:r w:rsidRPr="00100BF5">
        <w:rPr>
          <w:color w:val="auto"/>
        </w:rPr>
        <w:t>11.</w:t>
      </w:r>
      <w:r w:rsidRPr="00100BF5">
        <w:rPr>
          <w:color w:val="auto"/>
        </w:rPr>
        <w:tab/>
        <w:t>Financial Instruments Held at Fair Value (continued)</w:t>
      </w:r>
    </w:p>
    <w:p w:rsidR="00A12DCA" w:rsidRPr="00100BF5" w:rsidRDefault="00A12DCA" w:rsidP="00A12DCA">
      <w:pPr>
        <w:pStyle w:val="HeadingLevel1-BarcRA50"/>
        <w:jc w:val="left"/>
        <w:rPr>
          <w:b w:val="0"/>
          <w:bCs w:val="0"/>
          <w:color w:val="auto"/>
          <w:sz w:val="18"/>
          <w:lang w:val="en-GB"/>
        </w:rPr>
      </w:pPr>
      <w:r w:rsidRPr="00100BF5">
        <w:rPr>
          <w:b w:val="0"/>
          <w:bCs w:val="0"/>
          <w:color w:val="auto"/>
          <w:sz w:val="18"/>
          <w:lang w:val="en-GB"/>
        </w:rPr>
        <w:t>There were no material transfers between Level 1 and Level 2 during the period.</w:t>
      </w:r>
    </w:p>
    <w:p w:rsidR="00A12DCA" w:rsidRPr="00100BF5" w:rsidRDefault="00A12DCA" w:rsidP="00A12DCA">
      <w:pPr>
        <w:pStyle w:val="BodyText-BarcRA78"/>
        <w:jc w:val="left"/>
      </w:pPr>
      <w:r w:rsidRPr="00100BF5">
        <w:t xml:space="preserve">The significant movements in the Level 3 positions during the period ended 30 June 2012 are as follows: </w:t>
      </w:r>
    </w:p>
    <w:p w:rsidR="00A12DCA" w:rsidRPr="00100BF5" w:rsidRDefault="00A12DCA" w:rsidP="00181771">
      <w:pPr>
        <w:pStyle w:val="Level1Bullet-BarcRA03"/>
      </w:pPr>
      <w:r w:rsidRPr="00100BF5">
        <w:t xml:space="preserve">Purchases of £3.7bn primarily comprising £1.7bn in non asset backed debt instruments, £0.6bn in asset backed products, £0.4bn  in commercial real estate loans and £0.1bn in equity products </w:t>
      </w:r>
    </w:p>
    <w:p w:rsidR="00A12DCA" w:rsidRPr="00100BF5" w:rsidRDefault="00A12DCA" w:rsidP="00181771">
      <w:pPr>
        <w:pStyle w:val="Level1Bullet-BarcRA03"/>
      </w:pPr>
      <w:r w:rsidRPr="00100BF5">
        <w:t>Sales of £4.3bn primarily comprising £1.4bn of non asset backed debt instruments, £0.9bn in private equity, £0</w:t>
      </w:r>
      <w:r w:rsidR="008B1464">
        <w:rPr>
          <w:lang w:val="en-GB"/>
        </w:rPr>
        <w:t>.</w:t>
      </w:r>
      <w:r w:rsidRPr="00100BF5">
        <w:t>7bn of asset backed products and £0.1bn of commercial real estate loans</w:t>
      </w:r>
    </w:p>
    <w:p w:rsidR="00A12DCA" w:rsidRPr="00100BF5" w:rsidRDefault="00A12DCA" w:rsidP="00181771">
      <w:pPr>
        <w:pStyle w:val="Level1Bullet-BarcRA03"/>
      </w:pPr>
      <w:r w:rsidRPr="00100BF5">
        <w:t>Settlements of £1bn including £0.3bn on commercial real estate loans, £0.3bn on other loans, £0.2bn on non asset backed debt instruments, £0.1bn on FX products and £0.1bn on interest rate products</w:t>
      </w:r>
    </w:p>
    <w:p w:rsidR="00A12DCA" w:rsidRPr="00100BF5" w:rsidRDefault="00A12DCA" w:rsidP="00181771">
      <w:pPr>
        <w:pStyle w:val="Level1Bullet-BarcRA03"/>
      </w:pPr>
      <w:r w:rsidRPr="00100BF5">
        <w:t>Net transfers out of £0.4bn, primarily comprising transfers of credit products, interest rate products and non asset backed debt instruments, for which fair values have become more observable</w:t>
      </w:r>
    </w:p>
    <w:p w:rsidR="00A12DCA" w:rsidRPr="00100BF5" w:rsidRDefault="00A12DCA" w:rsidP="00A12DCA">
      <w:pPr>
        <w:pStyle w:val="Level1Bullet-BarcRA400"/>
        <w:numPr>
          <w:ilvl w:val="0"/>
          <w:numId w:val="0"/>
        </w:numPr>
        <w:jc w:val="left"/>
      </w:pPr>
      <w:r w:rsidRPr="00100BF5">
        <w:t>Net losses on the fair value of Level 3 assets recognised in the income statement totalled £0.6bn (</w:t>
      </w:r>
      <w:r w:rsidRPr="00100BF5">
        <w:rPr>
          <w:lang w:val="en-US"/>
        </w:rPr>
        <w:t xml:space="preserve">30 June </w:t>
      </w:r>
      <w:r w:rsidRPr="00100BF5">
        <w:t xml:space="preserve">2011: </w:t>
      </w:r>
      <w:r w:rsidRPr="00100BF5">
        <w:rPr>
          <w:lang w:val="en-GB"/>
        </w:rPr>
        <w:t xml:space="preserve">loss of </w:t>
      </w:r>
      <w:r w:rsidRPr="00100BF5">
        <w:t>£0.</w:t>
      </w:r>
      <w:r w:rsidRPr="00100BF5">
        <w:rPr>
          <w:lang w:val="en-GB"/>
        </w:rPr>
        <w:t>3</w:t>
      </w:r>
      <w:r w:rsidRPr="00100BF5">
        <w:t xml:space="preserve">bn)  </w:t>
      </w:r>
    </w:p>
    <w:p w:rsidR="00A12DCA" w:rsidRPr="00100BF5" w:rsidRDefault="00A12DCA" w:rsidP="00A12DCA">
      <w:pPr>
        <w:pStyle w:val="HeadingLevel2-BarcRA21"/>
        <w:rPr>
          <w:color w:val="auto"/>
        </w:rPr>
      </w:pPr>
      <w:r w:rsidRPr="00100BF5">
        <w:rPr>
          <w:color w:val="auto"/>
        </w:rPr>
        <w:t>Unrecognised gains as a result of the use of valuation models using unobservable inputs</w:t>
      </w:r>
    </w:p>
    <w:p w:rsidR="00A12DCA" w:rsidRPr="00100BF5" w:rsidRDefault="00A12DCA" w:rsidP="00A12DCA">
      <w:pPr>
        <w:pStyle w:val="BodyText-BarcRA79"/>
        <w:spacing w:before="120"/>
      </w:pPr>
      <w:r w:rsidRPr="00100BF5">
        <w:t>The amount that has yet to be recognised in income that relates to the difference between the transaction price (the fair value at initial recognition) and the amount that would have arisen had valuation models using unobservable inputs been used on initial recognition, less amounts subsequently recognised, was as follows:</w:t>
      </w:r>
    </w:p>
    <w:p w:rsidR="00A12DCA" w:rsidRPr="00100BF5" w:rsidRDefault="00A12DCA"/>
    <w:tbl>
      <w:tblPr>
        <w:tblW w:w="0" w:type="auto"/>
        <w:tblLayout w:type="fixed"/>
        <w:tblLook w:val="0000" w:firstRow="0" w:lastRow="0" w:firstColumn="0" w:lastColumn="0" w:noHBand="0" w:noVBand="0"/>
      </w:tblPr>
      <w:tblGrid>
        <w:gridCol w:w="6270"/>
        <w:gridCol w:w="1125"/>
        <w:gridCol w:w="1125"/>
        <w:gridCol w:w="1125"/>
      </w:tblGrid>
      <w:tr w:rsidR="00A12DCA" w:rsidRPr="00100BF5" w:rsidTr="009C7B67">
        <w:tblPrEx>
          <w:tblCellMar>
            <w:top w:w="0" w:type="dxa"/>
            <w:bottom w:w="0" w:type="dxa"/>
          </w:tblCellMar>
        </w:tblPrEx>
        <w:trPr>
          <w:trHeight w:val="510"/>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b/>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Half Year Ended</w:t>
            </w:r>
          </w:p>
        </w:tc>
      </w:tr>
      <w:tr w:rsidR="00A12DCA" w:rsidRPr="00100BF5" w:rsidTr="009C7B67">
        <w:tblPrEx>
          <w:tblCellMar>
            <w:top w:w="0" w:type="dxa"/>
            <w:bottom w:w="0" w:type="dxa"/>
          </w:tblCellMar>
        </w:tblPrEx>
        <w:trPr>
          <w:trHeight w:val="255"/>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30.06.11</w:t>
            </w:r>
          </w:p>
        </w:tc>
      </w:tr>
      <w:tr w:rsidR="00A12DCA" w:rsidRPr="00100BF5" w:rsidTr="009C7B67">
        <w:tblPrEx>
          <w:tblCellMar>
            <w:top w:w="0" w:type="dxa"/>
            <w:bottom w:w="0" w:type="dxa"/>
          </w:tblCellMar>
        </w:tblPrEx>
        <w:trPr>
          <w:trHeight w:val="255"/>
        </w:trPr>
        <w:tc>
          <w:tcPr>
            <w:tcW w:w="62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r>
      <w:tr w:rsidR="00A12DCA" w:rsidRPr="00100BF5" w:rsidTr="009C7B67">
        <w:tblPrEx>
          <w:tblCellMar>
            <w:top w:w="0" w:type="dxa"/>
            <w:bottom w:w="0" w:type="dxa"/>
          </w:tblCellMar>
        </w:tblPrEx>
        <w:trPr>
          <w:trHeight w:val="255"/>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Opening balance</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117 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146 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137 </w:t>
            </w:r>
          </w:p>
        </w:tc>
      </w:tr>
      <w:tr w:rsidR="00A12DCA" w:rsidRPr="00100BF5" w:rsidTr="009C7B67">
        <w:tblPrEx>
          <w:tblCellMar>
            <w:top w:w="0" w:type="dxa"/>
            <w:bottom w:w="0" w:type="dxa"/>
          </w:tblCellMar>
        </w:tblPrEx>
        <w:trPr>
          <w:trHeight w:val="255"/>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 xml:space="preserve">Additions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68 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25 </w:t>
            </w:r>
          </w:p>
        </w:tc>
      </w:tr>
      <w:tr w:rsidR="00A12DCA" w:rsidRPr="00100BF5" w:rsidTr="009C7B67">
        <w:tblPrEx>
          <w:tblCellMar>
            <w:top w:w="0" w:type="dxa"/>
            <w:bottom w:w="0" w:type="dxa"/>
          </w:tblCellMar>
        </w:tblPrEx>
        <w:trPr>
          <w:trHeight w:val="255"/>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Amortisation and releases</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(8)</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(97)</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(16)</w:t>
            </w:r>
          </w:p>
        </w:tc>
      </w:tr>
      <w:tr w:rsidR="00A12DCA" w:rsidRPr="00100BF5" w:rsidTr="009C7B67">
        <w:tblPrEx>
          <w:tblCellMar>
            <w:top w:w="0" w:type="dxa"/>
            <w:bottom w:w="0" w:type="dxa"/>
          </w:tblCellMar>
        </w:tblPrEx>
        <w:trPr>
          <w:trHeight w:val="27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Closing balance</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144 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117 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146 </w:t>
            </w:r>
          </w:p>
        </w:tc>
      </w:tr>
    </w:tbl>
    <w:p w:rsidR="00A12DCA" w:rsidRPr="00100BF5" w:rsidRDefault="00A12DCA"/>
    <w:p w:rsidR="00A12DCA" w:rsidRPr="00100BF5" w:rsidRDefault="00A12DCA" w:rsidP="00A12DCA">
      <w:pPr>
        <w:pStyle w:val="BodyText-BarcRA800"/>
      </w:pPr>
      <w:r w:rsidRPr="00100BF5">
        <w:t>As part of our risk management processes stress tests on the significant unobservable parameters are applied to generate a range of potentially possible alternative valuations. The results of the most recent stress test showed a potential to increase the fair values by up to £1.5bn (2011: £2.0bn) or to decrease the fair values by up to £1.6bn (2011: £2.1bn) with substantially all the potential effect being recorded in the income statement rather than equity. It is not po</w:t>
      </w:r>
      <w:r w:rsidR="003B083F">
        <w:t>ssible to reliably stress the £1.9</w:t>
      </w:r>
      <w:r w:rsidRPr="00100BF5">
        <w:t>bn receivable included within Level 3 assets arising from the Lehman acquisition since its value is dependent in large part on the outcome of legal proceedings. Furt</w:t>
      </w:r>
      <w:r w:rsidR="00F26CB3">
        <w:t>her detail is provided in note 19</w:t>
      </w:r>
      <w:r w:rsidRPr="00100BF5">
        <w:t xml:space="preserve">. </w:t>
      </w:r>
    </w:p>
    <w:p w:rsidR="00A12DCA" w:rsidRPr="00100BF5" w:rsidRDefault="00A12DCA" w:rsidP="00A12DCA">
      <w:pPr>
        <w:pStyle w:val="BodyText-BarcRA800"/>
      </w:pPr>
      <w:r w:rsidRPr="00100BF5">
        <w:t xml:space="preserve">The stresses applied take account of the nature of valuation techniques used, as well as the availability and reliability of observable proxy and historical data. In all cases, an assessment is made to determine the suitability of available data. The sensitivity methodologies are based on a range, standard deviation or spread data of a reliable reference source or a scenario based on alternative market views. The level of shift or scenarios applied is considered for each product and varies according to the quality of the data and variability of underlying markets. </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t>Financial Statement Notes</w:t>
      </w:r>
    </w:p>
    <w:tbl>
      <w:tblPr>
        <w:tblW w:w="0" w:type="auto"/>
        <w:tblLayout w:type="fixed"/>
        <w:tblLook w:val="0000" w:firstRow="0" w:lastRow="0" w:firstColumn="0" w:lastColumn="0" w:noHBand="0" w:noVBand="0"/>
      </w:tblPr>
      <w:tblGrid>
        <w:gridCol w:w="6270"/>
        <w:gridCol w:w="1125"/>
        <w:gridCol w:w="1125"/>
        <w:gridCol w:w="1125"/>
      </w:tblGrid>
      <w:tr w:rsidR="00A12DCA" w:rsidRPr="00100BF5" w:rsidTr="005F437E">
        <w:tblPrEx>
          <w:tblCellMar>
            <w:top w:w="0" w:type="dxa"/>
            <w:bottom w:w="0" w:type="dxa"/>
          </w:tblCellMar>
        </w:tblPrEx>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rsidP="00FB0640">
            <w:r w:rsidRPr="00100BF5">
              <w:rPr>
                <w:b/>
                <w:sz w:val="24"/>
              </w:rPr>
              <w:t>12.    Goodwill and Intangible Assets</w:t>
            </w:r>
          </w:p>
        </w:tc>
      </w:tr>
      <w:tr w:rsidR="00A12DCA" w:rsidRPr="00100BF5" w:rsidTr="009C7B67">
        <w:tblPrEx>
          <w:tblCellMar>
            <w:top w:w="0" w:type="dxa"/>
            <w:bottom w:w="0" w:type="dxa"/>
          </w:tblCellMar>
        </w:tblPrEx>
        <w:trPr>
          <w:trHeight w:val="255"/>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r>
      <w:tr w:rsidR="00A12DCA" w:rsidRPr="00100BF5" w:rsidTr="009C7B67">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30.06.11</w:t>
            </w:r>
          </w:p>
        </w:tc>
      </w:tr>
      <w:tr w:rsidR="00A12DCA" w:rsidRPr="00100BF5" w:rsidTr="009C7B67">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Goodwill</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5,295 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5,305 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6,107 </w:t>
            </w:r>
          </w:p>
        </w:tc>
      </w:tr>
      <w:tr w:rsidR="00A12DCA" w:rsidRPr="00100BF5" w:rsidTr="009C7B67">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C40BE">
            <w:pPr>
              <w:rPr>
                <w:sz w:val="16"/>
              </w:rPr>
            </w:pPr>
            <w:r w:rsidRPr="00100BF5">
              <w:rPr>
                <w:sz w:val="16"/>
              </w:rPr>
              <w:t>I</w:t>
            </w:r>
            <w:r w:rsidR="00A12DCA" w:rsidRPr="00100BF5">
              <w:rPr>
                <w:sz w:val="16"/>
              </w:rPr>
              <w:t>ntangible assets</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2,566 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2,541 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2,434 </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7,861 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7,846 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8,541 </w:t>
            </w:r>
          </w:p>
        </w:tc>
      </w:tr>
    </w:tbl>
    <w:p w:rsidR="00A12DCA" w:rsidRPr="00100BF5" w:rsidRDefault="00A12DCA"/>
    <w:p w:rsidR="00A12DCA" w:rsidRPr="00100BF5" w:rsidRDefault="00A12DCA" w:rsidP="00A12DCA">
      <w:pPr>
        <w:pStyle w:val="BodyText-BarcRA81"/>
      </w:pPr>
      <w:r w:rsidRPr="00100BF5">
        <w:t xml:space="preserve">Goodwill principally comprised £3,144m held in UK RBB (31 December 2011: £3,145), £922m in Africa RBB (31 December 2011: £947m), £529m in Barclaycard (31 December 2011: £505m) and £391m in Wealth and Investment Management (31 December 2011: £391m). </w:t>
      </w:r>
    </w:p>
    <w:p w:rsidR="00A12DCA" w:rsidRPr="00100BF5" w:rsidRDefault="00A12DCA" w:rsidP="00A12DCA">
      <w:pPr>
        <w:pStyle w:val="BodyText-BarcRA81"/>
      </w:pPr>
      <w:r w:rsidRPr="00100BF5">
        <w:t>Goodwill is reviewed for indicators of impairment quarterly and tested for impairment on an annual basis by comparing the carrying value to its recoverable amount. There has been no goodwill impairment during 2012. Impairment charges of £597m were recognised during 2011 against goodwill in FirstPlus and Spain.</w:t>
      </w:r>
    </w:p>
    <w:p w:rsidR="00A12DCA" w:rsidRPr="00100BF5" w:rsidRDefault="00A12DCA">
      <w:pPr>
        <w:sectPr w:rsidR="00A12DCA" w:rsidRPr="00100BF5" w:rsidSect="00E100EB">
          <w:pgSz w:w="11905" w:h="16837"/>
          <w:pgMar w:top="851" w:right="1134" w:bottom="567" w:left="1134" w:header="851" w:footer="567" w:gutter="0"/>
          <w:cols w:space="708"/>
        </w:sectPr>
      </w:pPr>
    </w:p>
    <w:p w:rsidR="00A12DCA" w:rsidRPr="00100BF5" w:rsidRDefault="00A12DCA"/>
    <w:tbl>
      <w:tblPr>
        <w:tblW w:w="0" w:type="auto"/>
        <w:tblLayout w:type="fixed"/>
        <w:tblLook w:val="0000" w:firstRow="0" w:lastRow="0" w:firstColumn="0" w:lastColumn="0" w:noHBand="0" w:noVBand="0"/>
      </w:tblPr>
      <w:tblGrid>
        <w:gridCol w:w="6270"/>
        <w:gridCol w:w="1125"/>
        <w:gridCol w:w="1125"/>
        <w:gridCol w:w="1125"/>
      </w:tblGrid>
      <w:tr w:rsidR="00A12DCA" w:rsidRPr="00100BF5" w:rsidTr="00A12DCA">
        <w:tblPrEx>
          <w:tblCellMar>
            <w:top w:w="0" w:type="dxa"/>
            <w:bottom w:w="0" w:type="dxa"/>
          </w:tblCellMar>
        </w:tblPrEx>
        <w:trPr>
          <w:trHeight w:val="240"/>
        </w:trPr>
        <w:tc>
          <w:tcPr>
            <w:tcW w:w="6270" w:type="dxa"/>
            <w:gridSpan w:val="4"/>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b/>
                <w:sz w:val="24"/>
              </w:rPr>
              <w:t>13.    Subordinated Liabilities</w:t>
            </w:r>
          </w:p>
        </w:tc>
      </w:tr>
      <w:tr w:rsidR="00A12DCA" w:rsidRPr="00100BF5" w:rsidTr="009C7B67">
        <w:tblPrEx>
          <w:tblCellMar>
            <w:top w:w="0" w:type="dxa"/>
            <w:bottom w:w="0" w:type="dxa"/>
          </w:tblCellMar>
        </w:tblPrEx>
        <w:trPr>
          <w:trHeight w:val="255"/>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r>
      <w:tr w:rsidR="00A12DCA" w:rsidRPr="00100BF5" w:rsidTr="009C7B67">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30.06.11</w:t>
            </w:r>
          </w:p>
        </w:tc>
      </w:tr>
      <w:tr w:rsidR="00A12DCA" w:rsidRPr="00100BF5" w:rsidTr="009C7B67">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£m </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Opening balance as at 1 January</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24,870 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28,499 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28,499 </w:t>
            </w:r>
          </w:p>
        </w:tc>
      </w:tr>
      <w:tr w:rsidR="00A12DCA" w:rsidRPr="00100BF5" w:rsidTr="009C7B67">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Issuances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880 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880 </w:t>
            </w:r>
          </w:p>
        </w:tc>
      </w:tr>
      <w:tr w:rsidR="00A12DCA" w:rsidRPr="00100BF5" w:rsidTr="009C7B67">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Redemptions</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(2,153)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(5,116)</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(2,434)</w:t>
            </w:r>
          </w:p>
        </w:tc>
      </w:tr>
      <w:tr w:rsidR="00A12DCA" w:rsidRPr="00100BF5" w:rsidTr="009C7B67">
        <w:tblPrEx>
          <w:tblCellMar>
            <w:top w:w="0" w:type="dxa"/>
            <w:bottom w:w="0" w:type="dxa"/>
          </w:tblCellMar>
        </w:tblPrEx>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Other</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(628)</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607 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(159)</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 dated and undated subordinated liabilities as at period end</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22,089 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24,870 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26,786 </w:t>
            </w:r>
          </w:p>
        </w:tc>
      </w:tr>
    </w:tbl>
    <w:p w:rsidR="00A12DCA" w:rsidRPr="00100BF5" w:rsidRDefault="00A12DCA"/>
    <w:p w:rsidR="00A12DCA" w:rsidRPr="00100BF5" w:rsidRDefault="00A12DCA" w:rsidP="00A12DCA">
      <w:pPr>
        <w:pStyle w:val="BodyText-BarcRA82"/>
      </w:pPr>
      <w:r w:rsidRPr="00100BF5">
        <w:t>During the six months ended 30 June 2012 redemptions comprised: Callable Floating Rate Subordinated Notes 2017 ($1,500m) of £946m and (€1,500m) of £1,200m and other redemptions of £7m. There were no new issuances during 2012.</w:t>
      </w:r>
    </w:p>
    <w:p w:rsidR="00A12DCA" w:rsidRPr="00100BF5" w:rsidRDefault="00A12DCA">
      <w:pPr>
        <w:sectPr w:rsidR="00A12DCA" w:rsidRPr="00100BF5" w:rsidSect="00E100EB">
          <w:type w:val="continuous"/>
          <w:pgSz w:w="11905" w:h="16837"/>
          <w:pgMar w:top="851" w:right="1134" w:bottom="567" w:left="1134" w:header="851" w:footer="567" w:gutter="0"/>
          <w:cols w:space="708"/>
        </w:sectPr>
      </w:pPr>
    </w:p>
    <w:p w:rsidR="00A12DCA" w:rsidRPr="00100BF5" w:rsidRDefault="00A12DCA"/>
    <w:tbl>
      <w:tblPr>
        <w:tblW w:w="0" w:type="auto"/>
        <w:tblLayout w:type="fixed"/>
        <w:tblLook w:val="0000" w:firstRow="0" w:lastRow="0" w:firstColumn="0" w:lastColumn="0" w:noHBand="0" w:noVBand="0"/>
      </w:tblPr>
      <w:tblGrid>
        <w:gridCol w:w="6273"/>
        <w:gridCol w:w="1134"/>
        <w:gridCol w:w="1134"/>
        <w:gridCol w:w="1134"/>
      </w:tblGrid>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r w:rsidRPr="00100BF5">
              <w:rPr>
                <w:b/>
                <w:sz w:val="24"/>
              </w:rPr>
              <w:t>14.       Provisions</w:t>
            </w:r>
          </w:p>
        </w:tc>
        <w:tc>
          <w:tcPr>
            <w:tcW w:w="1134"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24"/>
              </w:rPr>
            </w:pPr>
            <w:r w:rsidRPr="00100BF5">
              <w:rPr>
                <w:rFonts w:ascii="Barclays Sans" w:eastAsia="Barclays Sans" w:hAnsi="Barclays Sans" w:cs="Barclays Sans"/>
                <w:sz w:val="16"/>
              </w:rPr>
              <w:t xml:space="preserve"> </w:t>
            </w:r>
          </w:p>
        </w:tc>
        <w:tc>
          <w:tcPr>
            <w:tcW w:w="1134"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c>
          <w:tcPr>
            <w:tcW w:w="1134" w:type="dxa"/>
            <w:tcBorders>
              <w:top w:val="nil"/>
              <w:left w:val="nil"/>
              <w:bottom w:val="nil"/>
              <w:right w:val="nil"/>
            </w:tcBorders>
            <w:shd w:val="clear" w:color="auto" w:fill="FFFFFF"/>
            <w:tcMar>
              <w:left w:w="36" w:type="dxa"/>
              <w:right w:w="36" w:type="dxa"/>
            </w:tcMar>
            <w:vAlign w:val="bottom"/>
          </w:tcPr>
          <w:p w:rsidR="00A12DCA" w:rsidRPr="00100BF5" w:rsidRDefault="00A12DCA">
            <w:pPr>
              <w:rPr>
                <w:rFonts w:ascii="Barclays Sans" w:eastAsia="Barclays Sans" w:hAnsi="Barclays Sans" w:cs="Barclays Sans"/>
                <w:sz w:val="16"/>
              </w:rPr>
            </w:pPr>
            <w:r w:rsidRPr="00100BF5">
              <w:rPr>
                <w:rFonts w:ascii="Barclays Sans" w:eastAsia="Barclays Sans" w:hAnsi="Barclays Sans" w:cs="Barclays Sans"/>
                <w:sz w:val="16"/>
              </w:rPr>
              <w:t xml:space="preserve"> </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rFonts w:ascii="Barclays Sans" w:eastAsia="Barclays Sans" w:hAnsi="Barclays Sans" w:cs="Barclays Sans"/>
                <w:sz w:val="16"/>
              </w:rPr>
            </w:pPr>
            <w:r w:rsidRPr="00100BF5">
              <w:rPr>
                <w:sz w:val="16"/>
              </w:rPr>
              <w:t xml:space="preserve">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As at</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As at</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30.06.12</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r>
      <w:tr w:rsidR="00A12DCA" w:rsidRPr="00100BF5" w:rsidTr="00D40FBE">
        <w:tblPrEx>
          <w:tblCellMar>
            <w:top w:w="0" w:type="dxa"/>
            <w:bottom w:w="0" w:type="dxa"/>
          </w:tblCellMar>
        </w:tblPrEx>
        <w:trPr>
          <w:trHeight w:val="240"/>
        </w:trPr>
        <w:tc>
          <w:tcPr>
            <w:tcW w:w="6273"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1134"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34"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c>
          <w:tcPr>
            <w:tcW w:w="1134"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£m</w:t>
            </w:r>
          </w:p>
        </w:tc>
      </w:tr>
      <w:tr w:rsidR="00A12DCA" w:rsidRPr="00100BF5" w:rsidTr="00D40FBE">
        <w:tblPrEx>
          <w:tblCellMar>
            <w:top w:w="0" w:type="dxa"/>
            <w:bottom w:w="0" w:type="dxa"/>
          </w:tblCellMar>
        </w:tblPrEx>
        <w:trPr>
          <w:trHeight w:val="240"/>
        </w:trPr>
        <w:tc>
          <w:tcPr>
            <w:tcW w:w="6273"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Redundancy and restructuring</w:t>
            </w:r>
          </w:p>
        </w:tc>
        <w:tc>
          <w:tcPr>
            <w:tcW w:w="1134"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163 </w:t>
            </w:r>
          </w:p>
        </w:tc>
        <w:tc>
          <w:tcPr>
            <w:tcW w:w="1134"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216 </w:t>
            </w:r>
          </w:p>
        </w:tc>
        <w:tc>
          <w:tcPr>
            <w:tcW w:w="1134"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317 </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Undrawn contractually committed facilities and guarantees</w:t>
            </w:r>
          </w:p>
        </w:tc>
        <w:tc>
          <w:tcPr>
            <w:tcW w:w="1134"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222 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230 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219 </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Onerous contracts</w:t>
            </w:r>
          </w:p>
        </w:tc>
        <w:tc>
          <w:tcPr>
            <w:tcW w:w="1134"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107 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116 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67 </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Payment Protection Insurance redress</w:t>
            </w:r>
          </w:p>
        </w:tc>
        <w:tc>
          <w:tcPr>
            <w:tcW w:w="1134"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406 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565 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998 </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Interest rate hedging product redress</w:t>
            </w:r>
          </w:p>
        </w:tc>
        <w:tc>
          <w:tcPr>
            <w:tcW w:w="1134" w:type="dxa"/>
            <w:tcBorders>
              <w:top w:val="nil"/>
              <w:left w:val="nil"/>
              <w:bottom w:val="nil"/>
              <w:right w:val="nil"/>
            </w:tcBorders>
            <w:shd w:val="clear" w:color="auto" w:fill="EAEAEA"/>
            <w:tcMar>
              <w:left w:w="36" w:type="dxa"/>
              <w:right w:w="36" w:type="dxa"/>
            </w:tcMar>
            <w:vAlign w:val="center"/>
          </w:tcPr>
          <w:p w:rsidR="00A12DCA" w:rsidRPr="00100BF5" w:rsidRDefault="00E51420">
            <w:pPr>
              <w:jc w:val="right"/>
              <w:rPr>
                <w:sz w:val="16"/>
              </w:rPr>
            </w:pPr>
            <w:r w:rsidRPr="00100BF5">
              <w:rPr>
                <w:sz w:val="16"/>
              </w:rPr>
              <w:t>4</w:t>
            </w:r>
            <w:r w:rsidR="00A12DCA" w:rsidRPr="00100BF5">
              <w:rPr>
                <w:sz w:val="16"/>
              </w:rPr>
              <w:t>50 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w:t>
            </w:r>
          </w:p>
        </w:tc>
      </w:tr>
      <w:tr w:rsidR="00A12DCA" w:rsidRPr="00100BF5" w:rsidTr="00D40FBE">
        <w:tblPrEx>
          <w:tblCellMar>
            <w:top w:w="0" w:type="dxa"/>
            <w:bottom w:w="0" w:type="dxa"/>
          </w:tblCellMar>
        </w:tblPrEx>
        <w:trPr>
          <w:trHeight w:val="240"/>
        </w:trPr>
        <w:tc>
          <w:tcPr>
            <w:tcW w:w="6273"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Litigation</w:t>
            </w:r>
          </w:p>
        </w:tc>
        <w:tc>
          <w:tcPr>
            <w:tcW w:w="1134"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187 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140 </w:t>
            </w:r>
          </w:p>
        </w:tc>
        <w:tc>
          <w:tcPr>
            <w:tcW w:w="1134"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117 </w:t>
            </w:r>
          </w:p>
        </w:tc>
      </w:tr>
      <w:tr w:rsidR="00A12DCA" w:rsidRPr="00100BF5" w:rsidTr="00D40FBE">
        <w:tblPrEx>
          <w:tblCellMar>
            <w:top w:w="0" w:type="dxa"/>
            <w:bottom w:w="0" w:type="dxa"/>
          </w:tblCellMar>
        </w:tblPrEx>
        <w:trPr>
          <w:trHeight w:val="240"/>
        </w:trPr>
        <w:tc>
          <w:tcPr>
            <w:tcW w:w="6273"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rPr>
            </w:pPr>
            <w:r w:rsidRPr="00100BF5">
              <w:rPr>
                <w:sz w:val="16"/>
              </w:rPr>
              <w:t>Sundry provisions</w:t>
            </w:r>
          </w:p>
        </w:tc>
        <w:tc>
          <w:tcPr>
            <w:tcW w:w="1134"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316 </w:t>
            </w:r>
          </w:p>
        </w:tc>
        <w:tc>
          <w:tcPr>
            <w:tcW w:w="1134"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262 </w:t>
            </w:r>
          </w:p>
        </w:tc>
        <w:tc>
          <w:tcPr>
            <w:tcW w:w="1134"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356 </w:t>
            </w:r>
          </w:p>
        </w:tc>
      </w:tr>
      <w:tr w:rsidR="00A12DCA" w:rsidRPr="00100BF5" w:rsidTr="00D40FBE">
        <w:tblPrEx>
          <w:tblCellMar>
            <w:top w:w="0" w:type="dxa"/>
            <w:bottom w:w="0" w:type="dxa"/>
          </w:tblCellMar>
        </w:tblPrEx>
        <w:trPr>
          <w:trHeight w:val="240"/>
        </w:trPr>
        <w:tc>
          <w:tcPr>
            <w:tcW w:w="6273"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b/>
                <w:sz w:val="16"/>
              </w:rPr>
              <w:t>Total</w:t>
            </w:r>
          </w:p>
        </w:tc>
        <w:tc>
          <w:tcPr>
            <w:tcW w:w="1134"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E51420">
            <w:pPr>
              <w:jc w:val="right"/>
              <w:rPr>
                <w:b/>
                <w:sz w:val="16"/>
              </w:rPr>
            </w:pPr>
            <w:r w:rsidRPr="00100BF5">
              <w:rPr>
                <w:b/>
                <w:sz w:val="16"/>
              </w:rPr>
              <w:t>1,8</w:t>
            </w:r>
            <w:r w:rsidR="00A12DCA" w:rsidRPr="00100BF5">
              <w:rPr>
                <w:b/>
                <w:sz w:val="16"/>
              </w:rPr>
              <w:t>51 </w:t>
            </w:r>
          </w:p>
        </w:tc>
        <w:tc>
          <w:tcPr>
            <w:tcW w:w="1134"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1,529 </w:t>
            </w:r>
          </w:p>
        </w:tc>
        <w:tc>
          <w:tcPr>
            <w:tcW w:w="1134"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2,074 </w:t>
            </w:r>
          </w:p>
        </w:tc>
      </w:tr>
    </w:tbl>
    <w:p w:rsidR="00A12DCA" w:rsidRPr="00100BF5" w:rsidRDefault="00A12DCA"/>
    <w:p w:rsidR="00A12DCA" w:rsidRPr="00100BF5" w:rsidRDefault="00A12DCA" w:rsidP="00A12DCA">
      <w:pPr>
        <w:pStyle w:val="BodyText-BarcRA89"/>
        <w:rPr>
          <w:b/>
        </w:rPr>
      </w:pPr>
      <w:r w:rsidRPr="00100BF5">
        <w:rPr>
          <w:b/>
        </w:rPr>
        <w:t>Payment protection insurance redress</w:t>
      </w:r>
    </w:p>
    <w:p w:rsidR="00A12DCA" w:rsidRPr="00100BF5" w:rsidRDefault="00A12DCA" w:rsidP="00A12DCA">
      <w:pPr>
        <w:pStyle w:val="BodyText-BarcRA89"/>
        <w:rPr>
          <w:sz w:val="18"/>
          <w:szCs w:val="18"/>
        </w:rPr>
      </w:pPr>
      <w:r w:rsidRPr="00100BF5">
        <w:rPr>
          <w:sz w:val="18"/>
          <w:szCs w:val="18"/>
        </w:rPr>
        <w:t>Following the conclusion of the Judicial Review, a provision for PPI redres</w:t>
      </w:r>
      <w:r w:rsidR="00D6381B">
        <w:rPr>
          <w:sz w:val="18"/>
          <w:szCs w:val="18"/>
        </w:rPr>
        <w:t xml:space="preserve">s of £1bn was raised in Q2 </w:t>
      </w:r>
      <w:r w:rsidRPr="00100BF5">
        <w:rPr>
          <w:sz w:val="18"/>
          <w:szCs w:val="18"/>
        </w:rPr>
        <w:t>11 based on FSA guidelines and industry experience in resolving such claims. In early 2012 Barclays observed an increase in PPI claim volumes and consequently, a furt</w:t>
      </w:r>
      <w:r w:rsidR="00D6381B">
        <w:rPr>
          <w:sz w:val="18"/>
          <w:szCs w:val="18"/>
        </w:rPr>
        <w:t xml:space="preserve">her £0.3bn was provided in Q1 </w:t>
      </w:r>
      <w:r w:rsidRPr="00100BF5">
        <w:rPr>
          <w:sz w:val="18"/>
          <w:szCs w:val="18"/>
        </w:rPr>
        <w:t xml:space="preserve">12.  As of 30 June 2012, £0.9bn of the total £1.3bn had been utilised leaving a residual provision of £0.4bn.  </w:t>
      </w:r>
    </w:p>
    <w:p w:rsidR="00A12DCA" w:rsidRPr="00100BF5" w:rsidRDefault="00A12DCA" w:rsidP="00A12DCA">
      <w:pPr>
        <w:pStyle w:val="BodyText-BarcRA89"/>
        <w:rPr>
          <w:sz w:val="18"/>
          <w:szCs w:val="18"/>
        </w:rPr>
      </w:pPr>
      <w:r w:rsidRPr="00100BF5">
        <w:rPr>
          <w:sz w:val="18"/>
          <w:szCs w:val="18"/>
        </w:rPr>
        <w:t>As previously disclosed, the provision calculations are based on a number of assumptions, many of which remain subjective. The most significant assumption continues to be customer claims volumes, which remain unpredictable, although have recently been trending downwards.  Based upon the review of experience to date, the remaining provision is considered the best estimate to cover expected future settlements. It is possible the eventual outcome may differ from the current management estimates.</w:t>
      </w:r>
    </w:p>
    <w:p w:rsidR="00CF29F5" w:rsidRPr="00100BF5" w:rsidRDefault="00CF29F5" w:rsidP="00A12DCA">
      <w:pPr>
        <w:pStyle w:val="BodyText-BarcRA89"/>
        <w:rPr>
          <w:sz w:val="18"/>
          <w:szCs w:val="18"/>
        </w:rPr>
      </w:pPr>
    </w:p>
    <w:p w:rsidR="00E51420" w:rsidRPr="00100BF5" w:rsidRDefault="00E51420" w:rsidP="00A12DCA">
      <w:pPr>
        <w:pStyle w:val="BodyText-BarcRA89"/>
        <w:rPr>
          <w:b/>
        </w:rPr>
      </w:pPr>
    </w:p>
    <w:p w:rsidR="00351861" w:rsidRDefault="00351861" w:rsidP="00351861">
      <w:pPr>
        <w:pStyle w:val="HeadingLevel1-BarcRA"/>
      </w:pPr>
      <w:r>
        <w:rPr>
          <w:b w:val="0"/>
        </w:rPr>
        <w:br w:type="page"/>
      </w:r>
      <w:r>
        <w:t>Financial Statement Notes</w:t>
      </w:r>
    </w:p>
    <w:p w:rsidR="00E51420" w:rsidRPr="00100BF5" w:rsidRDefault="00E51420" w:rsidP="00FB0640">
      <w:pPr>
        <w:pStyle w:val="BodyText-BarcRA89"/>
        <w:spacing w:before="0"/>
        <w:rPr>
          <w:b/>
        </w:rPr>
      </w:pPr>
      <w:r w:rsidRPr="00100BF5">
        <w:rPr>
          <w:b/>
          <w:sz w:val="24"/>
        </w:rPr>
        <w:t>14.       Provisions (continued)</w:t>
      </w:r>
    </w:p>
    <w:p w:rsidR="00A12DCA" w:rsidRPr="00100BF5" w:rsidRDefault="00A12DCA" w:rsidP="00A12DCA">
      <w:pPr>
        <w:pStyle w:val="BodyText-BarcRA89"/>
        <w:rPr>
          <w:b/>
        </w:rPr>
      </w:pPr>
      <w:r w:rsidRPr="00100BF5">
        <w:rPr>
          <w:b/>
        </w:rPr>
        <w:t>Interest rate hedging product redress</w:t>
      </w:r>
    </w:p>
    <w:p w:rsidR="006C17EA" w:rsidRPr="00100BF5" w:rsidRDefault="006C17EA" w:rsidP="006C17EA">
      <w:pPr>
        <w:pStyle w:val="NormalWeb"/>
        <w:jc w:val="both"/>
        <w:rPr>
          <w:rFonts w:ascii="Expert Sans Regular" w:hAnsi="Expert Sans Regular"/>
          <w:sz w:val="18"/>
          <w:szCs w:val="18"/>
        </w:rPr>
      </w:pPr>
      <w:r w:rsidRPr="00100BF5">
        <w:rPr>
          <w:rFonts w:ascii="Expert Sans Regular" w:hAnsi="Expert Sans Regular"/>
          <w:sz w:val="18"/>
          <w:szCs w:val="18"/>
        </w:rPr>
        <w:t xml:space="preserve">On 29 June 2012, the FSA announced that it had reached agreement with a number of UK banks (including Barclays) in relation to a </w:t>
      </w:r>
      <w:r w:rsidR="005877FF" w:rsidRPr="00100BF5">
        <w:rPr>
          <w:rFonts w:ascii="Expert Sans Regular" w:hAnsi="Expert Sans Regular"/>
          <w:sz w:val="18"/>
          <w:szCs w:val="18"/>
        </w:rPr>
        <w:t xml:space="preserve">review and </w:t>
      </w:r>
      <w:r w:rsidRPr="00100BF5">
        <w:rPr>
          <w:rFonts w:ascii="Expert Sans Regular" w:hAnsi="Expert Sans Regular"/>
          <w:sz w:val="18"/>
          <w:szCs w:val="18"/>
        </w:rPr>
        <w:t xml:space="preserve">redress exercise to be carried out in respect of interest rate hedging products sold to small and medium sized enterprises.  A provision of £450m, reflecting £350m for the costs of redress and £100m to reflect the widening of credit spreads since the original products were entered into (and which we expect to unwind over the life </w:t>
      </w:r>
      <w:r w:rsidR="002F2498" w:rsidRPr="00100BF5">
        <w:rPr>
          <w:rFonts w:ascii="Expert Sans Regular" w:hAnsi="Expert Sans Regular"/>
          <w:sz w:val="18"/>
          <w:szCs w:val="18"/>
        </w:rPr>
        <w:t>of the</w:t>
      </w:r>
      <w:r w:rsidRPr="00100BF5">
        <w:rPr>
          <w:rFonts w:ascii="Expert Sans Regular" w:hAnsi="Expert Sans Regular"/>
          <w:sz w:val="18"/>
          <w:szCs w:val="18"/>
        </w:rPr>
        <w:t xml:space="preserve"> new arrangements), has been recognised.  The ultimate cost of this exercise is uncertain and the provision is based on a number of initial estimates relating to the appropriate implementation of the agreement.  These estimates primarily relate to the number of customers that will be subject to the review, and to the extent and nature of any redress payable.  In this context, the appropriate provision level will be kept under ongoing review.</w:t>
      </w:r>
    </w:p>
    <w:p w:rsidR="006C17EA" w:rsidRPr="00100BF5" w:rsidRDefault="006C17EA">
      <w:pPr>
        <w:rPr>
          <w:sz w:val="18"/>
          <w:szCs w:val="18"/>
        </w:rPr>
        <w:sectPr w:rsidR="006C17EA" w:rsidRPr="00100BF5" w:rsidSect="00E100EB">
          <w:type w:val="continuous"/>
          <w:pgSz w:w="11905" w:h="16837"/>
          <w:pgMar w:top="851" w:right="1134" w:bottom="567" w:left="1134" w:header="851" w:footer="567" w:gutter="0"/>
          <w:cols w:space="708"/>
        </w:sectPr>
      </w:pPr>
    </w:p>
    <w:p w:rsidR="00A12DCA" w:rsidRPr="00100BF5" w:rsidRDefault="00A12DCA" w:rsidP="00A12DCA">
      <w:pPr>
        <w:pStyle w:val="HeadingLevel1-BarcRA52"/>
        <w:rPr>
          <w:color w:val="auto"/>
          <w:lang w:val="en-GB"/>
        </w:rPr>
      </w:pPr>
      <w:r w:rsidRPr="00100BF5">
        <w:rPr>
          <w:color w:val="auto"/>
          <w:lang w:val="en-GB"/>
        </w:rPr>
        <w:t>15.</w:t>
      </w:r>
      <w:r w:rsidRPr="00100BF5">
        <w:rPr>
          <w:color w:val="auto"/>
        </w:rPr>
        <w:tab/>
        <w:t>Retirement Benefit</w:t>
      </w:r>
      <w:r w:rsidRPr="00100BF5">
        <w:rPr>
          <w:color w:val="auto"/>
          <w:lang w:val="en-GB"/>
        </w:rPr>
        <w:t>s</w:t>
      </w:r>
    </w:p>
    <w:p w:rsidR="003B083F" w:rsidRPr="003B083F" w:rsidRDefault="003B083F" w:rsidP="003B083F">
      <w:pPr>
        <w:pStyle w:val="BodyText-BarcRA83"/>
        <w:rPr>
          <w:szCs w:val="18"/>
          <w:lang w:val="en-US"/>
        </w:rPr>
      </w:pPr>
      <w:r w:rsidRPr="003B083F">
        <w:rPr>
          <w:szCs w:val="18"/>
          <w:lang w:val="en-US"/>
        </w:rPr>
        <w:t>The Group's IAS 19 pension deficit across all schemes as at 30 June 2012 was £1.3bn (31 December 2011: £0.2bn). This reflects net recognised assets of £2.0bn (31 December 2011: £1.5bn) and unrecognised actuarial losses of £3.2bn (31 December 2011: £1.7bn). The net recognised assets comprised retirement benefit assets of £2.5bn (31 December 2011: £1.8bn) and liabilities of £0.5bn (31 December 2011: £0.3bn).</w:t>
      </w:r>
    </w:p>
    <w:p w:rsidR="003B083F" w:rsidRPr="003B083F" w:rsidRDefault="003B083F" w:rsidP="003B083F">
      <w:pPr>
        <w:pStyle w:val="BodyText-BarcRA83"/>
        <w:rPr>
          <w:szCs w:val="18"/>
          <w:lang w:val="en-US"/>
        </w:rPr>
      </w:pPr>
      <w:r w:rsidRPr="003B083F">
        <w:rPr>
          <w:szCs w:val="18"/>
          <w:lang w:val="en-US"/>
        </w:rPr>
        <w:t>The Group’s main scheme is the UK Retirement Fund (UKRF). As at 30 June 2012, the UKRF had £2.2bn assets recognised on the balance sheet (31 December 2011: £1.7bn) and on an IAS 19 basis the scheme liabilities exceeded the assets by £0.7bn (31 December 2011: surplus of £0.3bn). The most significant reason for the change in the IAS 19 position was a reduction in the net discount rate, driven by falls in AA corporate bond yields, partially offset by the deficit contribution paid over in the year.</w:t>
      </w:r>
    </w:p>
    <w:p w:rsidR="003B083F" w:rsidRPr="0066494C" w:rsidRDefault="003B083F" w:rsidP="003B083F">
      <w:pPr>
        <w:pStyle w:val="BodyText-BarcRA110"/>
        <w:rPr>
          <w:sz w:val="16"/>
          <w:szCs w:val="18"/>
          <w:lang w:val="en-US"/>
        </w:rPr>
      </w:pPr>
      <w:r w:rsidRPr="003B083F">
        <w:rPr>
          <w:szCs w:val="18"/>
          <w:lang w:val="en-US"/>
        </w:rPr>
        <w:t>The latest triennial funding valuation of the UKRF was carried out with an effective date of 30 September 2010, and showed a deficit of £5.0bn. The Bank and Trustee agreed a funding plan to eliminate the deficit in the fund. As part of this plan, deficit contributions of £1.8bn were paid to the fund in December 2011 and a further £0.5bn in April 2012. Further deficit contributions are payable from 2017 to 2021 starting at £0.7bn for 2017 and increasing by approximately 3.5% per annum until 2021. These deficit contributions are in addition to the regular contributions to meet the Group’s share of the cost of benefits accruing over each year.</w:t>
      </w:r>
    </w:p>
    <w:p w:rsidR="003B083F" w:rsidRPr="003B083F" w:rsidRDefault="003B083F" w:rsidP="003B083F">
      <w:pPr>
        <w:pStyle w:val="BodyText-BarcRA110"/>
        <w:rPr>
          <w:szCs w:val="18"/>
          <w:lang w:val="en-US"/>
        </w:rPr>
      </w:pPr>
      <w:r w:rsidRPr="003B083F">
        <w:rPr>
          <w:szCs w:val="18"/>
          <w:lang w:val="en-US"/>
        </w:rPr>
        <w:t>The latest annual funding update prepared by the Scheme Actuary as at 30 September 2011 showed a funding deficit of £6.4bn, which was prior to the payment of contributions referred to above in December 2011.</w:t>
      </w:r>
    </w:p>
    <w:p w:rsidR="003B083F" w:rsidRPr="003B083F" w:rsidRDefault="003B083F" w:rsidP="003B083F">
      <w:pPr>
        <w:pStyle w:val="BodyText-BarcRA83"/>
        <w:rPr>
          <w:szCs w:val="18"/>
          <w:lang w:val="en-US"/>
        </w:rPr>
      </w:pPr>
      <w:r w:rsidRPr="003B083F">
        <w:rPr>
          <w:szCs w:val="18"/>
          <w:lang w:val="en-US"/>
        </w:rPr>
        <w:t>As indicated in Note 1, from 1 January 2013, the Group will adopt IAS 19 revised. Had the Group adopted the revisions in these interim financial statements the net recognised position would reduce by £3.2bn (31 December 2011: £1.7bn) resulting in a liability of £1.2bn (31 December 2011: £0.2bn). Profit after tax for the period ended 30 June 2012 would have been lower by £11m (</w:t>
      </w:r>
      <w:r w:rsidR="00882E4A">
        <w:rPr>
          <w:szCs w:val="18"/>
          <w:lang w:val="en-US"/>
        </w:rPr>
        <w:t xml:space="preserve">H2 </w:t>
      </w:r>
      <w:r w:rsidRPr="003B083F">
        <w:rPr>
          <w:szCs w:val="18"/>
          <w:lang w:val="en-US"/>
        </w:rPr>
        <w:t>11: £41m</w:t>
      </w:r>
      <w:r w:rsidR="00882E4A">
        <w:rPr>
          <w:szCs w:val="18"/>
          <w:lang w:val="en-US"/>
        </w:rPr>
        <w:t>; H1 11: £42m</w:t>
      </w:r>
      <w:r w:rsidRPr="003B083F">
        <w:rPr>
          <w:szCs w:val="18"/>
          <w:lang w:val="en-US"/>
        </w:rPr>
        <w:t xml:space="preserve">) and other comprehensive income lower by </w:t>
      </w:r>
      <w:r>
        <w:rPr>
          <w:szCs w:val="18"/>
          <w:lang w:val="en-US"/>
        </w:rPr>
        <w:t>£1.1</w:t>
      </w:r>
      <w:r w:rsidRPr="003B083F">
        <w:rPr>
          <w:szCs w:val="18"/>
          <w:lang w:val="en-US"/>
        </w:rPr>
        <w:t>bn (</w:t>
      </w:r>
      <w:r w:rsidR="00882E4A">
        <w:rPr>
          <w:szCs w:val="18"/>
          <w:lang w:val="en-US"/>
        </w:rPr>
        <w:t xml:space="preserve">H2 </w:t>
      </w:r>
      <w:r w:rsidRPr="003B083F">
        <w:rPr>
          <w:szCs w:val="18"/>
          <w:lang w:val="en-US"/>
        </w:rPr>
        <w:t>11: £0.2bn</w:t>
      </w:r>
      <w:r w:rsidR="00882E4A">
        <w:rPr>
          <w:szCs w:val="18"/>
          <w:lang w:val="en-US"/>
        </w:rPr>
        <w:t>; H1 11: £1.0bn</w:t>
      </w:r>
      <w:r w:rsidRPr="003B083F">
        <w:rPr>
          <w:szCs w:val="18"/>
          <w:lang w:val="en-US"/>
        </w:rPr>
        <w:t>). Shareholders equity would have been reduced by £2.4bn (31 December 2011: £</w:t>
      </w:r>
      <w:r>
        <w:rPr>
          <w:szCs w:val="18"/>
          <w:lang w:val="en-US"/>
        </w:rPr>
        <w:t>1.3</w:t>
      </w:r>
      <w:r w:rsidRPr="003B083F">
        <w:rPr>
          <w:szCs w:val="18"/>
          <w:lang w:val="en-US"/>
        </w:rPr>
        <w:t>bn) and additional deferred tax assets of £0.8bn (31 December 2011: £0.5bn) would have been recognised. Due to uncertainties surrounding market factors, such as interest rates, it is not possible to estimate the impact on the full year financial statements.</w:t>
      </w:r>
    </w:p>
    <w:p w:rsidR="003B083F" w:rsidRPr="00100BF5" w:rsidRDefault="003B083F">
      <w:pPr>
        <w:rPr>
          <w:szCs w:val="18"/>
        </w:rPr>
        <w:sectPr w:rsidR="003B083F" w:rsidRPr="00100BF5" w:rsidSect="00E100EB">
          <w:type w:val="continuous"/>
          <w:pgSz w:w="11905" w:h="16837"/>
          <w:pgMar w:top="851" w:right="1134" w:bottom="567" w:left="1134" w:header="851" w:footer="567" w:gutter="0"/>
          <w:cols w:space="708"/>
        </w:sectPr>
      </w:pPr>
    </w:p>
    <w:p w:rsidR="00A12DCA" w:rsidRPr="00100BF5" w:rsidRDefault="00A12DCA">
      <w:pPr>
        <w:rPr>
          <w:szCs w:val="18"/>
        </w:rPr>
      </w:pPr>
    </w:p>
    <w:p w:rsidR="00A12DCA" w:rsidRPr="00100BF5" w:rsidRDefault="00A12DCA" w:rsidP="00A12DCA">
      <w:pPr>
        <w:pStyle w:val="HeadingLevel1-BarcRA53"/>
        <w:rPr>
          <w:color w:val="auto"/>
          <w:lang w:val="en-GB"/>
        </w:rPr>
      </w:pPr>
      <w:r w:rsidRPr="00100BF5">
        <w:rPr>
          <w:color w:val="auto"/>
        </w:rPr>
        <w:t>16.</w:t>
      </w:r>
      <w:r w:rsidRPr="00100BF5">
        <w:rPr>
          <w:color w:val="auto"/>
        </w:rPr>
        <w:tab/>
        <w:t>Share Capital</w:t>
      </w:r>
      <w:r w:rsidRPr="00100BF5">
        <w:rPr>
          <w:color w:val="auto"/>
          <w:lang w:val="en-GB"/>
        </w:rPr>
        <w:t xml:space="preserve"> and Warrants</w:t>
      </w:r>
    </w:p>
    <w:p w:rsidR="00A12DCA" w:rsidRPr="00100BF5" w:rsidRDefault="00A12DCA" w:rsidP="00A12DCA">
      <w:pPr>
        <w:pStyle w:val="BodyText-BarcRA84"/>
      </w:pPr>
      <w:r w:rsidRPr="00100BF5">
        <w:t>Called up share capital comprises 12,235 million (2011: 12,199 million) ordinary shares of 25p each.</w:t>
      </w:r>
    </w:p>
    <w:p w:rsidR="00A12DCA" w:rsidRPr="00100BF5" w:rsidRDefault="00A12DCA" w:rsidP="00A12DCA">
      <w:pPr>
        <w:pStyle w:val="BodyText-BarcRA84"/>
      </w:pPr>
      <w:r w:rsidRPr="00100BF5">
        <w:t>As at 30 June 2012, there were unexercised warrants to subscribe for 379.2 million (2011: 379.2 million) new ordinary shares at a price of £1.97775. The warrants may be exercised at any time up to close of business on 31 October 2013.</w:t>
      </w:r>
    </w:p>
    <w:p w:rsidR="00A12DCA" w:rsidRPr="00100BF5" w:rsidRDefault="00A12DCA">
      <w:pPr>
        <w:sectPr w:rsidR="00A12DCA" w:rsidRPr="00100BF5" w:rsidSect="00E100EB">
          <w:type w:val="continuous"/>
          <w:pgSz w:w="11905" w:h="16837"/>
          <w:pgMar w:top="851" w:right="1134" w:bottom="567" w:left="1134" w:header="851" w:footer="567" w:gutter="0"/>
          <w:cols w:space="708"/>
        </w:sectPr>
      </w:pPr>
    </w:p>
    <w:p w:rsidR="00A12DCA" w:rsidRPr="00100BF5" w:rsidRDefault="00A12DCA"/>
    <w:p w:rsidR="00A12DCA" w:rsidRPr="00100BF5" w:rsidRDefault="00A12DCA" w:rsidP="00A12DCA">
      <w:pPr>
        <w:pStyle w:val="HeadingLevel1-BarcRA54"/>
        <w:rPr>
          <w:color w:val="auto"/>
        </w:rPr>
      </w:pPr>
      <w:r w:rsidRPr="00100BF5">
        <w:rPr>
          <w:color w:val="auto"/>
        </w:rPr>
        <w:t>17.</w:t>
      </w:r>
      <w:r w:rsidRPr="00100BF5">
        <w:rPr>
          <w:color w:val="auto"/>
        </w:rPr>
        <w:tab/>
        <w:t>Other Reserves</w:t>
      </w:r>
    </w:p>
    <w:p w:rsidR="00A12DCA" w:rsidRPr="00100BF5" w:rsidRDefault="00A12DCA" w:rsidP="00A12DCA">
      <w:pPr>
        <w:pStyle w:val="HeadingLevel2-BarcRA22"/>
        <w:rPr>
          <w:color w:val="auto"/>
          <w:lang w:val="en-GB"/>
        </w:rPr>
      </w:pPr>
      <w:r w:rsidRPr="00100BF5">
        <w:rPr>
          <w:color w:val="auto"/>
        </w:rPr>
        <w:t>Currency Translation Reserve</w:t>
      </w:r>
    </w:p>
    <w:p w:rsidR="00A12DCA" w:rsidRDefault="00A12DCA" w:rsidP="00A12DCA">
      <w:pPr>
        <w:pStyle w:val="BodyText-BarcRA85"/>
      </w:pPr>
      <w:r w:rsidRPr="00100BF5">
        <w:t>Currency translation movements in 2012 of £614m (30 June 2011: £790m), including £71m (30 June 2011: £182m) associated with non-controlling interests, were largely due to the depreciation of the US Dollar</w:t>
      </w:r>
      <w:r w:rsidR="001A1BB5" w:rsidRPr="00100BF5">
        <w:t>, Rand and Euro</w:t>
      </w:r>
      <w:r w:rsidRPr="00100BF5">
        <w:t xml:space="preserve"> against Sterling. During the period, £20m gain (2011: £3m loss) from the currency translation reserve was recognised in the income statement.</w:t>
      </w:r>
    </w:p>
    <w:p w:rsidR="00882E4A" w:rsidRPr="00100BF5" w:rsidRDefault="00882E4A" w:rsidP="00A12DCA">
      <w:pPr>
        <w:pStyle w:val="BodyText-BarcRA85"/>
      </w:pPr>
    </w:p>
    <w:p w:rsidR="00351861" w:rsidRDefault="00351861" w:rsidP="00351861">
      <w:pPr>
        <w:pStyle w:val="HeadingLevel1-BarcRA"/>
      </w:pPr>
      <w:r>
        <w:rPr>
          <w:color w:val="auto"/>
        </w:rPr>
        <w:br w:type="page"/>
      </w:r>
      <w:r>
        <w:t>Financial Statement Notes</w:t>
      </w:r>
    </w:p>
    <w:p w:rsidR="00E51420" w:rsidRPr="00100BF5" w:rsidRDefault="00E51420" w:rsidP="00FB0640">
      <w:pPr>
        <w:pStyle w:val="HeadingLevel1-BarcRA54"/>
        <w:rPr>
          <w:color w:val="auto"/>
          <w:lang w:val="en-GB"/>
        </w:rPr>
      </w:pPr>
      <w:r w:rsidRPr="00100BF5">
        <w:rPr>
          <w:color w:val="auto"/>
        </w:rPr>
        <w:t>17.</w:t>
      </w:r>
      <w:r w:rsidRPr="00100BF5">
        <w:rPr>
          <w:color w:val="auto"/>
        </w:rPr>
        <w:tab/>
        <w:t>Other Reserves</w:t>
      </w:r>
      <w:r w:rsidRPr="00100BF5">
        <w:rPr>
          <w:color w:val="auto"/>
          <w:lang w:val="en-GB"/>
        </w:rPr>
        <w:t xml:space="preserve"> (continued)</w:t>
      </w:r>
    </w:p>
    <w:p w:rsidR="00A12DCA" w:rsidRPr="00100BF5" w:rsidRDefault="00A12DCA" w:rsidP="00E51420">
      <w:pPr>
        <w:pStyle w:val="HeadingLevel2-BarcRA23"/>
        <w:spacing w:before="200"/>
        <w:rPr>
          <w:color w:val="auto"/>
        </w:rPr>
      </w:pPr>
      <w:r w:rsidRPr="00100BF5">
        <w:rPr>
          <w:color w:val="auto"/>
        </w:rPr>
        <w:t>Available for Sale Reserve</w:t>
      </w:r>
    </w:p>
    <w:p w:rsidR="00A12DCA" w:rsidRPr="00100BF5" w:rsidRDefault="00A12DCA" w:rsidP="00A12DCA">
      <w:pPr>
        <w:pStyle w:val="BodyText-BarcRA86"/>
      </w:pPr>
      <w:r w:rsidRPr="00100BF5">
        <w:t>The available for sale reserve decreased £218m  (30 June 2011: increased £323m), largely driven by £511m gains transferred to the income statement, including the disposal of BlackRock, Inc., a £130m decrease due to the impact of current and deferred tax movements, offset by £423m net gains from changes in fair value.</w:t>
      </w:r>
    </w:p>
    <w:p w:rsidR="00A12DCA" w:rsidRPr="00100BF5" w:rsidRDefault="00A12DCA" w:rsidP="00E51420">
      <w:pPr>
        <w:pStyle w:val="HeadingLevel2-BarcRA24"/>
        <w:spacing w:before="200"/>
        <w:rPr>
          <w:color w:val="auto"/>
        </w:rPr>
      </w:pPr>
      <w:r w:rsidRPr="00100BF5">
        <w:rPr>
          <w:color w:val="auto"/>
        </w:rPr>
        <w:t>Cash Flow Hedge Reserve</w:t>
      </w:r>
    </w:p>
    <w:p w:rsidR="00A12DCA" w:rsidRPr="00100BF5" w:rsidRDefault="00A12DCA" w:rsidP="00A12DCA">
      <w:pPr>
        <w:pStyle w:val="BodyText-BarcRA87"/>
      </w:pPr>
      <w:r w:rsidRPr="00100BF5">
        <w:t>The cash flow hedge reserve represents the cumulative gains and losses on effective cash flow hedging instruments that will be recycled to the income statement when hedged transactions affect profit or loss.</w:t>
      </w:r>
    </w:p>
    <w:p w:rsidR="00A12DCA" w:rsidRPr="00100BF5" w:rsidRDefault="00A12DCA" w:rsidP="00A12DCA">
      <w:pPr>
        <w:pStyle w:val="BodyText-BarcRA87"/>
      </w:pPr>
      <w:r w:rsidRPr="00100BF5">
        <w:t>The increase in the cash flow hedge reserve of £234m (30 June 2011: £48m decrease) principally reflected increases in the fair value of interest rate swaps held for hedging purposes partially offset by gains transferred to net profit.</w:t>
      </w:r>
    </w:p>
    <w:p w:rsidR="00A12DCA" w:rsidRPr="00100BF5" w:rsidRDefault="00A12DCA" w:rsidP="00E51420">
      <w:pPr>
        <w:pStyle w:val="HeadingLevel2-BarcRA25"/>
        <w:spacing w:before="200"/>
        <w:rPr>
          <w:color w:val="auto"/>
          <w:lang w:val="en-GB"/>
        </w:rPr>
      </w:pPr>
      <w:r w:rsidRPr="00100BF5">
        <w:rPr>
          <w:color w:val="auto"/>
          <w:lang w:val="en-GB"/>
        </w:rPr>
        <w:t>Treasury Shares</w:t>
      </w:r>
    </w:p>
    <w:p w:rsidR="00A12DCA" w:rsidRPr="00100BF5" w:rsidRDefault="00A12DCA" w:rsidP="00A12DCA">
      <w:pPr>
        <w:pStyle w:val="BodyText-BarcRA88"/>
      </w:pPr>
      <w:r w:rsidRPr="00100BF5">
        <w:t>During the period £955m (2011: £553m) net purchases of treasury shares were made principally reflecting the increase in shares held for the purposes of employee share schemes, and £912m (2011: £423m) was transferred from retained earnings reflecting the vesting of deferred share based payments.</w:t>
      </w:r>
    </w:p>
    <w:p w:rsidR="00A12DCA" w:rsidRPr="00100BF5" w:rsidRDefault="00A12DCA">
      <w:pPr>
        <w:sectPr w:rsidR="00A12DCA" w:rsidRPr="00100BF5" w:rsidSect="00E100EB">
          <w:type w:val="continuous"/>
          <w:pgSz w:w="11905" w:h="16837"/>
          <w:pgMar w:top="851" w:right="1134" w:bottom="567" w:left="1134" w:header="851" w:footer="567" w:gutter="0"/>
          <w:cols w:space="708"/>
        </w:sectPr>
      </w:pPr>
    </w:p>
    <w:p w:rsidR="00A12DCA" w:rsidRPr="00100BF5" w:rsidRDefault="00A12DCA"/>
    <w:tbl>
      <w:tblPr>
        <w:tblW w:w="0" w:type="auto"/>
        <w:tblLayout w:type="fixed"/>
        <w:tblLook w:val="0000" w:firstRow="0" w:lastRow="0" w:firstColumn="0" w:lastColumn="0" w:noHBand="0" w:noVBand="0"/>
      </w:tblPr>
      <w:tblGrid>
        <w:gridCol w:w="6270"/>
        <w:gridCol w:w="1125"/>
        <w:gridCol w:w="1125"/>
        <w:gridCol w:w="1125"/>
      </w:tblGrid>
      <w:tr w:rsidR="00A12DCA" w:rsidRPr="00100BF5">
        <w:tblPrEx>
          <w:tblCellMar>
            <w:top w:w="0" w:type="dxa"/>
            <w:bottom w:w="0" w:type="dxa"/>
          </w:tblCellMar>
        </w:tblPrEx>
        <w:trPr>
          <w:trHeight w:val="315"/>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r w:rsidRPr="00100BF5">
              <w:rPr>
                <w:b/>
                <w:sz w:val="24"/>
              </w:rPr>
              <w:t>18.       Contingent Liabilities and Commitments</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24"/>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sz w:val="16"/>
              </w:rPr>
            </w:pPr>
            <w:r w:rsidRPr="00100BF5">
              <w:rPr>
                <w:sz w:val="16"/>
              </w:rPr>
              <w:t xml:space="preserve"> </w:t>
            </w:r>
          </w:p>
        </w:tc>
      </w:tr>
      <w:tr w:rsidR="00A12DCA" w:rsidRPr="00100BF5" w:rsidTr="009C7B67">
        <w:tblPrEx>
          <w:tblCellMar>
            <w:top w:w="0" w:type="dxa"/>
            <w:bottom w:w="0" w:type="dxa"/>
          </w:tblCellMar>
        </w:tblPrEx>
        <w:trPr>
          <w:trHeight w:val="255"/>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b/>
                <w:sz w:val="16"/>
              </w:rPr>
              <w:t>As at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As at</w:t>
            </w:r>
          </w:p>
        </w:tc>
      </w:tr>
      <w:tr w:rsidR="00A12DCA" w:rsidRPr="00100BF5" w:rsidTr="009C7B67">
        <w:tblPrEx>
          <w:tblCellMar>
            <w:top w:w="0" w:type="dxa"/>
            <w:bottom w:w="0" w:type="dxa"/>
          </w:tblCellMar>
        </w:tblPrEx>
        <w:trPr>
          <w:trHeight w:val="255"/>
        </w:trPr>
        <w:tc>
          <w:tcPr>
            <w:tcW w:w="627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b/>
                <w:sz w:val="16"/>
              </w:rPr>
              <w:t>30.06.12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31.12.11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30.06.11</w:t>
            </w:r>
          </w:p>
        </w:tc>
      </w:tr>
      <w:tr w:rsidR="00A12DCA" w:rsidRPr="00100BF5" w:rsidTr="009C7B67">
        <w:tblPrEx>
          <w:tblCellMar>
            <w:top w:w="0" w:type="dxa"/>
            <w:bottom w:w="0" w:type="dxa"/>
          </w:tblCellMar>
        </w:tblPrEx>
        <w:trPr>
          <w:trHeight w:val="255"/>
        </w:trPr>
        <w:tc>
          <w:tcPr>
            <w:tcW w:w="6270" w:type="dxa"/>
            <w:tcBorders>
              <w:top w:val="nil"/>
              <w:left w:val="nil"/>
              <w:bottom w:val="single" w:sz="6" w:space="0" w:color="969696"/>
              <w:right w:val="nil"/>
            </w:tcBorders>
            <w:shd w:val="clear" w:color="auto" w:fill="FFFFFF"/>
            <w:tcMar>
              <w:left w:w="36" w:type="dxa"/>
              <w:right w:w="36" w:type="dxa"/>
            </w:tcMar>
            <w:vAlign w:val="bottom"/>
          </w:tcPr>
          <w:p w:rsidR="00A12DCA" w:rsidRPr="00100BF5" w:rsidRDefault="00A12DCA">
            <w:pPr>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£m</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Securities lending arrangements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 xml:space="preserve"> 4</w:t>
            </w:r>
            <w:r w:rsidR="00AC40BE" w:rsidRPr="00100BF5">
              <w:rPr>
                <w:sz w:val="16"/>
              </w:rPr>
              <w:t>2,609</w:t>
            </w:r>
            <w:r w:rsidRPr="00100BF5">
              <w:rPr>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35,996 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32,977 </w:t>
            </w:r>
          </w:p>
        </w:tc>
      </w:tr>
      <w:tr w:rsidR="00A12DCA" w:rsidRPr="00100BF5" w:rsidTr="009C7B67">
        <w:tblPrEx>
          <w:tblCellMar>
            <w:top w:w="0" w:type="dxa"/>
            <w:bottom w:w="0" w:type="dxa"/>
          </w:tblCellMar>
        </w:tblPrEx>
        <w:trPr>
          <w:trHeight w:val="240"/>
        </w:trPr>
        <w:tc>
          <w:tcPr>
            <w:tcW w:w="627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Guarantees and letters of credit pledged as collateral security</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 xml:space="preserve"> 14,995 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14,181 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12,886 </w:t>
            </w:r>
          </w:p>
        </w:tc>
      </w:tr>
      <w:tr w:rsidR="00A12DCA" w:rsidRPr="00100BF5" w:rsidTr="009C7B67">
        <w:tblPrEx>
          <w:tblCellMar>
            <w:top w:w="0" w:type="dxa"/>
            <w:bottom w:w="0" w:type="dxa"/>
          </w:tblCellMar>
        </w:tblPrEx>
        <w:trPr>
          <w:trHeight w:val="255"/>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Performance guarantees, acceptances and endorsements</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 xml:space="preserve"> 7,120 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8,706 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9,257 </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Contingent liabilities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 xml:space="preserve"> 6</w:t>
            </w:r>
            <w:r w:rsidR="00AC40BE" w:rsidRPr="00100BF5">
              <w:rPr>
                <w:b/>
                <w:sz w:val="16"/>
              </w:rPr>
              <w:t>4,724</w:t>
            </w:r>
            <w:r w:rsidRPr="00100BF5">
              <w:rPr>
                <w:b/>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58,883 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55,120 </w:t>
            </w:r>
          </w:p>
        </w:tc>
      </w:tr>
      <w:tr w:rsidR="00A12DCA" w:rsidRPr="00100BF5" w:rsidTr="009C7B67">
        <w:tblPrEx>
          <w:tblCellMar>
            <w:top w:w="0" w:type="dxa"/>
            <w:bottom w:w="0" w:type="dxa"/>
          </w:tblCellMar>
        </w:tblPrEx>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Documentary credits and other short-term trade related transactions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 xml:space="preserve"> 1,299 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1,358 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1,392 </w:t>
            </w:r>
          </w:p>
        </w:tc>
      </w:tr>
      <w:tr w:rsidR="00A12DCA" w:rsidRPr="00100BF5" w:rsidTr="009C7B67">
        <w:tblPrEx>
          <w:tblCellMar>
            <w:top w:w="0" w:type="dxa"/>
            <w:bottom w:w="0" w:type="dxa"/>
          </w:tblCellMar>
        </w:tblPrEx>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b/>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rPr>
            </w:pPr>
            <w:r w:rsidRPr="00100BF5">
              <w:rPr>
                <w:sz w:val="16"/>
              </w:rPr>
              <w:t xml:space="preserve"> </w:t>
            </w:r>
          </w:p>
        </w:tc>
      </w:tr>
      <w:tr w:rsidR="00A12DCA" w:rsidRPr="00100BF5" w:rsidTr="009C7B67">
        <w:tblPrEx>
          <w:tblCellMar>
            <w:top w:w="0" w:type="dxa"/>
            <w:bottom w:w="0" w:type="dxa"/>
          </w:tblCellMar>
        </w:tblPrEx>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Standby facilities, credit lines and other commitments</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 xml:space="preserve"> 245,853 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240,282 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 xml:space="preserve"> 232,624 </w:t>
            </w:r>
          </w:p>
        </w:tc>
      </w:tr>
    </w:tbl>
    <w:p w:rsidR="00A12DCA" w:rsidRPr="00100BF5" w:rsidRDefault="00A12DCA"/>
    <w:p w:rsidR="00A12DCA" w:rsidRPr="00100BF5" w:rsidRDefault="00A12DCA" w:rsidP="00E51420">
      <w:pPr>
        <w:pStyle w:val="HeadingLevel2-BarcRA26"/>
        <w:spacing w:before="200"/>
        <w:rPr>
          <w:color w:val="auto"/>
        </w:rPr>
      </w:pPr>
      <w:r w:rsidRPr="00100BF5">
        <w:rPr>
          <w:color w:val="auto"/>
        </w:rPr>
        <w:t>Securities Lending Arrangements</w:t>
      </w:r>
    </w:p>
    <w:p w:rsidR="00A12DCA" w:rsidRPr="00100BF5" w:rsidRDefault="00A12DCA" w:rsidP="00A12DCA">
      <w:pPr>
        <w:pStyle w:val="BodyText-BarcRA90"/>
      </w:pPr>
      <w:r w:rsidRPr="00100BF5">
        <w:t>Up to the disposal of Barclays Global Investors on 1 December 2009, the Group facilitated securities lending arrangements for its managed investment funds whereby securities held by funds under management were lent to third parties. Borrowers provided cash or investment grade assets as collateral equal to 100% of the market value of the securities lent plus a margin of 2%–10%. The Group agreed with BlackRock, Inc. to continue to provide indemnities to support these arrangements until the 30 November 2012. The fair value of the collateral held as at 30 June 2012 was £43,77</w:t>
      </w:r>
      <w:r w:rsidR="00AC40BE" w:rsidRPr="00100BF5">
        <w:t>3</w:t>
      </w:r>
      <w:r w:rsidRPr="00100BF5">
        <w:t>m (31 December 2011: £</w:t>
      </w:r>
      <w:r w:rsidR="002461E7" w:rsidRPr="00100BF5">
        <w:t>37,072m</w:t>
      </w:r>
      <w:r w:rsidRPr="00100BF5">
        <w:t>) and that of the stock lent was £4</w:t>
      </w:r>
      <w:r w:rsidR="00AC40BE" w:rsidRPr="00100BF5">
        <w:t>2</w:t>
      </w:r>
      <w:r w:rsidRPr="00100BF5">
        <w:t>,</w:t>
      </w:r>
      <w:r w:rsidR="00AC40BE" w:rsidRPr="00100BF5">
        <w:t>609</w:t>
      </w:r>
      <w:r w:rsidRPr="00100BF5">
        <w:t xml:space="preserve">m (31 December 2011: £35,996m).  </w:t>
      </w:r>
    </w:p>
    <w:p w:rsidR="00A12DCA" w:rsidRPr="00100BF5" w:rsidRDefault="00A12DCA" w:rsidP="00E51420">
      <w:pPr>
        <w:pStyle w:val="HeadingLevel2-BarcRA26"/>
        <w:spacing w:before="200"/>
        <w:rPr>
          <w:color w:val="auto"/>
        </w:rPr>
      </w:pPr>
      <w:r w:rsidRPr="00100BF5">
        <w:rPr>
          <w:color w:val="auto"/>
        </w:rPr>
        <w:t>The Financial Services Compensation Scheme</w:t>
      </w:r>
    </w:p>
    <w:p w:rsidR="00A12DCA" w:rsidRPr="00100BF5" w:rsidRDefault="00A12DCA" w:rsidP="00A12DCA">
      <w:pPr>
        <w:pStyle w:val="BodyText-BarcRA90"/>
      </w:pPr>
      <w:r w:rsidRPr="00100BF5">
        <w:t>The Financial Services Compensation Scheme (the FSCS) is the UK’s compensation scheme for customers of authorised institutions that are unable to pay claims. It provides compensation to depositors in the event that UK licensed deposit taking institutions are unable to meet their claims. The FSCS raises levies on UK licensed deposit taking institutions to meet such claims based on their share of UK deposits on 31 December of the year pr</w:t>
      </w:r>
      <w:r w:rsidR="001A1BB5" w:rsidRPr="00100BF5">
        <w:t>e</w:t>
      </w:r>
      <w:r w:rsidRPr="00100BF5">
        <w:t xml:space="preserve">ceding the scheme year (which runs from 1 April to 31 March). </w:t>
      </w:r>
    </w:p>
    <w:p w:rsidR="00A12DCA" w:rsidRPr="00100BF5" w:rsidRDefault="00A12DCA" w:rsidP="00A12DCA">
      <w:pPr>
        <w:pStyle w:val="BodyText-BarcRA90"/>
      </w:pPr>
      <w:r w:rsidRPr="00100BF5">
        <w:t xml:space="preserve">Compensation has previously been paid out by the FSCS funded by loan facilities totalling approximately £18bn provided by HM Treasury to FSCS in support of FSCS’s obligations to the depositors of banks declared in default.  In </w:t>
      </w:r>
      <w:r w:rsidR="00AC40BE" w:rsidRPr="00100BF5">
        <w:t>April</w:t>
      </w:r>
      <w:r w:rsidRPr="00100BF5">
        <w:t xml:space="preserve"> 2012, the FSCS agreed revised terms on the loan facilities including a</w:t>
      </w:r>
      <w:r w:rsidR="001A1BB5" w:rsidRPr="00100BF5">
        <w:t xml:space="preserve"> 70bps</w:t>
      </w:r>
      <w:r w:rsidRPr="00100BF5">
        <w:t xml:space="preserve"> increase i</w:t>
      </w:r>
      <w:r w:rsidR="008D7F32" w:rsidRPr="00100BF5">
        <w:t xml:space="preserve">n the interest rate payable to </w:t>
      </w:r>
      <w:r w:rsidR="00AC40BE" w:rsidRPr="00100BF5">
        <w:t>12 month LIBOR plus 100 basis points</w:t>
      </w:r>
      <w:r w:rsidRPr="00100BF5">
        <w:t xml:space="preserve">.  The facilities are expected to be repaid wholly from recoveries from the failed deposit takers, except for an estimated shortfall of £0.8bn which the FSCS has announced it intends to collect in annual levies for 2013, 2014 and 2015, in addition to the ongoing interest changes on the outstanding loans. </w:t>
      </w:r>
    </w:p>
    <w:p w:rsidR="000F7979" w:rsidRPr="00100BF5" w:rsidRDefault="000F7979" w:rsidP="00A12DCA">
      <w:pPr>
        <w:pStyle w:val="BodyText-BarcRA90"/>
      </w:pPr>
    </w:p>
    <w:p w:rsidR="00351861" w:rsidRDefault="00351861" w:rsidP="00351861">
      <w:pPr>
        <w:pStyle w:val="HeadingLevel1-BarcRA"/>
      </w:pPr>
      <w:r>
        <w:rPr>
          <w:color w:val="auto"/>
        </w:rPr>
        <w:br w:type="page"/>
      </w:r>
      <w:r>
        <w:t>Financial Statement Notes</w:t>
      </w:r>
    </w:p>
    <w:p w:rsidR="00E51420" w:rsidRPr="00100BF5" w:rsidRDefault="00E51420" w:rsidP="00FB0640">
      <w:pPr>
        <w:pStyle w:val="HeadingLevel1-BarcRA58"/>
        <w:rPr>
          <w:color w:val="auto"/>
          <w:lang w:val="en-GB"/>
        </w:rPr>
      </w:pPr>
      <w:r w:rsidRPr="00100BF5">
        <w:rPr>
          <w:color w:val="auto"/>
        </w:rPr>
        <w:t>18</w:t>
      </w:r>
      <w:r w:rsidRPr="00100BF5">
        <w:rPr>
          <w:color w:val="auto"/>
          <w:lang w:val="en-GB"/>
        </w:rPr>
        <w:t xml:space="preserve"> </w:t>
      </w:r>
      <w:r w:rsidRPr="00100BF5">
        <w:rPr>
          <w:color w:val="auto"/>
          <w:lang w:val="en-GB"/>
        </w:rPr>
        <w:tab/>
      </w:r>
      <w:r w:rsidRPr="00100BF5">
        <w:rPr>
          <w:color w:val="auto"/>
        </w:rPr>
        <w:t>Contingent Liabilities and Commitments (continued)</w:t>
      </w:r>
    </w:p>
    <w:p w:rsidR="00A12DCA" w:rsidRPr="00100BF5" w:rsidRDefault="00A12DCA" w:rsidP="00A12DCA">
      <w:pPr>
        <w:pStyle w:val="HeadingLevel2-BarcRA26"/>
        <w:rPr>
          <w:color w:val="auto"/>
          <w:lang w:val="en-GB"/>
        </w:rPr>
      </w:pPr>
      <w:r w:rsidRPr="00100BF5">
        <w:rPr>
          <w:color w:val="auto"/>
          <w:lang w:val="en-GB"/>
        </w:rPr>
        <w:t xml:space="preserve">Investment Bank </w:t>
      </w:r>
      <w:r w:rsidRPr="00100BF5">
        <w:rPr>
          <w:color w:val="auto"/>
        </w:rPr>
        <w:t>US Mortgage Activities</w:t>
      </w:r>
    </w:p>
    <w:p w:rsidR="00A12DCA" w:rsidRPr="00100BF5" w:rsidRDefault="00A12DCA" w:rsidP="00A12DCA">
      <w:pPr>
        <w:pStyle w:val="BodyText-BarcRA90"/>
      </w:pPr>
      <w:r w:rsidRPr="00100BF5">
        <w:t>Barclays activities within the US residential mortgage sector during the period of 2005 through 2008 included: sponsoring and underwriting of approximately $39bn of private-label securitisations; underwriting of approximately $34bn of other private-label securitisations; sales of approximately $150m of loans to government sponsored enterprises (GSEs); and sales of approximately $3bn of loans to others. Some of the loans sold to Barclays were originated by a Barclays subsidiary.  Barclays also performed servicing activities through its US residential mortgage servicing business which Barclays acquired in Q4 2006 and subsequently sold in Q3 2010.</w:t>
      </w:r>
    </w:p>
    <w:p w:rsidR="00A12DCA" w:rsidRPr="00100BF5" w:rsidRDefault="00A12DCA" w:rsidP="00A12DCA">
      <w:pPr>
        <w:pStyle w:val="BodyText-BarcRA90"/>
      </w:pPr>
      <w:r w:rsidRPr="00100BF5">
        <w:t>In connection with Barclays loan sales and some of its sponsored private-label securitisations, Barclays made certain loan level representations and warranties (R&amp;Ws) generally relating to the underlying borrower, property and/or mortgage documentation. Under certain circumstances, Barclays may be required to repurchase the related loans or make other payments related to such loans if the R&amp;Ws are breached. As of 30 June 2012, Barclays R&amp;Ws in respect of approximately $1bn of loans sold to others had expired. The R&amp;Ws with respect to the balance of the loans sold to others were not subject to expiration provisions. However, such loans were generally sold at significant discounts and contained more limited R&amp;Ws than loans sold to GSEs. Third party originators provided loan level R&amp;Ws directly to the securitisation trusts for approximately $34bn of the $39bn in Barclays sponsored securitisations. Barclays or a subsidiary provided loan level R&amp;Ws to the securitisation trusts for approximately $5bn of the Barclays sponsored securitisations. R&amp;Ws made by Barclays in respect of such securitised loans, and the loans sold by Barclays to GSEs, are not subject to expiration provisions. Total unresolved repurchase requests associated with all loans sold to others and private-label activities were $24m at 30 June 2012.  Current provisions are adequate to cover estimated losses associated with outstanding repurchase claims. However, based upon a large number of defaults occurring in US residential mortgages, there is a potential for additional claims for repurchases.</w:t>
      </w:r>
    </w:p>
    <w:p w:rsidR="00A12DCA" w:rsidRPr="00100BF5" w:rsidRDefault="00A12DCA" w:rsidP="00A12DCA">
      <w:pPr>
        <w:pStyle w:val="BodyText-BarcRA90"/>
      </w:pPr>
      <w:r w:rsidRPr="00100BF5">
        <w:t>Claims against Barclays as an underwriter of RMBS (Residential Mortgage Backed Securities) offerings have been brought in certai</w:t>
      </w:r>
      <w:r w:rsidR="0066494C">
        <w:t>n civil actions. See Note 19</w:t>
      </w:r>
      <w:r w:rsidRPr="00100BF5">
        <w:t xml:space="preserve"> – Legal Proceedings. Additionally, Barclays has received inquiries from various regulatory and governmental authorities regarding its mortgage-related activities and is cooperating with such inquiries. </w:t>
      </w:r>
    </w:p>
    <w:p w:rsidR="00A12DCA" w:rsidRPr="00100BF5" w:rsidRDefault="00A12DCA" w:rsidP="00E51420">
      <w:pPr>
        <w:pStyle w:val="BodyText-BarcRA90"/>
      </w:pPr>
      <w:r w:rsidRPr="00100BF5">
        <w:t>It is not practicable to provide an estimate of the financial impact of the potential exposure in relation to the foregoing matters.</w:t>
      </w:r>
    </w:p>
    <w:p w:rsidR="00042691" w:rsidRPr="00100BF5" w:rsidRDefault="00042691" w:rsidP="00042691">
      <w:pPr>
        <w:pStyle w:val="HeadingLevel1-BarcRA59"/>
        <w:rPr>
          <w:color w:val="auto"/>
        </w:rPr>
      </w:pPr>
      <w:r w:rsidRPr="00100BF5">
        <w:rPr>
          <w:color w:val="auto"/>
        </w:rPr>
        <w:t>19.</w:t>
      </w:r>
      <w:r w:rsidRPr="00100BF5">
        <w:rPr>
          <w:color w:val="auto"/>
        </w:rPr>
        <w:tab/>
        <w:t>Legal Proceedings</w:t>
      </w:r>
    </w:p>
    <w:p w:rsidR="00042691" w:rsidRPr="00100BF5" w:rsidRDefault="00042691" w:rsidP="00042691">
      <w:pPr>
        <w:pStyle w:val="HeadingLevel2-BarcRA28"/>
        <w:rPr>
          <w:color w:val="auto"/>
          <w:sz w:val="18"/>
          <w:szCs w:val="18"/>
          <w:lang w:val="en-GB"/>
        </w:rPr>
      </w:pPr>
      <w:r w:rsidRPr="00100BF5">
        <w:rPr>
          <w:color w:val="auto"/>
          <w:sz w:val="18"/>
          <w:szCs w:val="18"/>
          <w:lang w:val="en-GB"/>
        </w:rPr>
        <w:t>Lehman Brothers Holdings Inc.</w:t>
      </w:r>
    </w:p>
    <w:p w:rsidR="00042691" w:rsidRPr="00100BF5" w:rsidRDefault="00042691" w:rsidP="00042691">
      <w:pPr>
        <w:pStyle w:val="BodyText-BarcRA920"/>
        <w:rPr>
          <w:szCs w:val="18"/>
          <w:lang w:val="en-US"/>
        </w:rPr>
      </w:pPr>
      <w:r w:rsidRPr="00100BF5">
        <w:rPr>
          <w:szCs w:val="18"/>
        </w:rPr>
        <w:t xml:space="preserve">On 15 September 2009, motions were filed in the United States Bankruptcy Court for the Southern District of New York (Bankruptcy Court) by Lehman Brothers Holdings Inc. (LBHI), the SIPA Trustee for Lehman Brothers Inc. (Trustee) and the Official Committee of Unsecured Creditors of Lehman Brothers Holdings Inc. (Committee). All three motions challenged certain aspects of the transaction pursuant to which BCI and other companies in the Group acquired most of the assets of Lehman Brothers Inc. (LBI) in September 2008 and the Court Order approving such sale (Sale). The claimants were seeking an order voiding the transfer of certain assets to BCI; requiring BCI to return to the LBI estate alleged excess value BCI received; and declaring that BCI is not entitled to certain assets that it claims pursuant to the sale documents and Order approving the Sale (Rule 60 Claims). On 16 November 2009, LBHI, the Trustee and the Committee filed separate complaints in the Court asserting claims against BCI based on the same underlying allegations as the pending motions and seeking relief similar to that which is requested in the motions. On 29 January 2010, BCI filed its response to the motions and also filed a motion seeking delivery of certain assets that LBHI and LBI have failed to deliver as required by the sale documents and the Court Order approving the Sale (together with the Trustee’s competing claims to those assets, the Contract Claims). Approximately $4.3bn (£2.8bn) of the assets acquired as part of the acquisition had not been received by 30 June 2012, approximately $3.0bn (£1.9bn) of which were recognised as part of the accounting for the acquisition and are included in the balance sheet as at 30 June 2012. This results in an effective provision of $1.3bn (£0.8bn) against the uncertainty inherent in the litigation.  </w:t>
      </w:r>
    </w:p>
    <w:p w:rsidR="00042691" w:rsidRPr="00100BF5" w:rsidRDefault="00042691" w:rsidP="00E51420">
      <w:pPr>
        <w:pStyle w:val="BodyText-BarcRA90"/>
        <w:sectPr w:rsidR="00042691" w:rsidRPr="00100BF5" w:rsidSect="00E100EB">
          <w:type w:val="continuous"/>
          <w:pgSz w:w="11905" w:h="16837"/>
          <w:pgMar w:top="851" w:right="1134" w:bottom="567" w:left="1134" w:header="851" w:footer="567" w:gutter="0"/>
          <w:cols w:space="708"/>
        </w:sectPr>
      </w:pPr>
    </w:p>
    <w:p w:rsidR="005F437E" w:rsidRDefault="005F437E" w:rsidP="005F437E">
      <w:pPr>
        <w:pStyle w:val="HeadingLevel1-BarcRA"/>
      </w:pPr>
      <w:r>
        <w:t>Financial Statement Notes</w:t>
      </w:r>
    </w:p>
    <w:p w:rsidR="00042691" w:rsidRPr="00100BF5" w:rsidRDefault="00042691" w:rsidP="00FB0640">
      <w:pPr>
        <w:pStyle w:val="HeadingLevel1-BarcRA59"/>
        <w:rPr>
          <w:color w:val="auto"/>
          <w:lang w:val="en-GB"/>
        </w:rPr>
      </w:pPr>
      <w:r w:rsidRPr="00100BF5">
        <w:rPr>
          <w:color w:val="auto"/>
        </w:rPr>
        <w:t>19.</w:t>
      </w:r>
      <w:r w:rsidRPr="00100BF5">
        <w:rPr>
          <w:color w:val="auto"/>
        </w:rPr>
        <w:tab/>
        <w:t>Legal Proceedings</w:t>
      </w:r>
      <w:r w:rsidRPr="00100BF5">
        <w:rPr>
          <w:color w:val="auto"/>
          <w:lang w:val="en-GB"/>
        </w:rPr>
        <w:t xml:space="preserve"> (continued)</w:t>
      </w:r>
    </w:p>
    <w:p w:rsidR="00A12DCA" w:rsidRPr="00100BF5" w:rsidRDefault="00A12DCA" w:rsidP="00A12DCA">
      <w:pPr>
        <w:pStyle w:val="BodyText-BarcRA920"/>
        <w:rPr>
          <w:szCs w:val="18"/>
          <w:lang w:val="en-US"/>
        </w:rPr>
      </w:pPr>
      <w:r w:rsidRPr="00100BF5">
        <w:rPr>
          <w:szCs w:val="18"/>
        </w:rPr>
        <w:t xml:space="preserve">On 22 February 2011, the Bankruptcy Court issued its Opinion in relation to these matters, rejecting the Rule 60 Claims and deciding some of the Contract Claims in the Trustee’s favour and some in favour of BCI. On 15 July 2011, the Bankruptcy Court entered final Orders implementing its Opinion. Barclays and the Trustee each appealed the Bankruptcy Court’s adverse rulings on the Contract Claims to the United States District Court for the Southern District of New York (District Court).  LBHI and the Committee did not pursue an appeal from the Bankruptcy Court’s ruling on the Rule 60 Claims.  After briefing and argument, the District Court issued its Opinion on 5 June 2012 in which it reversed one of the Bankruptcy Court’s rulings on the Contract Claims that had been adverse to Barclays and affirmed the Bankruptcy Court’s other rulings on the Contract Claims.  On 17 July 2012, the District Court issued an amended Opinion, correcting certain errors but not otherwise affecting the rulings, and an agreed Judgment implementing the rulings in the Opinion.  Barclays and the Trustee have each filed a notice of appeal from the adverse rulings of the District Court to the United States Court of Appeals for the Second Circuit.  </w:t>
      </w:r>
    </w:p>
    <w:p w:rsidR="00A12DCA" w:rsidRPr="00100BF5" w:rsidRDefault="00A12DCA" w:rsidP="00A12DCA">
      <w:pPr>
        <w:pStyle w:val="BodyText-BarcRA920"/>
        <w:rPr>
          <w:szCs w:val="18"/>
          <w:lang w:val="en-US"/>
        </w:rPr>
      </w:pPr>
      <w:r w:rsidRPr="00100BF5">
        <w:rPr>
          <w:szCs w:val="18"/>
        </w:rPr>
        <w:t>Under the Judgment of the District Court, Barclays is entitled to receive:</w:t>
      </w:r>
    </w:p>
    <w:p w:rsidR="00A12DCA" w:rsidRPr="00100BF5" w:rsidRDefault="00A12DCA" w:rsidP="00181771">
      <w:pPr>
        <w:pStyle w:val="Level1Bullet-BarcRA03"/>
        <w:rPr>
          <w:lang w:val="en-GB"/>
        </w:rPr>
      </w:pPr>
      <w:r w:rsidRPr="00100BF5">
        <w:rPr>
          <w:lang w:val="en-GB"/>
        </w:rPr>
        <w:t>$1.1bn (£0.7bn) from the Trustee in respect of “clearance box” assets;</w:t>
      </w:r>
    </w:p>
    <w:p w:rsidR="00A12DCA" w:rsidRPr="00100BF5" w:rsidRDefault="00A12DCA" w:rsidP="00181771">
      <w:pPr>
        <w:pStyle w:val="Level1Bullet-BarcRA03"/>
        <w:rPr>
          <w:lang w:val="en-GB"/>
        </w:rPr>
      </w:pPr>
      <w:r w:rsidRPr="00100BF5">
        <w:rPr>
          <w:lang w:val="en-GB"/>
        </w:rPr>
        <w:t xml:space="preserve">property held at various institutions to secure obligations under the exchange-traded derivatives transferred to Barclays in the Sale (the ETD Margin), subject to the proviso that Barclays will be entitled to receive $507m (£0.3bn) of the ETD Margin only if and to the extent the Trustee has assets available once the Trustee has satisfied all of LBI’s customer claims; and  </w:t>
      </w:r>
    </w:p>
    <w:p w:rsidR="00A12DCA" w:rsidRPr="00100BF5" w:rsidRDefault="00A12DCA" w:rsidP="00181771">
      <w:pPr>
        <w:pStyle w:val="Level1Bullet-BarcRA03"/>
        <w:rPr>
          <w:lang w:val="en-GB"/>
        </w:rPr>
      </w:pPr>
      <w:r w:rsidRPr="00100BF5">
        <w:rPr>
          <w:lang w:val="en-GB"/>
        </w:rPr>
        <w:t xml:space="preserve">$769m (£0.5bn) from the Trustee in respect of LBI’s 15c3-3 reserve account assets only if and to the extent the Trustee has assets available once the Trustee has satisfied all of LBI’s customer claims.  </w:t>
      </w:r>
    </w:p>
    <w:p w:rsidR="00A12DCA" w:rsidRPr="00100BF5" w:rsidRDefault="00A12DCA" w:rsidP="00A12DCA">
      <w:pPr>
        <w:pStyle w:val="BodyText-BarcRA920"/>
        <w:rPr>
          <w:szCs w:val="18"/>
          <w:lang w:val="en-US"/>
        </w:rPr>
      </w:pPr>
      <w:r w:rsidRPr="00100BF5">
        <w:rPr>
          <w:szCs w:val="18"/>
        </w:rPr>
        <w:t>A portion of the ETD Margin which has not yet been recovered by Barclays or the Trustee is held or owed by certain institutions outside the United States (including several Lehman affiliates that are subject to insolvency or similar proceedings).  Barclays cannot reliably estimate at this time how much of the ETD Margin held or owed by such institutions Barclays is ultimately likely to receive.  Further, Barclays cannot reliably estimate at this time if and to the extent the Trustee will have assets remaining available to it to pay Barclays the $507m (£0.3bn) in respect of ETD Margin or the $769m (£0.5bn) in respect of LBI’s 15c3-3 reserve account assets after satisfying all of LBI’s customer claims.  If the District Court’s rulings were to be unaffected by future proceedings, Barclays estimates that after taking into account the effective provision of $1.3bn (£0.8bn) its loss would be approximately $0.9bn (£0.6bn), conservatively assuming no recovery by Barclays of any of the ETD Margin not yet recovered by Barclays or the Trustee that is held or owed by institutions outside the United States and no recovery by Barclays of the $507m (£0.3bn) in respect of ETD Margin or the $769m (£0.5bn) in respect of LBI’s 15c3-3 reserve account assets.  Any such loss, however, is not considered probable and Barclays is satisfied with the current level of provision.</w:t>
      </w:r>
    </w:p>
    <w:p w:rsidR="00A12DCA" w:rsidRPr="00100BF5" w:rsidRDefault="00A12DCA" w:rsidP="00A12DCA">
      <w:pPr>
        <w:pStyle w:val="HeadingLevel2-BarcRA28"/>
        <w:rPr>
          <w:color w:val="auto"/>
          <w:sz w:val="18"/>
          <w:szCs w:val="18"/>
          <w:lang w:val="en-GB"/>
        </w:rPr>
      </w:pPr>
      <w:r w:rsidRPr="00100BF5">
        <w:rPr>
          <w:color w:val="auto"/>
          <w:sz w:val="18"/>
          <w:szCs w:val="18"/>
          <w:lang w:val="en-GB"/>
        </w:rPr>
        <w:t>American Depositary Shares</w:t>
      </w:r>
    </w:p>
    <w:p w:rsidR="00A12DCA" w:rsidRPr="00100BF5" w:rsidRDefault="00A12DCA" w:rsidP="00A12DCA">
      <w:pPr>
        <w:pStyle w:val="BodyText-BarcRA920"/>
        <w:rPr>
          <w:szCs w:val="18"/>
        </w:rPr>
      </w:pPr>
      <w:r w:rsidRPr="00100BF5">
        <w:rPr>
          <w:szCs w:val="18"/>
        </w:rPr>
        <w:t>Barclays Bank PLC, Barclays PLC and various current and former members of Barclays PLC's Board of Directors have been named as defendants in five proposed securities class actions (which have been consolidated) pending in the United States District Court for the Southern District of New York (the Court). The consolidated amended complaint, dated 12 February 2010, alleges that the registration statements relating to American Depositary Shares representing Preferred Stock, Series 2, 3, 4 and 5 (the ADS) offered by Barclays Bank PLC at various times between 2006 and 2008 contained misstatements and omissions concerning (amongst other things) Barclays portfolio of mortgage-related (including US subprime-related) securities, Barclays exposure to mortgage and credit market risk and Barclays financial condition. The consolidated amended complaint asserts claims under Sections 11, 12(a)(2) and 15 of the Securities Act of 1933. On 5 January 2011, the Court issued an Order and, on 7 January 2011, judgment was entered, granting the defendants' motion to dismiss the complaint in its entirety and closing the case. On 4 February 2011, the plaintiffs filed a motion asking the Court to reconsider in part its dismissal order. On 31 May 2011, the Court denied in full the plaintiffs’ motion for reconsideration. The plaintiffs have appealed both decisions (the grant of the defendants’ motion to dismiss and the denial of the plaintiffs’ motion for reconsideration) to the United States Court of Appeals for the Second Circuit.</w:t>
      </w:r>
    </w:p>
    <w:p w:rsidR="00A12DCA" w:rsidRPr="00100BF5" w:rsidRDefault="00A12DCA" w:rsidP="00A12DCA">
      <w:pPr>
        <w:pStyle w:val="BodyText-BarcRA920"/>
        <w:rPr>
          <w:szCs w:val="18"/>
        </w:rPr>
      </w:pPr>
      <w:r w:rsidRPr="00100BF5">
        <w:rPr>
          <w:szCs w:val="18"/>
        </w:rPr>
        <w:t>Barclays considers that these ADS-related claims against it are without merit and is defending them vigorously. It is not practicable to estimate Barclays possible loss in relation to these claims or any effect that they might have upon operating results in any particular financial period.</w:t>
      </w:r>
    </w:p>
    <w:p w:rsidR="00042691" w:rsidRPr="00100BF5" w:rsidRDefault="00042691" w:rsidP="00A12DCA">
      <w:pPr>
        <w:pStyle w:val="HeadingLevel2-BarcRA28"/>
        <w:rPr>
          <w:color w:val="auto"/>
          <w:sz w:val="18"/>
          <w:szCs w:val="18"/>
          <w:lang w:val="en-GB"/>
        </w:rPr>
      </w:pPr>
    </w:p>
    <w:p w:rsidR="00042691" w:rsidRPr="00100BF5" w:rsidRDefault="00042691" w:rsidP="00A12DCA">
      <w:pPr>
        <w:pStyle w:val="HeadingLevel2-BarcRA28"/>
        <w:rPr>
          <w:color w:val="auto"/>
          <w:sz w:val="18"/>
          <w:szCs w:val="18"/>
          <w:lang w:val="en-GB"/>
        </w:rPr>
      </w:pPr>
    </w:p>
    <w:p w:rsidR="00351861" w:rsidRDefault="00351861" w:rsidP="00351861">
      <w:pPr>
        <w:pStyle w:val="HeadingLevel1-BarcRA"/>
      </w:pPr>
      <w:r>
        <w:rPr>
          <w:color w:val="auto"/>
        </w:rPr>
        <w:br w:type="page"/>
      </w:r>
      <w:r>
        <w:t>Financial Statement Notes</w:t>
      </w:r>
    </w:p>
    <w:p w:rsidR="00042691" w:rsidRPr="00100BF5" w:rsidRDefault="00042691" w:rsidP="00FB0640">
      <w:pPr>
        <w:pStyle w:val="HeadingLevel1-BarcRA59"/>
        <w:rPr>
          <w:color w:val="auto"/>
          <w:lang w:val="en-GB"/>
        </w:rPr>
      </w:pPr>
      <w:r w:rsidRPr="00100BF5">
        <w:rPr>
          <w:color w:val="auto"/>
        </w:rPr>
        <w:t>19.</w:t>
      </w:r>
      <w:r w:rsidRPr="00100BF5">
        <w:rPr>
          <w:color w:val="auto"/>
        </w:rPr>
        <w:tab/>
        <w:t>Legal Proceedings</w:t>
      </w:r>
      <w:r w:rsidRPr="00100BF5">
        <w:rPr>
          <w:color w:val="auto"/>
          <w:lang w:val="en-GB"/>
        </w:rPr>
        <w:t xml:space="preserve"> (continued)</w:t>
      </w:r>
    </w:p>
    <w:p w:rsidR="00A12DCA" w:rsidRPr="00100BF5" w:rsidRDefault="00A12DCA" w:rsidP="00A12DCA">
      <w:pPr>
        <w:pStyle w:val="HeadingLevel2-BarcRA28"/>
        <w:rPr>
          <w:color w:val="auto"/>
          <w:sz w:val="18"/>
          <w:szCs w:val="18"/>
          <w:lang w:val="en-GB"/>
        </w:rPr>
      </w:pPr>
      <w:r w:rsidRPr="00100BF5">
        <w:rPr>
          <w:color w:val="auto"/>
          <w:sz w:val="18"/>
          <w:szCs w:val="18"/>
          <w:lang w:val="en-GB"/>
        </w:rPr>
        <w:t>US Federal Housing Finance Agency and Other Residential Mortgage-Backed Securities Litigation</w:t>
      </w:r>
    </w:p>
    <w:p w:rsidR="005F437E" w:rsidRDefault="005F437E" w:rsidP="00A12DCA">
      <w:pPr>
        <w:pStyle w:val="Normal80"/>
        <w:jc w:val="both"/>
        <w:rPr>
          <w:szCs w:val="18"/>
          <w:lang w:val="en-US"/>
        </w:rPr>
      </w:pPr>
    </w:p>
    <w:p w:rsidR="00A12DCA" w:rsidRPr="00100BF5" w:rsidRDefault="00A12DCA" w:rsidP="00A12DCA">
      <w:pPr>
        <w:pStyle w:val="Normal80"/>
        <w:jc w:val="both"/>
        <w:rPr>
          <w:szCs w:val="18"/>
          <w:lang w:val="en-US"/>
        </w:rPr>
      </w:pPr>
      <w:r w:rsidRPr="00100BF5">
        <w:rPr>
          <w:szCs w:val="18"/>
          <w:lang w:val="en-US"/>
        </w:rPr>
        <w:t xml:space="preserve">The United States Federal Housing Finance Agency (FHFA), acting for two US government sponsored enterprises, Fannie Mae and Freddie Mac (collectively, the GSEs), filed lawsuits against 17 financial institutions in connection with the GSEs’ purchases of residential mortgage-backed securities (RMBS).  The lawsuits allege, amongst other things, that the RMBS offering materials contained materially false and misleading statements and/or omissions.  Barclays Bank PLC and/or certain of its affiliates or former employees are named in two of these lawsuits, relating to sales between 2005 and 2007 of RMBS, in which Barclays Capital Inc. was lead or co-lead underwriter.  </w:t>
      </w:r>
    </w:p>
    <w:p w:rsidR="00A12DCA" w:rsidRPr="00100BF5" w:rsidRDefault="00A12DCA" w:rsidP="00A12DCA">
      <w:pPr>
        <w:pStyle w:val="Normal80"/>
        <w:jc w:val="both"/>
        <w:rPr>
          <w:szCs w:val="18"/>
          <w:lang w:val="en-US"/>
        </w:rPr>
      </w:pPr>
    </w:p>
    <w:p w:rsidR="00A12DCA" w:rsidRPr="00100BF5" w:rsidRDefault="00A12DCA" w:rsidP="00A12DCA">
      <w:pPr>
        <w:pStyle w:val="Normal80"/>
        <w:jc w:val="both"/>
        <w:rPr>
          <w:szCs w:val="18"/>
          <w:lang w:val="en-US"/>
        </w:rPr>
      </w:pPr>
      <w:r w:rsidRPr="00100BF5">
        <w:rPr>
          <w:szCs w:val="18"/>
          <w:lang w:val="en-US"/>
        </w:rPr>
        <w:t xml:space="preserve">Both complaints demand, amongst other things: rescission and recovery of the consideration paid for the RMBS; and recovery for the GSEs’ alleged monetary losses arising out of their ownership of the RMBS.  The complaints are similar to other civil actions filed against Barclays Bank PLC and/or certain of its affiliates by other plaintiffs, including the Federal Home Loan Bank of Seattle, Federal Home Loan Bank of Boston, Federal Home Loan Bank of Chicago, Cambridge Place Investment Management, Inc., HSH Nordbank AG (and affiliates), Sealink Funding Limited, Landesbank Baden-Württemberg (and affiliates), Deutsche Zentral-Genossenschaftsbank AG (and affiliates) and Stichting Pensioenfonds ABP, relating to their purchases of RMBS.  Barclays considers that the claims against it are without merit and intends to defend them vigorously.  </w:t>
      </w:r>
    </w:p>
    <w:p w:rsidR="00A12DCA" w:rsidRPr="00100BF5" w:rsidRDefault="00A12DCA" w:rsidP="00A12DCA">
      <w:pPr>
        <w:pStyle w:val="Normal80"/>
        <w:jc w:val="both"/>
        <w:rPr>
          <w:szCs w:val="18"/>
          <w:lang w:val="en-US"/>
        </w:rPr>
      </w:pPr>
    </w:p>
    <w:p w:rsidR="00A12DCA" w:rsidRPr="00100BF5" w:rsidRDefault="00A12DCA" w:rsidP="00A12DCA">
      <w:pPr>
        <w:pStyle w:val="Normal80"/>
        <w:jc w:val="both"/>
        <w:rPr>
          <w:szCs w:val="18"/>
        </w:rPr>
      </w:pPr>
      <w:r w:rsidRPr="00100BF5">
        <w:rPr>
          <w:szCs w:val="18"/>
          <w:lang w:val="en-US"/>
        </w:rPr>
        <w:t xml:space="preserve">The original amount of RMBS related to the claims against Barclays in these cases </w:t>
      </w:r>
      <w:r w:rsidRPr="00100BF5">
        <w:rPr>
          <w:szCs w:val="18"/>
        </w:rPr>
        <w:t>totalled</w:t>
      </w:r>
      <w:r w:rsidRPr="00100BF5">
        <w:rPr>
          <w:szCs w:val="18"/>
          <w:lang w:val="en-US"/>
        </w:rPr>
        <w:t xml:space="preserve"> approximately $7.6bn, of which approximately $2.4bn was outstanding as at 30 June 2012.  Cumulative losses reported on these RMBS as at 30 June 2012 were approximately $0.2bn.  If Barclays were to lose these cases it could incur a loss of up to the outstanding amount of the RMBS at the time of judgment (taking into account further principal payments after 30 June 2012) plus any cumulative losses on the RMBS at such time and any interest, fees and costs, less the market value of the RMBS at such time. Barclays has estimated the total market value of the RMBS as at 30 June 2012 to be approximately $1.3bn.  Barclays may be entitled to indemnification for a portion of any losses.</w:t>
      </w:r>
    </w:p>
    <w:p w:rsidR="00A12DCA" w:rsidRPr="00100BF5" w:rsidRDefault="00A12DCA" w:rsidP="00A12DCA">
      <w:pPr>
        <w:pStyle w:val="HeadingLevel2-BarcRA28"/>
        <w:rPr>
          <w:color w:val="auto"/>
          <w:sz w:val="18"/>
          <w:szCs w:val="18"/>
          <w:lang w:val="en-GB"/>
        </w:rPr>
      </w:pPr>
      <w:r w:rsidRPr="00100BF5">
        <w:rPr>
          <w:color w:val="auto"/>
          <w:sz w:val="18"/>
          <w:szCs w:val="18"/>
          <w:lang w:val="en-GB"/>
        </w:rPr>
        <w:t xml:space="preserve">Devonshire Trust </w:t>
      </w:r>
    </w:p>
    <w:p w:rsidR="00A12DCA" w:rsidRPr="00100BF5" w:rsidRDefault="00A12DCA" w:rsidP="00A12DCA">
      <w:pPr>
        <w:pStyle w:val="BodyText-BarcRA920"/>
        <w:rPr>
          <w:szCs w:val="18"/>
          <w:lang w:val="en-US" w:eastAsia="en-US"/>
        </w:rPr>
      </w:pPr>
      <w:r w:rsidRPr="00100BF5">
        <w:rPr>
          <w:szCs w:val="18"/>
          <w:lang w:val="en-US" w:eastAsia="en-US"/>
        </w:rPr>
        <w:t>On 13 January 2009, Barclays commenced an action in the Ontario Superior Court seeking an order that its early terminations earlier that day of two credit default swaps under an ISDA Master Agreement with the Devonshire Trust (Devonshire), an asset-backed commercial paper conduit trust, were valid.  On the same day, Devonshire purported to terminate the swaps on the ground that Barclays had failed to provide liquidity support to Devonshire's commercial paper when required to do so. On 7 September 2011, the Court ruled that Barclays early terminations were invalid, Devonshire's early terminations were valid and, consequently, Devonshire was entitled to receive back from Barclays ca</w:t>
      </w:r>
      <w:r w:rsidR="00CF29F5" w:rsidRPr="00100BF5">
        <w:rPr>
          <w:szCs w:val="18"/>
          <w:lang w:val="en-US" w:eastAsia="en-US"/>
        </w:rPr>
        <w:t xml:space="preserve">sh collateral of approximately Canadian </w:t>
      </w:r>
      <w:r w:rsidRPr="00100BF5">
        <w:rPr>
          <w:szCs w:val="18"/>
          <w:lang w:val="en-US" w:eastAsia="en-US"/>
        </w:rPr>
        <w:t>$533m together with accrued interest thereon.  Barclays is appealing the Court's decision.  If the Court’s decision were to be unaffected by future proceedings, Barclays estimates that i</w:t>
      </w:r>
      <w:r w:rsidR="00CF29F5" w:rsidRPr="00100BF5">
        <w:rPr>
          <w:szCs w:val="18"/>
          <w:lang w:val="en-US" w:eastAsia="en-US"/>
        </w:rPr>
        <w:t xml:space="preserve">ts loss would be approximately Canadian </w:t>
      </w:r>
      <w:r w:rsidRPr="00100BF5">
        <w:rPr>
          <w:szCs w:val="18"/>
          <w:lang w:val="en-US" w:eastAsia="en-US"/>
        </w:rPr>
        <w:t>$500m, less any impairment provisions taken by Barclays for this matter.</w:t>
      </w:r>
    </w:p>
    <w:p w:rsidR="00A12DCA" w:rsidRPr="00100BF5" w:rsidRDefault="00A12DCA" w:rsidP="00A12DCA">
      <w:pPr>
        <w:pStyle w:val="Normal80"/>
        <w:autoSpaceDE w:val="0"/>
        <w:autoSpaceDN w:val="0"/>
        <w:spacing w:before="100" w:beforeAutospacing="1" w:after="100" w:afterAutospacing="1" w:line="260" w:lineRule="exact"/>
        <w:jc w:val="both"/>
        <w:rPr>
          <w:b/>
          <w:bCs/>
          <w:szCs w:val="18"/>
        </w:rPr>
      </w:pPr>
      <w:r w:rsidRPr="00100BF5">
        <w:rPr>
          <w:b/>
          <w:bCs/>
          <w:szCs w:val="18"/>
        </w:rPr>
        <w:t>LIBOR Civil Actions</w:t>
      </w:r>
    </w:p>
    <w:p w:rsidR="00A12DCA" w:rsidRPr="00100BF5" w:rsidRDefault="00A12DCA" w:rsidP="00AC40BE">
      <w:pPr>
        <w:pStyle w:val="Normal80"/>
        <w:jc w:val="both"/>
        <w:rPr>
          <w:szCs w:val="18"/>
          <w:lang w:val="en-US"/>
        </w:rPr>
      </w:pPr>
      <w:r w:rsidRPr="00100BF5">
        <w:rPr>
          <w:szCs w:val="18"/>
          <w:lang w:val="en-US"/>
        </w:rPr>
        <w:t>Barclays and other banks have been named as defendants in class action lawsuits filed in United States Federal Courts in connection with their roles as contributor panel banks to US Dollar LIBOR, the first of which was filed on 15 April 2011.  The complaints are substantially similar and allege, amongst other things, that Barclays and the other banks individually and collectively violated various provisions of the Sherman Act, the Commodity Exchange Act and various state laws by suppressing US Dollar LIBOR rates.  Barclays is also named along with other banks in three individual lawsuits by Charles Schwab &amp; Co., Inc. and/or its affiliates, which allege substantially similar claims, as well as violations of the Racketeer Influenced and Corrupt Organizations Act (RICO).  The lawsuits seek an unspecified amount of damages and trebling of damages under the Sherman and RICO Acts.</w:t>
      </w:r>
    </w:p>
    <w:p w:rsidR="008D7F32" w:rsidRPr="00100BF5" w:rsidRDefault="008D7F32" w:rsidP="00AC40BE">
      <w:pPr>
        <w:pStyle w:val="Normal80"/>
        <w:jc w:val="both"/>
        <w:rPr>
          <w:szCs w:val="18"/>
          <w:lang w:val="en-US"/>
        </w:rPr>
      </w:pPr>
    </w:p>
    <w:p w:rsidR="00A12DCA" w:rsidRPr="00100BF5" w:rsidRDefault="00A12DCA" w:rsidP="00AC40BE">
      <w:pPr>
        <w:pStyle w:val="Normal80"/>
        <w:jc w:val="both"/>
        <w:rPr>
          <w:szCs w:val="18"/>
          <w:lang w:val="en-US"/>
        </w:rPr>
      </w:pPr>
      <w:r w:rsidRPr="00100BF5">
        <w:rPr>
          <w:szCs w:val="18"/>
          <w:lang w:val="en-US"/>
        </w:rPr>
        <w:t xml:space="preserve">An additional class action was commenced on 30 April 2012 in the United States District Court for the Southern District of New York (SDNY) against Barclays and other Japanese Yen LIBOR panel banks by plaintiffs involved in exchange-traded derivatives.  The complaint also names members of the Japanese Bankers Association’s Euroyen TIBOR panel, of which Barclays is not a member.  The complaint alleges, amongst other things, manipulation of the Euroyen TIBOR and Yen LIBOR rates and breaches of US antitrust laws between 2006 and 2010.  </w:t>
      </w:r>
    </w:p>
    <w:p w:rsidR="00AC40BE" w:rsidRPr="00100BF5" w:rsidRDefault="00AC40BE" w:rsidP="00C95235">
      <w:pPr>
        <w:pStyle w:val="HeadingLevel1-BarcRA59"/>
        <w:rPr>
          <w:color w:val="auto"/>
          <w:lang w:val="en-GB"/>
        </w:rPr>
      </w:pPr>
    </w:p>
    <w:p w:rsidR="00AC40BE" w:rsidRPr="00100BF5" w:rsidRDefault="00AC40BE" w:rsidP="00C95235">
      <w:pPr>
        <w:pStyle w:val="HeadingLevel1-BarcRA59"/>
        <w:rPr>
          <w:color w:val="auto"/>
          <w:lang w:val="en-GB"/>
        </w:rPr>
      </w:pPr>
    </w:p>
    <w:p w:rsidR="00351861" w:rsidRDefault="00351861" w:rsidP="00351861">
      <w:pPr>
        <w:pStyle w:val="HeadingLevel1-BarcRA"/>
      </w:pPr>
      <w:r>
        <w:rPr>
          <w:color w:val="auto"/>
        </w:rPr>
        <w:br w:type="page"/>
      </w:r>
      <w:r>
        <w:t>Financial Statement Notes</w:t>
      </w:r>
    </w:p>
    <w:p w:rsidR="00C95235" w:rsidRPr="00100BF5" w:rsidRDefault="00C95235" w:rsidP="00FB0640">
      <w:pPr>
        <w:pStyle w:val="HeadingLevel1-BarcRA59"/>
        <w:rPr>
          <w:color w:val="auto"/>
          <w:lang w:val="en-GB"/>
        </w:rPr>
      </w:pPr>
      <w:r w:rsidRPr="00100BF5">
        <w:rPr>
          <w:color w:val="auto"/>
        </w:rPr>
        <w:t>19.</w:t>
      </w:r>
      <w:r w:rsidRPr="00100BF5">
        <w:rPr>
          <w:color w:val="auto"/>
        </w:rPr>
        <w:tab/>
        <w:t>Legal Proceedings</w:t>
      </w:r>
      <w:r w:rsidRPr="00100BF5">
        <w:rPr>
          <w:color w:val="auto"/>
          <w:lang w:val="en-GB"/>
        </w:rPr>
        <w:t xml:space="preserve"> (continued)</w:t>
      </w:r>
    </w:p>
    <w:p w:rsidR="00A12DCA" w:rsidRPr="00100BF5" w:rsidRDefault="00A12DCA" w:rsidP="001A1BB5">
      <w:pPr>
        <w:pStyle w:val="BodyText-BarcRA920"/>
        <w:rPr>
          <w:szCs w:val="18"/>
        </w:rPr>
      </w:pPr>
      <w:r w:rsidRPr="00100BF5">
        <w:rPr>
          <w:szCs w:val="18"/>
        </w:rPr>
        <w:t>A further class action was commenced on 6 July 2012 in the SDNY against Barclays and other EURIBOR panel banks by plaintiffs that purchased or sold EURIBOR-related financial instruments.  The complaint alleges, amongst other things, manipulation of the EURIBOR rate and breaches of the Sherman Act and the Commodity Exchange Act beginning as early as 1 January 2005 and continuing through to 31 December 2009. Barclays has been granted conditional leniency from the Antitrust Division of the Department of Justice (DOJ) in connection with potential US antitrust law violations with respect to financial instruments that reference EURIBOR. As a result of that grant of conditional leniency, Barclays is eligible for (i) a limit on liability to actual rather than treble damages if damages were to be awarded in any civil antitrust action under US antitrust law based on conduct covered by the conditional leniency and (ii) relief from potential joint-and-several liability in connection with such civil antitrust action, subject to Barclays satisfying the DOJ and the court presiding over the civil litigation of its satisfaction of its cooperation obligations.</w:t>
      </w:r>
    </w:p>
    <w:p w:rsidR="00A12DCA" w:rsidRPr="00100BF5" w:rsidRDefault="00A12DCA" w:rsidP="001A1BB5">
      <w:pPr>
        <w:pStyle w:val="BodyText-BarcRA920"/>
        <w:rPr>
          <w:szCs w:val="18"/>
        </w:rPr>
      </w:pPr>
      <w:r w:rsidRPr="00100BF5">
        <w:rPr>
          <w:szCs w:val="18"/>
        </w:rPr>
        <w:t>Barclays has also been named as a defendant along with a current and former member of its Board of Directors in a proposed securities class action pending in the SDNY in connection with Barclays role as a contributor panel bank to LIBOR. The complaint alleges that Barclays Annual Reports for the years 2006-2011 contained misstatements and omissions concerning (amongst other things) Barclays compliance with its operational risk management processes and certain laws and regulations.  The complaint is brought on behalf of a proposed class consisting of all persons or entities (other than the defendants) that purchased Barclays sponsored American Depositary Receipts on an American securities exchange between 10 July 2007 and 27 June 2012.  The complaint asserts claims under Sections 10(b) and 20(a) of the Securities Exchange Act 1934.</w:t>
      </w:r>
    </w:p>
    <w:p w:rsidR="00A12DCA" w:rsidRPr="00100BF5" w:rsidRDefault="00A12DCA" w:rsidP="001A1BB5">
      <w:pPr>
        <w:pStyle w:val="BodyText-BarcRA920"/>
        <w:rPr>
          <w:szCs w:val="18"/>
        </w:rPr>
      </w:pPr>
      <w:r w:rsidRPr="00100BF5">
        <w:rPr>
          <w:szCs w:val="18"/>
        </w:rPr>
        <w:t>It is not practicable to provide an estimate of the financial impact of the potential exposure of any of the actions described or what effect, if any, that they might have upon operating results, cash flows or Barclays financial position in any particular period.</w:t>
      </w:r>
    </w:p>
    <w:p w:rsidR="00A12DCA" w:rsidRPr="00100BF5" w:rsidRDefault="00A12DCA" w:rsidP="001A1BB5">
      <w:pPr>
        <w:pStyle w:val="BodyText-BarcRA920"/>
        <w:rPr>
          <w:szCs w:val="18"/>
        </w:rPr>
      </w:pPr>
      <w:r w:rsidRPr="00100BF5">
        <w:rPr>
          <w:szCs w:val="18"/>
        </w:rPr>
        <w:t xml:space="preserve">See </w:t>
      </w:r>
      <w:r w:rsidR="005F1542">
        <w:rPr>
          <w:szCs w:val="18"/>
        </w:rPr>
        <w:t>also page 87</w:t>
      </w:r>
      <w:r w:rsidR="00EF5141">
        <w:rPr>
          <w:szCs w:val="18"/>
        </w:rPr>
        <w:t>.</w:t>
      </w:r>
    </w:p>
    <w:p w:rsidR="00A12DCA" w:rsidRPr="00100BF5" w:rsidRDefault="00A12DCA" w:rsidP="00A12DCA">
      <w:pPr>
        <w:pStyle w:val="HeadingLevel2-BarcRA28"/>
        <w:rPr>
          <w:color w:val="auto"/>
          <w:sz w:val="18"/>
          <w:szCs w:val="18"/>
          <w:lang w:val="en-GB"/>
        </w:rPr>
      </w:pPr>
      <w:r w:rsidRPr="00100BF5">
        <w:rPr>
          <w:color w:val="auto"/>
          <w:sz w:val="18"/>
          <w:szCs w:val="18"/>
          <w:lang w:val="en-GB"/>
        </w:rPr>
        <w:t>Other</w:t>
      </w:r>
    </w:p>
    <w:p w:rsidR="00A12DCA" w:rsidRPr="00100BF5" w:rsidRDefault="00A12DCA" w:rsidP="001A1BB5">
      <w:pPr>
        <w:pStyle w:val="BodyText-BarcRA920"/>
        <w:rPr>
          <w:szCs w:val="18"/>
        </w:rPr>
      </w:pPr>
      <w:r w:rsidRPr="00100BF5">
        <w:rPr>
          <w:szCs w:val="18"/>
        </w:rPr>
        <w:t>Barclays is engaged in various other legal proceedings both in the United Kingdom and a number of overseas jurisdictions, including the United States, involving claims by and against it which arise in the ordinary course of business, including debt collection, consumer claims and contractual disputes. Barclays does not expect the ultimate resolution of any of these proceedings to which Barclays is party to have a material adverse effect on its results of operations, cash flows or the financial position of the Group and Barclays has not disclosed the contingent liabilities associated with these claims either because they cannot reliably be estimated or because such disclosure could be prejudicial to the conduct of the claims. Provisions have been recognised for those cases where Barclays is able reliably to estimate the probable loss where the probable loss is not de minimis.</w:t>
      </w:r>
    </w:p>
    <w:p w:rsidR="00A12DCA" w:rsidRDefault="00A12DCA">
      <w:pPr>
        <w:rPr>
          <w:rFonts w:ascii="Calibri" w:hAnsi="Calibri"/>
        </w:rPr>
      </w:pPr>
    </w:p>
    <w:p w:rsidR="00A12DCA" w:rsidRPr="00100BF5" w:rsidRDefault="00A12DCA" w:rsidP="00A12DCA">
      <w:pPr>
        <w:pStyle w:val="HeadingLevel1-BarcRA6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200"/>
        </w:tabs>
        <w:rPr>
          <w:color w:val="auto"/>
          <w:lang w:val="en-GB"/>
        </w:rPr>
      </w:pPr>
      <w:r w:rsidRPr="00100BF5">
        <w:rPr>
          <w:color w:val="auto"/>
        </w:rPr>
        <w:t>20.</w:t>
      </w:r>
      <w:r w:rsidRPr="00100BF5">
        <w:rPr>
          <w:color w:val="auto"/>
        </w:rPr>
        <w:tab/>
      </w:r>
      <w:r w:rsidRPr="00100BF5">
        <w:rPr>
          <w:color w:val="auto"/>
          <w:lang w:val="en-GB"/>
        </w:rPr>
        <w:t>Competition and Regulatory Matters</w:t>
      </w:r>
      <w:r w:rsidRPr="00100BF5">
        <w:rPr>
          <w:color w:val="auto"/>
          <w:lang w:val="en-GB"/>
        </w:rPr>
        <w:tab/>
      </w:r>
    </w:p>
    <w:p w:rsidR="00A12DCA" w:rsidRPr="00100BF5" w:rsidRDefault="00A12DCA" w:rsidP="00A12DCA">
      <w:pPr>
        <w:pStyle w:val="BodyText-BarcRA93"/>
        <w:rPr>
          <w:szCs w:val="18"/>
        </w:rPr>
      </w:pPr>
      <w:r w:rsidRPr="00100BF5">
        <w:rPr>
          <w:szCs w:val="18"/>
        </w:rPr>
        <w:t>This note highlights some of the key competition and regulatory challenges facing Barclays, many of which are beyond our control. The extent of the impact of these matters on Barclays and the impact on Barclays of any other competition and regulatory matters in which Barclays is or may in the future become involved cannot always be predicted but may materially impact our businesses and earnings.</w:t>
      </w:r>
    </w:p>
    <w:p w:rsidR="00A12DCA" w:rsidRPr="00100BF5" w:rsidRDefault="00A12DCA" w:rsidP="00A12DCA">
      <w:pPr>
        <w:pStyle w:val="BodyText-BarcRA93"/>
        <w:rPr>
          <w:b/>
          <w:szCs w:val="18"/>
        </w:rPr>
      </w:pPr>
      <w:r w:rsidRPr="00100BF5">
        <w:rPr>
          <w:b/>
          <w:szCs w:val="18"/>
        </w:rPr>
        <w:t>Regulatory change</w:t>
      </w:r>
    </w:p>
    <w:p w:rsidR="00A12DCA" w:rsidRPr="00100BF5" w:rsidRDefault="00A12DCA" w:rsidP="00A12DCA">
      <w:pPr>
        <w:pStyle w:val="BodyText-BarcRA93"/>
        <w:rPr>
          <w:szCs w:val="18"/>
        </w:rPr>
      </w:pPr>
      <w:r w:rsidRPr="00100BF5">
        <w:rPr>
          <w:szCs w:val="18"/>
        </w:rPr>
        <w:t>The scale of regulatory change remains challenging with a significant tightening of regulation and changes to regulatory structures globally, especially for banks that are deemed to be of systemic importance. Concurrently, there is continuing political and regulatory scrutiny of the operation of the banking and consumer credit industries which, in some cases, is leading to increased or changing regulation which is likely to have a significant effect on the industry. Examples include Basel 3, the emerging proposals on bank resolution regimes and proposals relating to over-the-counter derivatives clearing and global systemically important banks.</w:t>
      </w:r>
    </w:p>
    <w:p w:rsidR="005F437E" w:rsidRDefault="004E27F1" w:rsidP="005F437E">
      <w:pPr>
        <w:pStyle w:val="HeadingLevel1-BarcRA"/>
      </w:pPr>
      <w:r>
        <w:br w:type="page"/>
      </w:r>
      <w:r w:rsidR="005F437E">
        <w:t>Financial Statement Notes</w:t>
      </w:r>
    </w:p>
    <w:p w:rsidR="004E27F1" w:rsidRPr="00100BF5" w:rsidRDefault="004E27F1" w:rsidP="00FB0640">
      <w:pPr>
        <w:pStyle w:val="HeadingLevel1-BarcRA6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200"/>
        </w:tabs>
        <w:rPr>
          <w:color w:val="auto"/>
          <w:lang w:val="en-GB"/>
        </w:rPr>
      </w:pPr>
      <w:r w:rsidRPr="00100BF5">
        <w:rPr>
          <w:color w:val="auto"/>
        </w:rPr>
        <w:t>20.</w:t>
      </w:r>
      <w:r w:rsidRPr="00100BF5">
        <w:rPr>
          <w:color w:val="auto"/>
        </w:rPr>
        <w:tab/>
      </w:r>
      <w:r w:rsidRPr="00100BF5">
        <w:rPr>
          <w:color w:val="auto"/>
          <w:lang w:val="en-GB"/>
        </w:rPr>
        <w:t>Competition and Regulatory Matters</w:t>
      </w:r>
      <w:r w:rsidRPr="00100BF5">
        <w:rPr>
          <w:color w:val="auto"/>
          <w:lang w:val="en-GB"/>
        </w:rPr>
        <w:tab/>
      </w:r>
      <w:r w:rsidR="00CC4AD1">
        <w:rPr>
          <w:color w:val="auto"/>
          <w:lang w:val="en-GB"/>
        </w:rPr>
        <w:t xml:space="preserve"> </w:t>
      </w:r>
      <w:r w:rsidRPr="00100BF5">
        <w:rPr>
          <w:color w:val="auto"/>
          <w:lang w:val="en-GB"/>
        </w:rPr>
        <w:t>(continued)</w:t>
      </w:r>
    </w:p>
    <w:p w:rsidR="00A12DCA" w:rsidRPr="00100BF5" w:rsidRDefault="00A12DCA" w:rsidP="00A12DCA">
      <w:pPr>
        <w:pStyle w:val="BodyText-BarcRA93"/>
        <w:rPr>
          <w:szCs w:val="18"/>
        </w:rPr>
      </w:pPr>
      <w:r w:rsidRPr="00100BF5">
        <w:rPr>
          <w:szCs w:val="18"/>
        </w:rPr>
        <w:t>In the UK, the FSA's current responsibilities are to be reallocated between the Prudential Regulatory Authority (a subsidiary of the Bank of England) and a new Financial Conduct Authority. In addition, the Independent Commission on Banking (the ICB) completed its review of the UK banking system and published its final report on 12 September 2011. The ICB recommended (amongst other things) that: (i) the UK and EEA retail banking activities of a UK bank or building society should be placed in a legally distinct, operationally separate and economically independent entity (so-called “ring-fencing”); and (ii) the loss-absorbing capacity of ring-fenced banks and UK-headquartered global systemically important banks (such as Barclays Bank PLC) should be increased to levels higher than the Basel 3 proposals. The UK Government published a white paper setting out its proposals for taking forward implementation of the ICB recommendations in June 2012 and indicated that primary and secondary legislation will be completed by May 2015, with UK banks required to be compliant by 1 January 2019. Furthermore, in July 2012, the UK Parliament established a Parliamentary Commission on Banking Standards, which will consider and report on the professional standards and culture of the UK banking sector and corporate governance, transparency and conflicts of interest. The Parliamentary Commission is due to report in December 2012 its findings and proposals for any legislative changes.</w:t>
      </w:r>
    </w:p>
    <w:p w:rsidR="00A12DCA" w:rsidRPr="00100BF5" w:rsidRDefault="00A12DCA" w:rsidP="00A12DCA">
      <w:pPr>
        <w:pStyle w:val="BodyText-BarcRA93"/>
        <w:rPr>
          <w:szCs w:val="18"/>
        </w:rPr>
      </w:pPr>
      <w:r w:rsidRPr="00100BF5">
        <w:rPr>
          <w:szCs w:val="18"/>
        </w:rPr>
        <w:t xml:space="preserve">The US Dodd-Frank Wall Street Reform and Consumer Protection Act contains far reaching regulatory reform. The full impact on Barclays businesses and markets will not be known until the principal implementing rules are adopted in final form by governmental authorities, a process which is underway and which will take effect over several years. </w:t>
      </w:r>
    </w:p>
    <w:p w:rsidR="00A12DCA" w:rsidRPr="00100BF5" w:rsidRDefault="00A12DCA" w:rsidP="00A12DCA">
      <w:pPr>
        <w:pStyle w:val="BodyText-BarcRA93"/>
        <w:rPr>
          <w:b/>
          <w:szCs w:val="18"/>
        </w:rPr>
      </w:pPr>
      <w:r w:rsidRPr="00100BF5">
        <w:rPr>
          <w:b/>
          <w:szCs w:val="18"/>
        </w:rPr>
        <w:t>Interchange</w:t>
      </w:r>
    </w:p>
    <w:p w:rsidR="00A12DCA" w:rsidRPr="00100BF5" w:rsidRDefault="00A12DCA" w:rsidP="00A12DCA">
      <w:pPr>
        <w:pStyle w:val="BodyText-BarcRA93"/>
        <w:rPr>
          <w:szCs w:val="18"/>
        </w:rPr>
      </w:pPr>
      <w:r w:rsidRPr="00100BF5">
        <w:rPr>
          <w:szCs w:val="18"/>
        </w:rPr>
        <w:t>The Office of Fair Trading, as well as other competition authorities elsewhere in Europe, continues to investigate Visa and MasterCard credit and debit interchange rates. These investigations may have an impact on the consumer credit industry as well as having the potential for the imposition of fines. Timing is uncertain but outcomes may be known within the next 2-4 years.</w:t>
      </w:r>
    </w:p>
    <w:p w:rsidR="00A12DCA" w:rsidRPr="00100BF5" w:rsidRDefault="00A12DCA" w:rsidP="00A12DCA">
      <w:pPr>
        <w:pStyle w:val="BodyText-BarcRA93"/>
        <w:rPr>
          <w:b/>
          <w:szCs w:val="18"/>
        </w:rPr>
      </w:pPr>
      <w:r w:rsidRPr="00100BF5">
        <w:rPr>
          <w:b/>
          <w:szCs w:val="18"/>
        </w:rPr>
        <w:t>London Interbank Offered Rate (LIBOR)</w:t>
      </w:r>
    </w:p>
    <w:p w:rsidR="00A12DCA" w:rsidRPr="00100BF5" w:rsidRDefault="00A12DCA" w:rsidP="00A12DCA">
      <w:pPr>
        <w:pStyle w:val="BodyText-BarcRA93"/>
        <w:rPr>
          <w:szCs w:val="18"/>
        </w:rPr>
      </w:pPr>
      <w:r w:rsidRPr="00100BF5">
        <w:rPr>
          <w:szCs w:val="18"/>
        </w:rPr>
        <w:t xml:space="preserve">The FSA, the US Commodity Futures Trading Commission (the CFTC), the SEC, the US Department of Justice Fraud Section (the DOJ-FS) and Antitrust Division and the European Commission are amongst various authorities conducting investigations (the Investigations) into submissions made by Barclays and other panel members to the bodies that set various interbank offered rates, such as LIBOR and the Euro Interbank Offered Rate (EURIBOR). </w:t>
      </w:r>
    </w:p>
    <w:p w:rsidR="00A12DCA" w:rsidRPr="00100BF5" w:rsidRDefault="00A12DCA" w:rsidP="00A12DCA">
      <w:pPr>
        <w:pStyle w:val="BodyText-BarcRA93"/>
        <w:rPr>
          <w:szCs w:val="18"/>
        </w:rPr>
      </w:pPr>
      <w:r w:rsidRPr="00100BF5">
        <w:rPr>
          <w:szCs w:val="18"/>
        </w:rPr>
        <w:t>On 27 June 2012, Barclays announced that it had reached settlements with the FSA, the CFTC and the DOJ-FS in relation to the Investigations and Barclays has agreed to pay total penalties of £290m (Sterling equivalent), which have been reflected in operating expenses for 2012. The settlements were made by entry into a Settlement Agreement with the FSA, a Non-Prosecution Agreement with the DOJ-FS and a Settlement Order Agreement with the CFTC. In addition, Barclays has been granted conditional leniency from the Antitrust Division of the Department of Justice in connection with potential US antitrust law violations with respect to financial instruments that reference EURIBOR.</w:t>
      </w:r>
    </w:p>
    <w:p w:rsidR="00A12DCA" w:rsidRPr="00100BF5" w:rsidRDefault="005F1542" w:rsidP="00A12DCA">
      <w:pPr>
        <w:pStyle w:val="BodyText-BarcRA93"/>
        <w:rPr>
          <w:szCs w:val="18"/>
        </w:rPr>
      </w:pPr>
      <w:r>
        <w:rPr>
          <w:szCs w:val="18"/>
        </w:rPr>
        <w:t>See also page 86</w:t>
      </w:r>
      <w:r w:rsidR="00A12DCA" w:rsidRPr="00100BF5">
        <w:rPr>
          <w:szCs w:val="18"/>
        </w:rPr>
        <w:t>.</w:t>
      </w:r>
    </w:p>
    <w:p w:rsidR="00A12DCA" w:rsidRPr="00100BF5" w:rsidRDefault="00A12DCA" w:rsidP="00A12DCA">
      <w:pPr>
        <w:pStyle w:val="BodyText-BarcRA93"/>
        <w:rPr>
          <w:szCs w:val="18"/>
        </w:rPr>
      </w:pPr>
      <w:r w:rsidRPr="00100BF5">
        <w:rPr>
          <w:szCs w:val="18"/>
        </w:rPr>
        <w:t>On 6 July 2012, the UK Serious Fraud Office announced that it had decided formally to accept the LIBOR matter for investigation.</w:t>
      </w:r>
    </w:p>
    <w:p w:rsidR="00A12DCA" w:rsidRPr="00100BF5" w:rsidRDefault="00A12DCA" w:rsidP="00A12DCA">
      <w:pPr>
        <w:pStyle w:val="BodyText-BarcRA93"/>
        <w:rPr>
          <w:b/>
          <w:szCs w:val="18"/>
        </w:rPr>
      </w:pPr>
      <w:r w:rsidRPr="00100BF5">
        <w:rPr>
          <w:b/>
          <w:szCs w:val="18"/>
        </w:rPr>
        <w:t>Interest Rate Hedging Products</w:t>
      </w:r>
    </w:p>
    <w:p w:rsidR="00A12DCA" w:rsidRPr="00100BF5" w:rsidRDefault="005F1542" w:rsidP="00A12DCA">
      <w:pPr>
        <w:pStyle w:val="BodyText-BarcRA93"/>
        <w:rPr>
          <w:szCs w:val="18"/>
        </w:rPr>
      </w:pPr>
      <w:r>
        <w:rPr>
          <w:szCs w:val="18"/>
        </w:rPr>
        <w:t>See page 81</w:t>
      </w:r>
      <w:r w:rsidR="00A12DCA" w:rsidRPr="00100BF5">
        <w:rPr>
          <w:szCs w:val="18"/>
        </w:rPr>
        <w:t xml:space="preserve">.   </w:t>
      </w:r>
    </w:p>
    <w:p w:rsidR="00A12DCA" w:rsidRPr="004E27F1" w:rsidRDefault="00A12DCA">
      <w:pPr>
        <w:rPr>
          <w:rFonts w:eastAsia="Times New Roman" w:cs="Times New Roman"/>
          <w:sz w:val="18"/>
          <w:szCs w:val="18"/>
          <w:lang w:val="en-GB"/>
        </w:rPr>
        <w:sectPr w:rsidR="00A12DCA" w:rsidRPr="004E27F1" w:rsidSect="00E100EB">
          <w:pgSz w:w="11905" w:h="16837"/>
          <w:pgMar w:top="851" w:right="1134" w:bottom="567" w:left="1134" w:header="851" w:footer="567" w:gutter="0"/>
          <w:cols w:space="708"/>
        </w:sectPr>
      </w:pPr>
    </w:p>
    <w:p w:rsidR="004E27F1" w:rsidRPr="004E27F1" w:rsidRDefault="00EA5632" w:rsidP="004E27F1">
      <w:pPr>
        <w:pStyle w:val="BodyText-BarcRA93"/>
        <w:rPr>
          <w:b/>
          <w:szCs w:val="18"/>
        </w:rPr>
      </w:pPr>
      <w:r>
        <w:rPr>
          <w:b/>
          <w:szCs w:val="18"/>
        </w:rPr>
        <w:t>Other disclosure matters</w:t>
      </w:r>
      <w:r w:rsidR="004E27F1" w:rsidRPr="004E27F1">
        <w:rPr>
          <w:b/>
          <w:szCs w:val="18"/>
        </w:rPr>
        <w:t xml:space="preserve"> </w:t>
      </w:r>
    </w:p>
    <w:p w:rsidR="004E27F1" w:rsidRPr="004E27F1" w:rsidRDefault="004E27F1" w:rsidP="0036376E">
      <w:pPr>
        <w:jc w:val="both"/>
        <w:rPr>
          <w:rFonts w:eastAsia="Times New Roman" w:cs="Times New Roman"/>
          <w:sz w:val="18"/>
          <w:szCs w:val="18"/>
          <w:lang w:val="en-GB"/>
        </w:rPr>
      </w:pPr>
      <w:r w:rsidRPr="004E27F1">
        <w:rPr>
          <w:rFonts w:eastAsia="Times New Roman" w:cs="Times New Roman"/>
          <w:sz w:val="18"/>
          <w:szCs w:val="18"/>
          <w:lang w:val="en-GB"/>
        </w:rPr>
        <w:t>The FSA has commenced an investigation involving Barclays and four current and former senior employees, including Chris Lucas, Group Finance Director. The FSA is investigating the sufficiency of disclosure in relation to fees payable under certain commercial agreements and whether these may have related to Barclays capital raisings in June and November 2008.</w:t>
      </w:r>
    </w:p>
    <w:p w:rsidR="004E27F1" w:rsidRPr="004E27F1" w:rsidRDefault="004E27F1" w:rsidP="0036376E">
      <w:pPr>
        <w:jc w:val="both"/>
        <w:rPr>
          <w:rFonts w:eastAsia="Times New Roman" w:cs="Times New Roman"/>
          <w:sz w:val="18"/>
          <w:szCs w:val="18"/>
          <w:lang w:val="en-GB"/>
        </w:rPr>
      </w:pPr>
    </w:p>
    <w:p w:rsidR="004E27F1" w:rsidRPr="004E27F1" w:rsidRDefault="004E27F1" w:rsidP="0036376E">
      <w:pPr>
        <w:jc w:val="both"/>
        <w:rPr>
          <w:rFonts w:eastAsia="Times New Roman" w:cs="Times New Roman"/>
          <w:sz w:val="18"/>
          <w:szCs w:val="18"/>
          <w:lang w:val="en-GB"/>
        </w:rPr>
      </w:pPr>
      <w:r w:rsidRPr="004E27F1">
        <w:rPr>
          <w:rFonts w:eastAsia="Times New Roman" w:cs="Times New Roman"/>
          <w:sz w:val="18"/>
          <w:szCs w:val="18"/>
          <w:lang w:val="en-GB"/>
        </w:rPr>
        <w:t>Barclays considers that it satisfied its disclosure obligations and confirms that it will cooperate ful</w:t>
      </w:r>
      <w:r w:rsidR="0036376E">
        <w:rPr>
          <w:rFonts w:eastAsia="Times New Roman" w:cs="Times New Roman"/>
          <w:sz w:val="18"/>
          <w:szCs w:val="18"/>
          <w:lang w:val="en-GB"/>
        </w:rPr>
        <w:t xml:space="preserve">ly with </w:t>
      </w:r>
      <w:r>
        <w:rPr>
          <w:rFonts w:eastAsia="Times New Roman" w:cs="Times New Roman"/>
          <w:sz w:val="18"/>
          <w:szCs w:val="18"/>
          <w:lang w:val="en-GB"/>
        </w:rPr>
        <w:t>th</w:t>
      </w:r>
      <w:r w:rsidR="0036376E">
        <w:rPr>
          <w:rFonts w:eastAsia="Times New Roman" w:cs="Times New Roman"/>
          <w:sz w:val="18"/>
          <w:szCs w:val="18"/>
          <w:lang w:val="en-GB"/>
        </w:rPr>
        <w:t>e</w:t>
      </w:r>
      <w:r>
        <w:rPr>
          <w:rFonts w:eastAsia="Times New Roman" w:cs="Times New Roman"/>
          <w:sz w:val="18"/>
          <w:szCs w:val="18"/>
          <w:lang w:val="en-GB"/>
        </w:rPr>
        <w:t xml:space="preserve"> FSA’s investigation.</w:t>
      </w:r>
      <w:r w:rsidRPr="004E27F1">
        <w:rPr>
          <w:rFonts w:eastAsia="Times New Roman" w:cs="Times New Roman"/>
          <w:sz w:val="18"/>
          <w:szCs w:val="18"/>
          <w:lang w:val="en-GB"/>
        </w:rPr>
        <w:t> </w:t>
      </w:r>
    </w:p>
    <w:p w:rsidR="005F437E" w:rsidRDefault="004E27F1" w:rsidP="005F437E">
      <w:pPr>
        <w:pStyle w:val="HeadingLevel1-BarcRA"/>
      </w:pPr>
      <w:r>
        <w:br w:type="page"/>
      </w:r>
      <w:r w:rsidR="005F437E">
        <w:t>Financial Statement Notes</w:t>
      </w:r>
    </w:p>
    <w:p w:rsidR="00A12DCA" w:rsidRPr="00100BF5" w:rsidRDefault="00A12DCA" w:rsidP="00FB0640">
      <w:pPr>
        <w:pStyle w:val="HeadingLevel1-BarcRA61"/>
        <w:rPr>
          <w:color w:val="auto"/>
          <w:lang w:val="en-GB"/>
        </w:rPr>
      </w:pPr>
      <w:r w:rsidRPr="00100BF5">
        <w:rPr>
          <w:color w:val="auto"/>
        </w:rPr>
        <w:t>21.</w:t>
      </w:r>
      <w:r w:rsidRPr="00100BF5">
        <w:rPr>
          <w:color w:val="auto"/>
        </w:rPr>
        <w:tab/>
      </w:r>
      <w:r w:rsidRPr="00100BF5">
        <w:rPr>
          <w:color w:val="auto"/>
          <w:lang w:val="en-GB"/>
        </w:rPr>
        <w:t>Related Party Transactions</w:t>
      </w:r>
    </w:p>
    <w:p w:rsidR="00A12DCA" w:rsidRPr="00100BF5" w:rsidRDefault="00A12DCA" w:rsidP="00A12DCA">
      <w:pPr>
        <w:pStyle w:val="Normal81"/>
        <w:jc w:val="both"/>
        <w:rPr>
          <w:rFonts w:eastAsia="Expert Sans Regular"/>
        </w:rPr>
      </w:pPr>
      <w:r w:rsidRPr="00100BF5">
        <w:t xml:space="preserve">Related party transactions in the half year ended 30 June 2012 were similar in nature to those disclosed in the Group’s 2011 Annual Report. No related party transactions that have taken place in the six months to 30 June 2012 have materially affected the financial position or the performance of the Group during this period and there were no changes in the related parties transactions described in the 2011 Annual Report that could have a material effect on the financial position or performance of the Group in the first six months of the current financial year. </w:t>
      </w:r>
    </w:p>
    <w:p w:rsidR="007F5897" w:rsidRPr="00100BF5" w:rsidRDefault="007F5897" w:rsidP="00A12DCA">
      <w:pPr>
        <w:pStyle w:val="Normal81"/>
        <w:jc w:val="both"/>
        <w:rPr>
          <w:rFonts w:eastAsia="Expert Sans Regular"/>
        </w:rPr>
      </w:pPr>
    </w:p>
    <w:p w:rsidR="007F5897" w:rsidRPr="00100BF5" w:rsidRDefault="007F5897" w:rsidP="007F5897">
      <w:pPr>
        <w:pStyle w:val="HeadingLevel1-BarcRA61"/>
        <w:rPr>
          <w:color w:val="auto"/>
          <w:lang w:val="en-GB"/>
        </w:rPr>
      </w:pPr>
      <w:r w:rsidRPr="00100BF5">
        <w:rPr>
          <w:color w:val="auto"/>
        </w:rPr>
        <w:t>2</w:t>
      </w:r>
      <w:r w:rsidRPr="00100BF5">
        <w:rPr>
          <w:color w:val="auto"/>
          <w:lang w:val="en-GB"/>
        </w:rPr>
        <w:t>2</w:t>
      </w:r>
      <w:r w:rsidRPr="00100BF5">
        <w:rPr>
          <w:color w:val="auto"/>
        </w:rPr>
        <w:t>.</w:t>
      </w:r>
      <w:r w:rsidRPr="00100BF5">
        <w:rPr>
          <w:color w:val="auto"/>
        </w:rPr>
        <w:tab/>
      </w:r>
      <w:r w:rsidRPr="00100BF5">
        <w:rPr>
          <w:color w:val="auto"/>
          <w:lang w:val="en-GB"/>
        </w:rPr>
        <w:t>Post Balance Sheet Events</w:t>
      </w:r>
    </w:p>
    <w:p w:rsidR="007F5897" w:rsidRPr="00EA5632" w:rsidRDefault="007F5897" w:rsidP="00EA5632">
      <w:pPr>
        <w:pStyle w:val="BodyText-BarcRA93"/>
        <w:rPr>
          <w:szCs w:val="18"/>
        </w:rPr>
      </w:pPr>
      <w:r w:rsidRPr="00EA5632">
        <w:rPr>
          <w:szCs w:val="18"/>
        </w:rPr>
        <w:t>On 2 July 2012, Marcus Agius announced his resignation as Chairman of Barclay</w:t>
      </w:r>
      <w:r w:rsidR="00595EC4" w:rsidRPr="00EA5632">
        <w:rPr>
          <w:szCs w:val="18"/>
        </w:rPr>
        <w:t>s</w:t>
      </w:r>
      <w:r w:rsidRPr="00EA5632">
        <w:rPr>
          <w:szCs w:val="18"/>
        </w:rPr>
        <w:t xml:space="preserve"> PLC, confirming that a search would commence, with immediate effect, for an appropriate successor.  Mr Agius would remain in post until an orderly succession is assured and Sir Michael Rake was appointed Deputy Chairman.  In addition, and in response to the findings from the investigations by various regulatory authorities into submissions made by Barclays and other Panel membe</w:t>
      </w:r>
      <w:r w:rsidR="007C49A8" w:rsidRPr="00EA5632">
        <w:rPr>
          <w:szCs w:val="18"/>
        </w:rPr>
        <w:t>rs into the setting of various interbank o</w:t>
      </w:r>
      <w:r w:rsidRPr="00EA5632">
        <w:rPr>
          <w:szCs w:val="18"/>
        </w:rPr>
        <w:t>ffer</w:t>
      </w:r>
      <w:r w:rsidR="007C49A8" w:rsidRPr="00EA5632">
        <w:rPr>
          <w:szCs w:val="18"/>
        </w:rPr>
        <w:t>ed</w:t>
      </w:r>
      <w:r w:rsidRPr="00EA5632">
        <w:rPr>
          <w:szCs w:val="18"/>
        </w:rPr>
        <w:t xml:space="preserve"> rates, the Board confirmed that it would undertake an independent, third party review of Barclays business practices.</w:t>
      </w:r>
    </w:p>
    <w:p w:rsidR="007F5897" w:rsidRPr="00EA5632" w:rsidRDefault="007F5897" w:rsidP="00EA5632">
      <w:pPr>
        <w:pStyle w:val="BodyText-BarcRA93"/>
        <w:rPr>
          <w:szCs w:val="18"/>
        </w:rPr>
      </w:pPr>
      <w:r w:rsidRPr="00EA5632">
        <w:rPr>
          <w:szCs w:val="18"/>
        </w:rPr>
        <w:t>On 3 July, and with immediate effect, Bob Diamond resigned from the Boards of Barclays PLC and Barclays Bank PLC, and from his role as Chief Executive, and Jerry Del Missier resigned as Chief Operating Officer and relinquished his membership of the Executive Committee.  Mr Agius assumed the role of full-time Chairman and chair of the Executive Committee and is leading the search for a new Chief Executive, supported by Sir Michael Rake.</w:t>
      </w:r>
    </w:p>
    <w:p w:rsidR="00541389" w:rsidRPr="00EA5632" w:rsidRDefault="00541389" w:rsidP="00EA5632">
      <w:pPr>
        <w:pStyle w:val="BodyText-BarcRA93"/>
        <w:rPr>
          <w:szCs w:val="18"/>
        </w:rPr>
      </w:pPr>
      <w:r w:rsidRPr="00EA5632">
        <w:rPr>
          <w:szCs w:val="18"/>
        </w:rPr>
        <w:t xml:space="preserve">On 10 July, the Board announced that it had accepted Mr Diamond’s voluntary offer to waive all of his unvested deferred bonus awards and long-term incentive share awards, with no compensation made in respect of the lapsed awards.  The Board also asked Mr Diamond to support the transition to the new Chief Executive as </w:t>
      </w:r>
      <w:r w:rsidR="000C0E25">
        <w:rPr>
          <w:szCs w:val="18"/>
        </w:rPr>
        <w:t xml:space="preserve">necessary, to which he agreed. </w:t>
      </w:r>
      <w:r w:rsidRPr="00EA5632">
        <w:rPr>
          <w:szCs w:val="18"/>
        </w:rPr>
        <w:t xml:space="preserve">Consistent with his contract of employment, Mr Diamond will receive up to 12 months’ salary, pension allowance and other benefits; and he agreed to forgo his contractual entitlement to tax equalisation going forward.  The Board agreed with Mr Diamond that he will not receive any future bonus or incentive awards; nor will he receive any further compensation payment in connection with the termination of his employment. </w:t>
      </w:r>
    </w:p>
    <w:p w:rsidR="007F5897" w:rsidRPr="00EA5632" w:rsidRDefault="007F5897" w:rsidP="00EA5632">
      <w:pPr>
        <w:pStyle w:val="BodyText-BarcRA93"/>
        <w:rPr>
          <w:szCs w:val="18"/>
        </w:rPr>
      </w:pPr>
      <w:r w:rsidRPr="00EA5632">
        <w:rPr>
          <w:szCs w:val="18"/>
        </w:rPr>
        <w:t xml:space="preserve">On 24 July, the Board announced </w:t>
      </w:r>
      <w:r w:rsidR="008F327E">
        <w:rPr>
          <w:szCs w:val="18"/>
        </w:rPr>
        <w:t>that Anthony Salz would lead an</w:t>
      </w:r>
      <w:r w:rsidRPr="00EA5632">
        <w:rPr>
          <w:szCs w:val="18"/>
        </w:rPr>
        <w:t xml:space="preserve"> independent, third party, review of business practices.</w:t>
      </w:r>
      <w:r w:rsidR="00EA5632" w:rsidRPr="00EA5632">
        <w:rPr>
          <w:szCs w:val="18"/>
        </w:rPr>
        <w:t xml:space="preserve"> This global review will 1) assess the bank’s current values, principles and standard of operation; 2) test how well these are reflected in the bank’s decision-making processes; 3) assess whether or not the appropriate training, development, incentives, and disciplinary processes are in place; and 4) determine to what extent each of these aspects need to change. </w:t>
      </w:r>
      <w:r w:rsidRPr="00EA5632">
        <w:rPr>
          <w:szCs w:val="18"/>
        </w:rPr>
        <w:t>The review’s findings and recommendations will be published, based on evidence gathered through extensive engagement with all of the bank’s stakeholders and a thorough review of all pertinent documentary evidence.</w:t>
      </w:r>
    </w:p>
    <w:p w:rsidR="007F5897" w:rsidRPr="00100BF5" w:rsidRDefault="007F5897" w:rsidP="00A12DCA">
      <w:pPr>
        <w:pStyle w:val="Normal81"/>
        <w:jc w:val="both"/>
        <w:rPr>
          <w:rFonts w:eastAsia="Expert Sans Regular"/>
        </w:rPr>
      </w:pPr>
    </w:p>
    <w:p w:rsidR="007F5897" w:rsidRPr="00100BF5" w:rsidRDefault="007F5897" w:rsidP="00A12DCA">
      <w:pPr>
        <w:pStyle w:val="Normal81"/>
        <w:jc w:val="both"/>
      </w:pPr>
    </w:p>
    <w:p w:rsidR="00A12DCA" w:rsidRPr="00100BF5" w:rsidRDefault="00A12DCA">
      <w:pPr>
        <w:sectPr w:rsidR="00A12DCA" w:rsidRPr="00100BF5" w:rsidSect="00E100EB">
          <w:type w:val="continuous"/>
          <w:pgSz w:w="11905" w:h="16837"/>
          <w:pgMar w:top="851" w:right="1134" w:bottom="567" w:left="1134" w:header="851" w:footer="567" w:gutter="0"/>
          <w:cols w:space="708"/>
        </w:sectPr>
      </w:pPr>
    </w:p>
    <w:p w:rsidR="005F437E" w:rsidRDefault="005F437E" w:rsidP="005F437E">
      <w:pPr>
        <w:pStyle w:val="HeadingLevel1-BarcRA"/>
      </w:pPr>
      <w:r>
        <w:t>Financial Statement Notes</w:t>
      </w:r>
    </w:p>
    <w:p w:rsidR="00A12DCA" w:rsidRPr="00100BF5" w:rsidRDefault="007F5897" w:rsidP="00FB0640">
      <w:pPr>
        <w:pStyle w:val="HeadingLevel1-BarcRA61"/>
        <w:rPr>
          <w:color w:val="auto"/>
        </w:rPr>
      </w:pPr>
      <w:r w:rsidRPr="00100BF5">
        <w:rPr>
          <w:color w:val="auto"/>
        </w:rPr>
        <w:t>2</w:t>
      </w:r>
      <w:r w:rsidRPr="00100BF5">
        <w:rPr>
          <w:color w:val="auto"/>
          <w:lang w:val="en-GB"/>
        </w:rPr>
        <w:t>3</w:t>
      </w:r>
      <w:r w:rsidR="00A12DCA" w:rsidRPr="00100BF5">
        <w:rPr>
          <w:color w:val="auto"/>
        </w:rPr>
        <w:t>.</w:t>
      </w:r>
      <w:r w:rsidR="00A12DCA" w:rsidRPr="00100BF5">
        <w:rPr>
          <w:color w:val="auto"/>
        </w:rPr>
        <w:tab/>
        <w:t>Segmental Reporting</w:t>
      </w:r>
    </w:p>
    <w:p w:rsidR="00A12DCA" w:rsidRPr="00100BF5" w:rsidRDefault="00A12DCA">
      <w:pPr>
        <w:rPr>
          <w:lang w:val="en-GB"/>
        </w:rPr>
      </w:pPr>
    </w:p>
    <w:p w:rsidR="00A12DCA" w:rsidRPr="00100BF5" w:rsidRDefault="00A12DCA" w:rsidP="00C95235">
      <w:pPr>
        <w:pStyle w:val="Normal81"/>
        <w:jc w:val="both"/>
      </w:pPr>
      <w:r w:rsidRPr="00100BF5">
        <w:t>There have been two changes to the Barclays business structure since 31 December 2011.</w:t>
      </w:r>
    </w:p>
    <w:p w:rsidR="00A12DCA" w:rsidRPr="00100BF5" w:rsidRDefault="00A12DCA" w:rsidP="00A12DCA">
      <w:pPr>
        <w:pStyle w:val="HeadingLevel2-BarcRA27"/>
        <w:rPr>
          <w:color w:val="auto"/>
        </w:rPr>
      </w:pPr>
      <w:r w:rsidRPr="00100BF5">
        <w:rPr>
          <w:color w:val="auto"/>
        </w:rPr>
        <w:t xml:space="preserve">Single Barclays Brand </w:t>
      </w:r>
    </w:p>
    <w:p w:rsidR="00A12DCA" w:rsidRPr="00100BF5" w:rsidRDefault="00A12DCA" w:rsidP="00A12DCA">
      <w:pPr>
        <w:pStyle w:val="BodyText-BarcRA95"/>
      </w:pPr>
      <w:r w:rsidRPr="00100BF5">
        <w:t>Following the move to a single Barclays brand certain business segments have been renamed as follows:</w:t>
      </w:r>
    </w:p>
    <w:p w:rsidR="00A12DCA" w:rsidRPr="00100BF5" w:rsidRDefault="00A12DCA" w:rsidP="00181771">
      <w:pPr>
        <w:pStyle w:val="Level1Bullet-BarcRA03"/>
        <w:rPr>
          <w:lang w:val="en-GB"/>
        </w:rPr>
      </w:pPr>
      <w:r w:rsidRPr="00100BF5">
        <w:rPr>
          <w:lang w:val="en-GB"/>
        </w:rPr>
        <w:t>Barclays Capital has been renamed Investment Bank</w:t>
      </w:r>
    </w:p>
    <w:p w:rsidR="00A12DCA" w:rsidRPr="00100BF5" w:rsidRDefault="00A12DCA" w:rsidP="00181771">
      <w:pPr>
        <w:pStyle w:val="Level1Bullet-BarcRA03"/>
        <w:rPr>
          <w:lang w:val="en-GB"/>
        </w:rPr>
      </w:pPr>
      <w:r w:rsidRPr="00100BF5">
        <w:rPr>
          <w:lang w:val="en-GB"/>
        </w:rPr>
        <w:t>Barclays Corporate has been renamed Corporate Banking</w:t>
      </w:r>
    </w:p>
    <w:p w:rsidR="00A12DCA" w:rsidRPr="00100BF5" w:rsidRDefault="00A12DCA" w:rsidP="00181771">
      <w:pPr>
        <w:pStyle w:val="Level1Bullet-BarcRA03"/>
        <w:rPr>
          <w:lang w:val="en-GB"/>
        </w:rPr>
      </w:pPr>
      <w:r w:rsidRPr="00100BF5">
        <w:rPr>
          <w:lang w:val="en-GB"/>
        </w:rPr>
        <w:t>Barclays Wealth has been renamed Wealth and Investment Management</w:t>
      </w:r>
    </w:p>
    <w:p w:rsidR="00A12DCA" w:rsidRPr="00100BF5" w:rsidRDefault="00A12DCA" w:rsidP="00181771">
      <w:pPr>
        <w:pStyle w:val="Level1Bullet-BarcRA03"/>
        <w:rPr>
          <w:lang w:val="en-GB"/>
        </w:rPr>
      </w:pPr>
      <w:r w:rsidRPr="00100BF5">
        <w:rPr>
          <w:lang w:val="en-GB"/>
        </w:rPr>
        <w:t>Head Office and Other Operations includes the results previously reported as the Investment Management segment comprising Barclays previous investment in BlackRock, Inc. and the residual elements relating to Barclays Global Investors</w:t>
      </w:r>
    </w:p>
    <w:p w:rsidR="00A12DCA" w:rsidRPr="00100BF5" w:rsidRDefault="00A12DCA" w:rsidP="00A12DCA">
      <w:pPr>
        <w:pStyle w:val="HeadingLevel2-BarcRA27"/>
        <w:rPr>
          <w:color w:val="auto"/>
        </w:rPr>
      </w:pPr>
      <w:r w:rsidRPr="00100BF5">
        <w:rPr>
          <w:color w:val="auto"/>
        </w:rPr>
        <w:t>Restructure of Corporate Banking Activities in Africa</w:t>
      </w:r>
    </w:p>
    <w:p w:rsidR="00A12DCA" w:rsidRPr="00100BF5" w:rsidRDefault="00A12DCA" w:rsidP="00A12DCA">
      <w:pPr>
        <w:pStyle w:val="BodyText-BarcRA95"/>
      </w:pPr>
      <w:r w:rsidRPr="00100BF5">
        <w:t xml:space="preserve">Certain corporate banking activities in Africa, previously reported under Africa RBB, are now included within Corporate Banking. These activities include approximately 800 clients as well as the Trade Finance and Electronic Banking channels relating to large corporate clients. This change has been made to further align client coverage and product ownership to better serve clients needs, and to align Africa to the reporting approach for the UK and Europe. The total amount of profit before tax transferred for the six months ended 31 December 2011 was £41m and for the six months ended 30 June 2011 was £37m. </w:t>
      </w:r>
    </w:p>
    <w:p w:rsidR="00A12DCA" w:rsidRPr="00100BF5" w:rsidRDefault="00A12DCA" w:rsidP="00EA5632">
      <w:pPr>
        <w:pStyle w:val="Normal83"/>
        <w:jc w:val="both"/>
      </w:pPr>
      <w:r w:rsidRPr="00100BF5">
        <w:t>The impacts of the transfers are considered to be immaterial and were disclosed in the 31 March 2012 Interim Management Statement. They have no impact on the overall Barclays results.  </w:t>
      </w:r>
    </w:p>
    <w:p w:rsidR="00A12DCA" w:rsidRPr="00100BF5" w:rsidRDefault="00A12DCA" w:rsidP="00A12DCA">
      <w:pPr>
        <w:pStyle w:val="BodyText-BarcRA95"/>
      </w:pPr>
      <w:r w:rsidRPr="00100BF5">
        <w:t>The tables set out below analyse the results by business under the revised business structure.</w:t>
      </w:r>
    </w:p>
    <w:p w:rsidR="00A12DCA" w:rsidRPr="00100BF5" w:rsidRDefault="00A12DCA"/>
    <w:tbl>
      <w:tblPr>
        <w:tblW w:w="0" w:type="auto"/>
        <w:tblLayout w:type="fixed"/>
        <w:tblLook w:val="0000" w:firstRow="0" w:lastRow="0" w:firstColumn="0" w:lastColumn="0" w:noHBand="0" w:noVBand="0"/>
      </w:tblPr>
      <w:tblGrid>
        <w:gridCol w:w="4020"/>
        <w:gridCol w:w="1125"/>
        <w:gridCol w:w="1125"/>
        <w:gridCol w:w="1125"/>
        <w:gridCol w:w="1125"/>
        <w:gridCol w:w="1125"/>
      </w:tblGrid>
      <w:tr w:rsidR="00A12DCA" w:rsidRPr="00100BF5" w:rsidTr="009C7B67">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r w:rsidRPr="00100BF5">
              <w:rPr>
                <w:b/>
                <w:sz w:val="16"/>
              </w:rPr>
              <w:t>Analysis of results by business</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vertAlign w:val="superscript"/>
              </w:rPr>
            </w:pPr>
            <w:r w:rsidRPr="00100BF5">
              <w:rPr>
                <w:b/>
                <w:sz w:val="16"/>
              </w:rPr>
              <w:t>UK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Europe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Africa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Barclaycard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RBB Total</w:t>
            </w:r>
          </w:p>
        </w:tc>
      </w:tr>
      <w:tr w:rsidR="00A12DCA" w:rsidRPr="00100BF5" w:rsidTr="009C7B6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Half Year Ended 30 June 2012</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vertAlign w:val="superscript"/>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r>
      <w:tr w:rsidR="00A12DCA" w:rsidRPr="00100BF5" w:rsidTr="009C7B6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Total income net of insurance claims</w:t>
            </w:r>
            <w:r w:rsidRPr="00100BF5">
              <w:rPr>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2,205 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486 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1,625 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2,026 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6,342 </w:t>
            </w:r>
          </w:p>
        </w:tc>
      </w:tr>
      <w:tr w:rsidR="00A12DCA" w:rsidRPr="00100BF5" w:rsidTr="009C7B6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Credit impairment charges and other provisions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(122)</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(157)</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(321)</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(460)</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(1,060)</w:t>
            </w:r>
          </w:p>
        </w:tc>
      </w:tr>
      <w:tr w:rsidR="00A12DCA" w:rsidRPr="00100BF5" w:rsidTr="009C7B6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Net operating income</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vertAlign w:val="superscript"/>
              </w:rPr>
            </w:pPr>
            <w:r w:rsidRPr="00100BF5">
              <w:rPr>
                <w:b/>
                <w:sz w:val="16"/>
              </w:rPr>
              <w:t>2,083 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329 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1,304 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1,566 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5,282 </w:t>
            </w:r>
          </w:p>
        </w:tc>
      </w:tr>
      <w:tr w:rsidR="00A12DCA" w:rsidRPr="00100BF5" w:rsidTr="009C7B67">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Operating expenses</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(1,637)</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(428)</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(1,033)</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(830)</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(3,928)</w:t>
            </w:r>
          </w:p>
        </w:tc>
      </w:tr>
      <w:tr w:rsidR="00A12DCA" w:rsidRPr="00100BF5" w:rsidTr="009C7B6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Other income/(losses)</w:t>
            </w:r>
            <w:r w:rsidRPr="00100BF5">
              <w:rPr>
                <w:sz w:val="16"/>
                <w:vertAlign w:val="superscript"/>
              </w:rPr>
              <w:t>1 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7 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3 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17 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27 </w:t>
            </w:r>
          </w:p>
        </w:tc>
      </w:tr>
      <w:tr w:rsidR="00A12DCA" w:rsidRPr="00100BF5" w:rsidTr="00432270">
        <w:tblPrEx>
          <w:tblCellMar>
            <w:top w:w="0" w:type="dxa"/>
            <w:bottom w:w="0" w:type="dxa"/>
          </w:tblCellMar>
        </w:tblPrEx>
        <w:trPr>
          <w:trHeight w:val="59"/>
        </w:trPr>
        <w:tc>
          <w:tcPr>
            <w:tcW w:w="4020" w:type="dxa"/>
            <w:tcBorders>
              <w:top w:val="single" w:sz="6" w:space="0" w:color="969696"/>
              <w:left w:val="nil"/>
              <w:right w:val="nil"/>
            </w:tcBorders>
            <w:shd w:val="clear" w:color="auto" w:fill="FFFFFF"/>
            <w:tcMar>
              <w:left w:w="36" w:type="dxa"/>
              <w:right w:w="36" w:type="dxa"/>
            </w:tcMar>
          </w:tcPr>
          <w:p w:rsidR="00A12DCA" w:rsidRPr="00100BF5" w:rsidRDefault="00A12DCA" w:rsidP="001A1BB5">
            <w:pPr>
              <w:rPr>
                <w:b/>
                <w:sz w:val="16"/>
              </w:rPr>
            </w:pPr>
            <w:r w:rsidRPr="00100BF5">
              <w:rPr>
                <w:b/>
                <w:sz w:val="16"/>
              </w:rPr>
              <w:t xml:space="preserve">Profit /(loss) before tax </w:t>
            </w:r>
          </w:p>
        </w:tc>
        <w:tc>
          <w:tcPr>
            <w:tcW w:w="1125" w:type="dxa"/>
            <w:tcBorders>
              <w:top w:val="single" w:sz="6" w:space="0" w:color="969696"/>
              <w:left w:val="nil"/>
              <w:right w:val="nil"/>
            </w:tcBorders>
            <w:shd w:val="clear" w:color="auto" w:fill="EAEAEA"/>
            <w:tcMar>
              <w:left w:w="36" w:type="dxa"/>
              <w:right w:w="36" w:type="dxa"/>
            </w:tcMar>
            <w:vAlign w:val="center"/>
          </w:tcPr>
          <w:p w:rsidR="00A12DCA" w:rsidRPr="00100BF5" w:rsidRDefault="00A12DCA" w:rsidP="00483803">
            <w:pPr>
              <w:jc w:val="right"/>
              <w:rPr>
                <w:b/>
                <w:sz w:val="16"/>
                <w:vertAlign w:val="superscript"/>
              </w:rPr>
            </w:pPr>
            <w:r w:rsidRPr="00100BF5">
              <w:rPr>
                <w:b/>
                <w:sz w:val="16"/>
              </w:rPr>
              <w:t>446 </w:t>
            </w:r>
          </w:p>
        </w:tc>
        <w:tc>
          <w:tcPr>
            <w:tcW w:w="1125" w:type="dxa"/>
            <w:tcBorders>
              <w:top w:val="single" w:sz="6" w:space="0" w:color="969696"/>
              <w:left w:val="nil"/>
              <w:right w:val="nil"/>
            </w:tcBorders>
            <w:shd w:val="clear" w:color="auto" w:fill="EAEAEA"/>
            <w:tcMar>
              <w:left w:w="36" w:type="dxa"/>
              <w:right w:w="36" w:type="dxa"/>
            </w:tcMar>
            <w:vAlign w:val="center"/>
          </w:tcPr>
          <w:p w:rsidR="00A12DCA" w:rsidRPr="00100BF5" w:rsidRDefault="00A12DCA" w:rsidP="00483803">
            <w:pPr>
              <w:jc w:val="right"/>
              <w:rPr>
                <w:b/>
                <w:sz w:val="16"/>
              </w:rPr>
            </w:pPr>
            <w:r w:rsidRPr="00100BF5">
              <w:rPr>
                <w:b/>
                <w:sz w:val="16"/>
              </w:rPr>
              <w:t>(92)</w:t>
            </w:r>
          </w:p>
        </w:tc>
        <w:tc>
          <w:tcPr>
            <w:tcW w:w="1125" w:type="dxa"/>
            <w:tcBorders>
              <w:top w:val="single" w:sz="6" w:space="0" w:color="969696"/>
              <w:left w:val="nil"/>
              <w:right w:val="nil"/>
            </w:tcBorders>
            <w:shd w:val="clear" w:color="auto" w:fill="EAEAEA"/>
            <w:tcMar>
              <w:left w:w="36" w:type="dxa"/>
              <w:right w:w="36" w:type="dxa"/>
            </w:tcMar>
            <w:vAlign w:val="center"/>
          </w:tcPr>
          <w:p w:rsidR="00A12DCA" w:rsidRPr="00100BF5" w:rsidRDefault="00A12DCA" w:rsidP="00483803">
            <w:pPr>
              <w:jc w:val="right"/>
              <w:rPr>
                <w:b/>
                <w:sz w:val="16"/>
              </w:rPr>
            </w:pPr>
            <w:r w:rsidRPr="00100BF5">
              <w:rPr>
                <w:b/>
                <w:sz w:val="16"/>
              </w:rPr>
              <w:t>274 </w:t>
            </w:r>
          </w:p>
        </w:tc>
        <w:tc>
          <w:tcPr>
            <w:tcW w:w="1125" w:type="dxa"/>
            <w:tcBorders>
              <w:top w:val="single" w:sz="6" w:space="0" w:color="969696"/>
              <w:left w:val="nil"/>
              <w:right w:val="nil"/>
            </w:tcBorders>
            <w:shd w:val="clear" w:color="auto" w:fill="EAEAEA"/>
            <w:tcMar>
              <w:left w:w="36" w:type="dxa"/>
              <w:right w:w="36" w:type="dxa"/>
            </w:tcMar>
            <w:vAlign w:val="center"/>
          </w:tcPr>
          <w:p w:rsidR="00A12DCA" w:rsidRPr="00100BF5" w:rsidRDefault="00A12DCA" w:rsidP="00483803">
            <w:pPr>
              <w:jc w:val="right"/>
              <w:rPr>
                <w:b/>
                <w:sz w:val="16"/>
              </w:rPr>
            </w:pPr>
            <w:r w:rsidRPr="00100BF5">
              <w:rPr>
                <w:b/>
                <w:sz w:val="16"/>
              </w:rPr>
              <w:t>753 </w:t>
            </w:r>
          </w:p>
        </w:tc>
        <w:tc>
          <w:tcPr>
            <w:tcW w:w="1125" w:type="dxa"/>
            <w:tcBorders>
              <w:top w:val="single" w:sz="6" w:space="0" w:color="969696"/>
              <w:left w:val="nil"/>
              <w:right w:val="nil"/>
            </w:tcBorders>
            <w:shd w:val="clear" w:color="auto" w:fill="EAEAEA"/>
            <w:tcMar>
              <w:left w:w="36" w:type="dxa"/>
              <w:right w:w="36" w:type="dxa"/>
            </w:tcMar>
            <w:vAlign w:val="center"/>
          </w:tcPr>
          <w:p w:rsidR="00A12DCA" w:rsidRPr="00100BF5" w:rsidRDefault="00A12DCA" w:rsidP="00483803">
            <w:pPr>
              <w:jc w:val="right"/>
              <w:rPr>
                <w:b/>
                <w:sz w:val="16"/>
              </w:rPr>
            </w:pPr>
            <w:r w:rsidRPr="00100BF5">
              <w:rPr>
                <w:b/>
                <w:sz w:val="16"/>
              </w:rPr>
              <w:t>1,381 </w:t>
            </w:r>
          </w:p>
        </w:tc>
      </w:tr>
      <w:tr w:rsidR="00483803" w:rsidRPr="00100BF5" w:rsidTr="00432270">
        <w:tblPrEx>
          <w:tblCellMar>
            <w:top w:w="0" w:type="dxa"/>
            <w:bottom w:w="0" w:type="dxa"/>
          </w:tblCellMar>
        </w:tblPrEx>
        <w:trPr>
          <w:trHeight w:val="124"/>
        </w:trPr>
        <w:tc>
          <w:tcPr>
            <w:tcW w:w="4020"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r>
      <w:tr w:rsidR="00A12DCA" w:rsidRPr="00100BF5" w:rsidTr="009C7B6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 xml:space="preserve">Total assets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C49A8">
            <w:pPr>
              <w:jc w:val="right"/>
              <w:rPr>
                <w:b/>
                <w:sz w:val="16"/>
                <w:vertAlign w:val="superscript"/>
              </w:rPr>
            </w:pPr>
            <w:r w:rsidRPr="00100BF5">
              <w:rPr>
                <w:b/>
                <w:sz w:val="16"/>
              </w:rPr>
              <w:t>130,77</w:t>
            </w:r>
            <w:r w:rsidR="007C49A8" w:rsidRPr="00100BF5">
              <w:rPr>
                <w:b/>
                <w:sz w:val="16"/>
              </w:rPr>
              <w:t>6</w:t>
            </w:r>
            <w:r w:rsidRPr="00100BF5">
              <w:rPr>
                <w:b/>
                <w:sz w:val="16"/>
              </w:rPr>
              <w:t>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48,109 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47,398 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34,596 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C49A8">
            <w:pPr>
              <w:jc w:val="right"/>
              <w:rPr>
                <w:b/>
                <w:sz w:val="16"/>
              </w:rPr>
            </w:pPr>
            <w:r w:rsidRPr="00100BF5">
              <w:rPr>
                <w:b/>
                <w:sz w:val="16"/>
              </w:rPr>
              <w:t>260,87</w:t>
            </w:r>
            <w:r w:rsidR="007C49A8" w:rsidRPr="00100BF5">
              <w:rPr>
                <w:b/>
                <w:sz w:val="16"/>
              </w:rPr>
              <w:t>9</w:t>
            </w:r>
            <w:r w:rsidRPr="00100BF5">
              <w:rPr>
                <w:b/>
                <w:sz w:val="16"/>
              </w:rPr>
              <w:t> </w:t>
            </w:r>
          </w:p>
        </w:tc>
      </w:tr>
      <w:tr w:rsidR="00A12DCA" w:rsidRPr="00100BF5">
        <w:tblPrEx>
          <w:tblCellMar>
            <w:top w:w="0" w:type="dxa"/>
            <w:bottom w:w="0" w:type="dxa"/>
          </w:tblCellMar>
        </w:tblPrEx>
        <w:trPr>
          <w:trHeight w:val="765"/>
        </w:trPr>
        <w:tc>
          <w:tcPr>
            <w:tcW w:w="4020" w:type="dxa"/>
            <w:tcBorders>
              <w:top w:val="nil"/>
              <w:left w:val="nil"/>
              <w:bottom w:val="nil"/>
              <w:right w:val="nil"/>
            </w:tcBorders>
            <w:shd w:val="clear" w:color="auto" w:fill="FFFFFF"/>
            <w:tcMar>
              <w:left w:w="36" w:type="dxa"/>
              <w:right w:w="36" w:type="dxa"/>
            </w:tcMar>
            <w:vAlign w:val="bottom"/>
          </w:tcPr>
          <w:p w:rsidR="00A12DCA" w:rsidRPr="00100BF5" w:rsidRDefault="00A12DCA">
            <w:pPr>
              <w:rPr>
                <w:b/>
                <w:sz w:val="16"/>
              </w:rPr>
            </w:pPr>
            <w:r w:rsidRPr="00100BF5">
              <w:rPr>
                <w:b/>
                <w:sz w:val="16"/>
              </w:rPr>
              <w:t>Analysis of results by business</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Investment Bank</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p w:rsidR="00A12DCA" w:rsidRPr="00100BF5" w:rsidRDefault="00A12DCA">
            <w:pPr>
              <w:jc w:val="right"/>
              <w:rPr>
                <w:b/>
                <w:sz w:val="16"/>
              </w:rPr>
            </w:pPr>
            <w:r w:rsidRPr="00100BF5">
              <w:rPr>
                <w:b/>
                <w:sz w:val="16"/>
              </w:rPr>
              <w:t>Corporate Banking</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Wealth and Investment Management</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Head Office</w:t>
            </w:r>
          </w:p>
          <w:p w:rsidR="00A12DCA" w:rsidRPr="00100BF5" w:rsidRDefault="00A12DCA">
            <w:pPr>
              <w:jc w:val="right"/>
              <w:rPr>
                <w:b/>
                <w:sz w:val="16"/>
              </w:rPr>
            </w:pPr>
            <w:r w:rsidRPr="00100BF5">
              <w:rPr>
                <w:b/>
                <w:sz w:val="16"/>
              </w:rPr>
              <w:t>and Other</w:t>
            </w:r>
          </w:p>
          <w:p w:rsidR="00A12DCA" w:rsidRPr="00100BF5" w:rsidRDefault="00A12DCA">
            <w:pPr>
              <w:jc w:val="right"/>
              <w:rPr>
                <w:b/>
                <w:sz w:val="16"/>
              </w:rPr>
            </w:pPr>
            <w:r w:rsidRPr="00100BF5">
              <w:rPr>
                <w:b/>
                <w:sz w:val="16"/>
              </w:rPr>
              <w:t>Operations</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Group Total</w:t>
            </w:r>
          </w:p>
        </w:tc>
      </w:tr>
      <w:tr w:rsidR="00A12DCA" w:rsidRPr="00100BF5" w:rsidTr="009C7B6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Half Year Ended 30 June 2012 continued</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sz w:val="16"/>
                <w:vertAlign w:val="superscript"/>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jc w:val="right"/>
              <w:rPr>
                <w:b/>
                <w:sz w:val="16"/>
              </w:rPr>
            </w:pPr>
            <w:r w:rsidRPr="00100BF5">
              <w:rPr>
                <w:b/>
                <w:sz w:val="16"/>
              </w:rPr>
              <w:t>£m</w:t>
            </w:r>
          </w:p>
        </w:tc>
      </w:tr>
      <w:tr w:rsidR="00A12DCA" w:rsidRPr="00100BF5" w:rsidTr="009C7B6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Total income net of insurance claims</w:t>
            </w:r>
            <w:r w:rsidRPr="00100BF5">
              <w:rPr>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6,496 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1,527 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892 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(2,500)</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12,757 </w:t>
            </w:r>
          </w:p>
        </w:tc>
      </w:tr>
      <w:tr w:rsidR="00A12DCA" w:rsidRPr="00100BF5" w:rsidTr="009C7B6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Credit impairment charges and other provisions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(323)</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(425)</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(19)</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(5)</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(1,832)</w:t>
            </w:r>
          </w:p>
        </w:tc>
      </w:tr>
      <w:tr w:rsidR="00A12DCA" w:rsidRPr="00100BF5" w:rsidTr="009C7B6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Net operating income</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vertAlign w:val="superscript"/>
              </w:rPr>
            </w:pPr>
            <w:r w:rsidRPr="00100BF5">
              <w:rPr>
                <w:b/>
                <w:sz w:val="16"/>
              </w:rPr>
              <w:t>6,173 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1,102 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873 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(2,505)</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10,925 </w:t>
            </w:r>
          </w:p>
        </w:tc>
      </w:tr>
      <w:tr w:rsidR="00A12DCA" w:rsidRPr="00100BF5" w:rsidTr="009C7B67">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Operating expenses</w:t>
            </w:r>
            <w:r w:rsidRPr="00100BF5">
              <w:rPr>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(3,933)</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(1,204)</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(751)</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(425)</w:t>
            </w:r>
          </w:p>
        </w:tc>
        <w:tc>
          <w:tcPr>
            <w:tcW w:w="1125" w:type="dxa"/>
            <w:tcBorders>
              <w:top w:val="nil"/>
              <w:left w:val="nil"/>
              <w:bottom w:val="nil"/>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(10,241)</w:t>
            </w:r>
          </w:p>
        </w:tc>
      </w:tr>
      <w:tr w:rsidR="00A12DCA" w:rsidRPr="00100BF5" w:rsidTr="009C7B6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rPr>
            </w:pPr>
            <w:r w:rsidRPr="00100BF5">
              <w:rPr>
                <w:sz w:val="16"/>
              </w:rPr>
              <w:t>Other income/(losses)</w:t>
            </w:r>
            <w:r w:rsidRPr="00100BF5">
              <w:rPr>
                <w:sz w:val="16"/>
                <w:vertAlign w:val="superscript"/>
              </w:rPr>
              <w:t>1 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vertAlign w:val="superscript"/>
              </w:rPr>
            </w:pPr>
            <w:r w:rsidRPr="00100BF5">
              <w:rPr>
                <w:sz w:val="16"/>
              </w:rPr>
              <w:t>28 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(1)</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23 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A12DCA" w:rsidRPr="00100BF5" w:rsidRDefault="00A12DCA" w:rsidP="009C7B67">
            <w:pPr>
              <w:jc w:val="right"/>
              <w:rPr>
                <w:sz w:val="16"/>
              </w:rPr>
            </w:pPr>
            <w:r w:rsidRPr="00100BF5">
              <w:rPr>
                <w:sz w:val="16"/>
              </w:rPr>
              <w:t>75 </w:t>
            </w:r>
          </w:p>
        </w:tc>
      </w:tr>
      <w:tr w:rsidR="00A12DCA" w:rsidRPr="00100BF5" w:rsidTr="00432270">
        <w:tblPrEx>
          <w:tblCellMar>
            <w:top w:w="0" w:type="dxa"/>
            <w:bottom w:w="0" w:type="dxa"/>
          </w:tblCellMar>
        </w:tblPrEx>
        <w:trPr>
          <w:trHeight w:val="276"/>
        </w:trPr>
        <w:tc>
          <w:tcPr>
            <w:tcW w:w="4020" w:type="dxa"/>
            <w:tcBorders>
              <w:top w:val="single" w:sz="6" w:space="0" w:color="969696"/>
              <w:left w:val="nil"/>
              <w:right w:val="nil"/>
            </w:tcBorders>
            <w:shd w:val="clear" w:color="auto" w:fill="FFFFFF"/>
            <w:tcMar>
              <w:left w:w="36" w:type="dxa"/>
              <w:right w:w="36" w:type="dxa"/>
            </w:tcMar>
          </w:tcPr>
          <w:p w:rsidR="00A12DCA" w:rsidRPr="00100BF5" w:rsidRDefault="00A12DCA" w:rsidP="001A1BB5">
            <w:pPr>
              <w:rPr>
                <w:b/>
                <w:sz w:val="16"/>
              </w:rPr>
            </w:pPr>
            <w:r w:rsidRPr="00100BF5">
              <w:rPr>
                <w:b/>
                <w:sz w:val="16"/>
              </w:rPr>
              <w:t xml:space="preserve">Profit /(loss) before tax </w:t>
            </w:r>
          </w:p>
        </w:tc>
        <w:tc>
          <w:tcPr>
            <w:tcW w:w="1125" w:type="dxa"/>
            <w:tcBorders>
              <w:top w:val="single" w:sz="6" w:space="0" w:color="969696"/>
              <w:left w:val="nil"/>
              <w:right w:val="nil"/>
            </w:tcBorders>
            <w:shd w:val="clear" w:color="auto" w:fill="EAEAEA"/>
            <w:tcMar>
              <w:left w:w="36" w:type="dxa"/>
              <w:right w:w="36" w:type="dxa"/>
            </w:tcMar>
          </w:tcPr>
          <w:p w:rsidR="00A12DCA" w:rsidRPr="00100BF5" w:rsidRDefault="00A12DCA" w:rsidP="009C7B67">
            <w:pPr>
              <w:jc w:val="right"/>
              <w:rPr>
                <w:b/>
                <w:sz w:val="16"/>
                <w:vertAlign w:val="superscript"/>
              </w:rPr>
            </w:pPr>
            <w:r w:rsidRPr="00100BF5">
              <w:rPr>
                <w:b/>
                <w:sz w:val="16"/>
              </w:rPr>
              <w:t>2,268 </w:t>
            </w:r>
          </w:p>
        </w:tc>
        <w:tc>
          <w:tcPr>
            <w:tcW w:w="1125" w:type="dxa"/>
            <w:tcBorders>
              <w:top w:val="single" w:sz="6" w:space="0" w:color="969696"/>
              <w:left w:val="nil"/>
              <w:right w:val="nil"/>
            </w:tcBorders>
            <w:shd w:val="clear" w:color="auto" w:fill="EAEAEA"/>
            <w:tcMar>
              <w:left w:w="36" w:type="dxa"/>
              <w:right w:w="36" w:type="dxa"/>
            </w:tcMar>
          </w:tcPr>
          <w:p w:rsidR="00A12DCA" w:rsidRPr="00100BF5" w:rsidRDefault="00A12DCA" w:rsidP="009C7B67">
            <w:pPr>
              <w:jc w:val="right"/>
              <w:rPr>
                <w:b/>
                <w:sz w:val="16"/>
              </w:rPr>
            </w:pPr>
            <w:r w:rsidRPr="00100BF5">
              <w:rPr>
                <w:b/>
                <w:sz w:val="16"/>
              </w:rPr>
              <w:t>(104)</w:t>
            </w:r>
          </w:p>
        </w:tc>
        <w:tc>
          <w:tcPr>
            <w:tcW w:w="1125" w:type="dxa"/>
            <w:tcBorders>
              <w:top w:val="single" w:sz="6" w:space="0" w:color="969696"/>
              <w:left w:val="nil"/>
              <w:right w:val="nil"/>
            </w:tcBorders>
            <w:shd w:val="clear" w:color="auto" w:fill="EAEAEA"/>
            <w:tcMar>
              <w:left w:w="36" w:type="dxa"/>
              <w:right w:w="36" w:type="dxa"/>
            </w:tcMar>
          </w:tcPr>
          <w:p w:rsidR="00A12DCA" w:rsidRPr="00100BF5" w:rsidRDefault="00A12DCA" w:rsidP="009C7B67">
            <w:pPr>
              <w:jc w:val="right"/>
              <w:rPr>
                <w:b/>
                <w:sz w:val="16"/>
              </w:rPr>
            </w:pPr>
            <w:r w:rsidRPr="00100BF5">
              <w:rPr>
                <w:b/>
                <w:sz w:val="16"/>
              </w:rPr>
              <w:t>121 </w:t>
            </w:r>
          </w:p>
        </w:tc>
        <w:tc>
          <w:tcPr>
            <w:tcW w:w="1125" w:type="dxa"/>
            <w:tcBorders>
              <w:top w:val="single" w:sz="6" w:space="0" w:color="969696"/>
              <w:left w:val="nil"/>
              <w:right w:val="nil"/>
            </w:tcBorders>
            <w:shd w:val="clear" w:color="auto" w:fill="EAEAEA"/>
            <w:tcMar>
              <w:left w:w="36" w:type="dxa"/>
              <w:right w:w="36" w:type="dxa"/>
            </w:tcMar>
          </w:tcPr>
          <w:p w:rsidR="00A12DCA" w:rsidRPr="00100BF5" w:rsidRDefault="00A12DCA" w:rsidP="009C7B67">
            <w:pPr>
              <w:jc w:val="right"/>
              <w:rPr>
                <w:b/>
                <w:sz w:val="16"/>
              </w:rPr>
            </w:pPr>
            <w:r w:rsidRPr="00100BF5">
              <w:rPr>
                <w:b/>
                <w:sz w:val="16"/>
              </w:rPr>
              <w:t>(2,907)</w:t>
            </w:r>
          </w:p>
        </w:tc>
        <w:tc>
          <w:tcPr>
            <w:tcW w:w="1125" w:type="dxa"/>
            <w:tcBorders>
              <w:top w:val="single" w:sz="6" w:space="0" w:color="969696"/>
              <w:left w:val="nil"/>
              <w:right w:val="nil"/>
            </w:tcBorders>
            <w:shd w:val="clear" w:color="auto" w:fill="EAEAEA"/>
            <w:tcMar>
              <w:left w:w="36" w:type="dxa"/>
              <w:right w:w="36" w:type="dxa"/>
            </w:tcMar>
          </w:tcPr>
          <w:p w:rsidR="00A12DCA" w:rsidRPr="00100BF5" w:rsidRDefault="00A12DCA" w:rsidP="009C7B67">
            <w:pPr>
              <w:jc w:val="right"/>
              <w:rPr>
                <w:b/>
                <w:sz w:val="16"/>
              </w:rPr>
            </w:pPr>
            <w:r w:rsidRPr="00100BF5">
              <w:rPr>
                <w:b/>
                <w:sz w:val="16"/>
              </w:rPr>
              <w:t>759 </w:t>
            </w:r>
          </w:p>
        </w:tc>
      </w:tr>
      <w:tr w:rsidR="00483803" w:rsidRPr="00100BF5" w:rsidTr="00432270">
        <w:tblPrEx>
          <w:tblCellMar>
            <w:top w:w="0" w:type="dxa"/>
            <w:bottom w:w="0" w:type="dxa"/>
          </w:tblCellMar>
        </w:tblPrEx>
        <w:trPr>
          <w:trHeight w:val="266"/>
        </w:trPr>
        <w:tc>
          <w:tcPr>
            <w:tcW w:w="4020"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c>
          <w:tcPr>
            <w:tcW w:w="1125" w:type="dxa"/>
            <w:tcBorders>
              <w:left w:val="nil"/>
              <w:bottom w:val="single" w:sz="6" w:space="0" w:color="969696"/>
              <w:right w:val="nil"/>
            </w:tcBorders>
            <w:shd w:val="clear" w:color="auto" w:fill="FFFFFF"/>
            <w:tcMar>
              <w:left w:w="36" w:type="dxa"/>
              <w:right w:w="36" w:type="dxa"/>
            </w:tcMar>
          </w:tcPr>
          <w:p w:rsidR="00483803" w:rsidRPr="00100BF5" w:rsidRDefault="00483803" w:rsidP="009C7B67">
            <w:pPr>
              <w:jc w:val="right"/>
              <w:rPr>
                <w:b/>
                <w:sz w:val="16"/>
              </w:rPr>
            </w:pPr>
          </w:p>
        </w:tc>
      </w:tr>
      <w:tr w:rsidR="00A12DCA" w:rsidRPr="00100BF5" w:rsidTr="009C7B6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b/>
                <w:sz w:val="16"/>
              </w:rPr>
            </w:pPr>
            <w:r w:rsidRPr="00100BF5">
              <w:rPr>
                <w:b/>
                <w:sz w:val="16"/>
              </w:rPr>
              <w:t xml:space="preserve">Total assets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vertAlign w:val="superscript"/>
              </w:rPr>
            </w:pPr>
            <w:r w:rsidRPr="00100BF5">
              <w:rPr>
                <w:b/>
                <w:sz w:val="16"/>
              </w:rPr>
              <w:t>1,225,409 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87,758 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22,205 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7C49A8">
            <w:pPr>
              <w:jc w:val="right"/>
              <w:rPr>
                <w:b/>
                <w:sz w:val="16"/>
              </w:rPr>
            </w:pPr>
            <w:r w:rsidRPr="00100BF5">
              <w:rPr>
                <w:b/>
                <w:sz w:val="16"/>
              </w:rPr>
              <w:t>35,01</w:t>
            </w:r>
            <w:r w:rsidR="007C49A8" w:rsidRPr="00100BF5">
              <w:rPr>
                <w:b/>
                <w:sz w:val="16"/>
              </w:rPr>
              <w:t>4</w:t>
            </w:r>
            <w:r w:rsidRPr="00100BF5">
              <w:rPr>
                <w:b/>
                <w:sz w:val="16"/>
              </w:rPr>
              <w:t>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rsidP="009C7B67">
            <w:pPr>
              <w:jc w:val="right"/>
              <w:rPr>
                <w:b/>
                <w:sz w:val="16"/>
              </w:rPr>
            </w:pPr>
            <w:r w:rsidRPr="00100BF5">
              <w:rPr>
                <w:b/>
                <w:sz w:val="16"/>
              </w:rPr>
              <w:t>1,631,265 </w:t>
            </w:r>
          </w:p>
        </w:tc>
      </w:tr>
      <w:tr w:rsidR="00A12DCA" w:rsidRPr="00100BF5">
        <w:tblPrEx>
          <w:tblCellMar>
            <w:top w:w="0" w:type="dxa"/>
            <w:bottom w:w="0" w:type="dxa"/>
          </w:tblCellMar>
        </w:tblPrEx>
        <w:trPr>
          <w:trHeight w:hRule="exact" w:val="240"/>
        </w:trPr>
        <w:tc>
          <w:tcPr>
            <w:tcW w:w="4020" w:type="dxa"/>
            <w:tcBorders>
              <w:top w:val="nil"/>
              <w:left w:val="nil"/>
              <w:bottom w:val="nil"/>
              <w:right w:val="nil"/>
            </w:tcBorders>
            <w:shd w:val="clear" w:color="auto" w:fill="FFFFFF"/>
            <w:tcMar>
              <w:left w:w="36" w:type="dxa"/>
              <w:right w:w="36" w:type="dxa"/>
            </w:tcMar>
          </w:tcPr>
          <w:p w:rsidR="00A12DCA" w:rsidRPr="00100BF5" w:rsidRDefault="00A12DCA">
            <w:pPr>
              <w:rPr>
                <w:b/>
                <w:sz w:val="16"/>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b/>
                <w:sz w:val="16"/>
                <w:vertAlign w:val="superscript"/>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b/>
                <w:sz w:val="16"/>
              </w:rPr>
            </w:pPr>
            <w:r w:rsidRPr="00100BF5">
              <w:rPr>
                <w:b/>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b/>
                <w:sz w:val="16"/>
              </w:rPr>
            </w:pPr>
            <w:r w:rsidRPr="00100BF5">
              <w:rPr>
                <w:b/>
                <w:sz w:val="16"/>
              </w:rPr>
              <w:t xml:space="preserve"> </w:t>
            </w:r>
          </w:p>
        </w:tc>
      </w:tr>
    </w:tbl>
    <w:p w:rsidR="00A12DCA" w:rsidRPr="00100BF5" w:rsidRDefault="00A12DCA"/>
    <w:tbl>
      <w:tblPr>
        <w:tblW w:w="0" w:type="auto"/>
        <w:tblLayout w:type="fixed"/>
        <w:tblLook w:val="0000" w:firstRow="0" w:lastRow="0" w:firstColumn="0" w:lastColumn="0" w:noHBand="0" w:noVBand="0"/>
      </w:tblPr>
      <w:tblGrid>
        <w:gridCol w:w="4020"/>
        <w:gridCol w:w="1125"/>
        <w:gridCol w:w="1125"/>
        <w:gridCol w:w="1125"/>
        <w:gridCol w:w="1125"/>
        <w:gridCol w:w="1125"/>
      </w:tblGrid>
      <w:tr w:rsidR="00C95235" w:rsidRPr="00100BF5">
        <w:tblPrEx>
          <w:tblCellMar>
            <w:top w:w="0" w:type="dxa"/>
            <w:bottom w:w="0" w:type="dxa"/>
          </w:tblCellMar>
        </w:tblPrEx>
        <w:trPr>
          <w:trHeight w:val="255"/>
        </w:trPr>
        <w:tc>
          <w:tcPr>
            <w:tcW w:w="4020" w:type="dxa"/>
            <w:tcBorders>
              <w:top w:val="nil"/>
              <w:left w:val="nil"/>
              <w:bottom w:val="nil"/>
              <w:right w:val="nil"/>
            </w:tcBorders>
            <w:shd w:val="clear" w:color="auto" w:fill="FFFFFF"/>
            <w:tcMar>
              <w:left w:w="36" w:type="dxa"/>
              <w:right w:w="36" w:type="dxa"/>
            </w:tcMar>
            <w:vAlign w:val="bottom"/>
          </w:tcPr>
          <w:p w:rsidR="00C95235" w:rsidRPr="00100BF5" w:rsidRDefault="00C95235">
            <w:pPr>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r>
      <w:tr w:rsidR="00C95235" w:rsidRPr="00100BF5">
        <w:tblPrEx>
          <w:tblCellMar>
            <w:top w:w="0" w:type="dxa"/>
            <w:bottom w:w="0" w:type="dxa"/>
          </w:tblCellMar>
        </w:tblPrEx>
        <w:trPr>
          <w:trHeight w:val="255"/>
        </w:trPr>
        <w:tc>
          <w:tcPr>
            <w:tcW w:w="4020" w:type="dxa"/>
            <w:tcBorders>
              <w:top w:val="nil"/>
              <w:left w:val="nil"/>
              <w:bottom w:val="nil"/>
              <w:right w:val="nil"/>
            </w:tcBorders>
            <w:shd w:val="clear" w:color="auto" w:fill="FFFFFF"/>
            <w:tcMar>
              <w:left w:w="36" w:type="dxa"/>
              <w:right w:w="36" w:type="dxa"/>
            </w:tcMar>
            <w:vAlign w:val="bottom"/>
          </w:tcPr>
          <w:p w:rsidR="00C95235" w:rsidRPr="00100BF5" w:rsidRDefault="00C95235">
            <w:pPr>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r>
      <w:tr w:rsidR="00C95235" w:rsidRPr="00100BF5">
        <w:tblPrEx>
          <w:tblCellMar>
            <w:top w:w="0" w:type="dxa"/>
            <w:bottom w:w="0" w:type="dxa"/>
          </w:tblCellMar>
        </w:tblPrEx>
        <w:trPr>
          <w:trHeight w:val="255"/>
        </w:trPr>
        <w:tc>
          <w:tcPr>
            <w:tcW w:w="4020" w:type="dxa"/>
            <w:tcBorders>
              <w:top w:val="nil"/>
              <w:left w:val="nil"/>
              <w:bottom w:val="nil"/>
              <w:right w:val="nil"/>
            </w:tcBorders>
            <w:shd w:val="clear" w:color="auto" w:fill="FFFFFF"/>
            <w:tcMar>
              <w:left w:w="36" w:type="dxa"/>
              <w:right w:w="36" w:type="dxa"/>
            </w:tcMar>
            <w:vAlign w:val="bottom"/>
          </w:tcPr>
          <w:p w:rsidR="00C95235" w:rsidRPr="00100BF5" w:rsidRDefault="00C95235">
            <w:pPr>
              <w:rPr>
                <w:b/>
                <w:szCs w:val="2"/>
              </w:rPr>
            </w:pPr>
          </w:p>
          <w:p w:rsidR="003B473F" w:rsidRPr="00100BF5" w:rsidRDefault="003B473F">
            <w:pPr>
              <w:rPr>
                <w:b/>
                <w:szCs w:val="2"/>
              </w:rPr>
            </w:pPr>
          </w:p>
          <w:p w:rsidR="003B473F" w:rsidRPr="00100BF5" w:rsidRDefault="003B473F">
            <w:pPr>
              <w:rPr>
                <w:b/>
                <w:szCs w:val="2"/>
              </w:rPr>
            </w:pPr>
          </w:p>
          <w:p w:rsidR="003B473F" w:rsidRPr="00100BF5" w:rsidRDefault="003B473F">
            <w:pPr>
              <w:rPr>
                <w:b/>
                <w:szCs w:val="2"/>
              </w:rPr>
            </w:pPr>
          </w:p>
          <w:p w:rsidR="003B473F" w:rsidRPr="00100BF5" w:rsidRDefault="003B473F">
            <w:pPr>
              <w:rPr>
                <w:b/>
                <w:szCs w:val="2"/>
              </w:rPr>
            </w:pPr>
          </w:p>
          <w:p w:rsidR="003B473F" w:rsidRPr="00100BF5" w:rsidRDefault="003B473F">
            <w:pPr>
              <w:rPr>
                <w:b/>
                <w:szCs w:val="2"/>
              </w:rPr>
            </w:pPr>
          </w:p>
          <w:p w:rsidR="003B473F" w:rsidRPr="00100BF5" w:rsidRDefault="003B473F">
            <w:pPr>
              <w:rPr>
                <w:b/>
                <w:szCs w:val="2"/>
              </w:rPr>
            </w:pPr>
          </w:p>
          <w:p w:rsidR="003B473F" w:rsidRPr="00100BF5" w:rsidRDefault="003B473F">
            <w:pPr>
              <w:rPr>
                <w:b/>
                <w:szCs w:val="2"/>
              </w:rPr>
            </w:pPr>
          </w:p>
          <w:p w:rsidR="003B473F" w:rsidRPr="00100BF5" w:rsidRDefault="003B473F">
            <w:pPr>
              <w:rPr>
                <w:b/>
                <w:szCs w:val="2"/>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c>
          <w:tcPr>
            <w:tcW w:w="1125" w:type="dxa"/>
            <w:tcBorders>
              <w:top w:val="nil"/>
              <w:left w:val="nil"/>
              <w:bottom w:val="nil"/>
              <w:right w:val="nil"/>
            </w:tcBorders>
            <w:shd w:val="clear" w:color="auto" w:fill="FFFFFF"/>
            <w:tcMar>
              <w:left w:w="36" w:type="dxa"/>
              <w:right w:w="36" w:type="dxa"/>
            </w:tcMar>
            <w:vAlign w:val="bottom"/>
          </w:tcPr>
          <w:p w:rsidR="00C95235" w:rsidRPr="00100BF5" w:rsidRDefault="00C95235">
            <w:pPr>
              <w:jc w:val="right"/>
              <w:rPr>
                <w:b/>
                <w:sz w:val="16"/>
              </w:rPr>
            </w:pPr>
          </w:p>
        </w:tc>
      </w:tr>
      <w:tr w:rsidR="00C95235" w:rsidRPr="00100BF5" w:rsidTr="00C95235">
        <w:tblPrEx>
          <w:tblCellMar>
            <w:top w:w="0" w:type="dxa"/>
            <w:bottom w:w="0" w:type="dxa"/>
          </w:tblCellMar>
        </w:tblPrEx>
        <w:trPr>
          <w:trHeight w:val="80"/>
        </w:trPr>
        <w:tc>
          <w:tcPr>
            <w:tcW w:w="9645" w:type="dxa"/>
            <w:gridSpan w:val="6"/>
            <w:tcBorders>
              <w:top w:val="nil"/>
              <w:left w:val="nil"/>
              <w:bottom w:val="nil"/>
              <w:right w:val="nil"/>
            </w:tcBorders>
            <w:shd w:val="clear" w:color="auto" w:fill="FFFFFF"/>
            <w:tcMar>
              <w:left w:w="36" w:type="dxa"/>
              <w:right w:w="36" w:type="dxa"/>
            </w:tcMar>
            <w:vAlign w:val="bottom"/>
          </w:tcPr>
          <w:p w:rsidR="003B473F" w:rsidRPr="00100BF5" w:rsidRDefault="003B473F" w:rsidP="003B473F">
            <w:pPr>
              <w:pStyle w:val="NoteandSourceText-BarcRA17"/>
              <w:numPr>
                <w:ilvl w:val="0"/>
                <w:numId w:val="0"/>
              </w:numPr>
              <w:rPr>
                <w:sz w:val="2"/>
                <w:szCs w:val="2"/>
              </w:rPr>
            </w:pPr>
          </w:p>
          <w:p w:rsidR="003B473F" w:rsidRPr="00100BF5" w:rsidRDefault="003B473F" w:rsidP="003B473F">
            <w:pPr>
              <w:pStyle w:val="NoteandSourceText-BarcRA17"/>
              <w:numPr>
                <w:ilvl w:val="0"/>
                <w:numId w:val="0"/>
              </w:numPr>
              <w:rPr>
                <w:sz w:val="2"/>
                <w:szCs w:val="2"/>
              </w:rPr>
            </w:pPr>
          </w:p>
          <w:p w:rsidR="00C95235" w:rsidRPr="00100BF5" w:rsidRDefault="00C95235" w:rsidP="00C95235">
            <w:pPr>
              <w:pStyle w:val="NoteandSourceText-BarcRA17"/>
              <w:ind w:left="284" w:hanging="284"/>
            </w:pPr>
            <w:r w:rsidRPr="00100BF5">
              <w:t>Other income/(losses) represents: share of post-tax results of associates and joint ventures; profit or (loss) on disposal of subsidiaries, associates and joint ventures; and gains on acquisitions.</w:t>
            </w:r>
          </w:p>
          <w:p w:rsidR="00C95235" w:rsidRPr="00FB0640" w:rsidRDefault="00C95235" w:rsidP="00351861">
            <w:pPr>
              <w:pStyle w:val="HeadingLevel1-BarcRA61"/>
              <w:rPr>
                <w:b w:val="0"/>
                <w:szCs w:val="2"/>
              </w:rPr>
            </w:pPr>
          </w:p>
        </w:tc>
      </w:tr>
    </w:tbl>
    <w:p w:rsidR="00351861" w:rsidRDefault="00351861" w:rsidP="005F437E">
      <w:pPr>
        <w:pStyle w:val="HeadingLevel1-BarcRA"/>
      </w:pPr>
    </w:p>
    <w:p w:rsidR="005F437E" w:rsidRDefault="00351861" w:rsidP="00351861">
      <w:pPr>
        <w:pStyle w:val="HeadingLevel1-BarcRA61"/>
      </w:pPr>
      <w:r>
        <w:br w:type="page"/>
      </w:r>
      <w:r w:rsidR="005F437E" w:rsidRPr="00351861">
        <w:rPr>
          <w:color w:val="auto"/>
        </w:rPr>
        <w:t>Financial Statement Notes</w:t>
      </w:r>
    </w:p>
    <w:p w:rsidR="00351861" w:rsidRPr="0019307E" w:rsidRDefault="00351861" w:rsidP="00351861">
      <w:pPr>
        <w:pStyle w:val="HeadingLevel1-BarcRA61"/>
        <w:rPr>
          <w:color w:val="auto"/>
          <w:lang w:val="en-GB"/>
        </w:rPr>
      </w:pPr>
      <w:r w:rsidRPr="00100BF5">
        <w:rPr>
          <w:color w:val="auto"/>
        </w:rPr>
        <w:t>2</w:t>
      </w:r>
      <w:r w:rsidRPr="00100BF5">
        <w:rPr>
          <w:color w:val="auto"/>
          <w:lang w:val="en-GB"/>
        </w:rPr>
        <w:t>3</w:t>
      </w:r>
      <w:r w:rsidRPr="00100BF5">
        <w:rPr>
          <w:color w:val="auto"/>
        </w:rPr>
        <w:t>.</w:t>
      </w:r>
      <w:r w:rsidRPr="00100BF5">
        <w:rPr>
          <w:color w:val="auto"/>
        </w:rPr>
        <w:tab/>
        <w:t>Segmental Reporting</w:t>
      </w:r>
      <w:r>
        <w:rPr>
          <w:color w:val="auto"/>
          <w:lang w:val="en-GB"/>
        </w:rPr>
        <w:t xml:space="preserve"> (continued)</w:t>
      </w:r>
    </w:p>
    <w:tbl>
      <w:tblPr>
        <w:tblW w:w="0" w:type="auto"/>
        <w:tblLayout w:type="fixed"/>
        <w:tblLook w:val="0000" w:firstRow="0" w:lastRow="0" w:firstColumn="0" w:lastColumn="0" w:noHBand="0" w:noVBand="0"/>
      </w:tblPr>
      <w:tblGrid>
        <w:gridCol w:w="4020"/>
        <w:gridCol w:w="1125"/>
        <w:gridCol w:w="1125"/>
        <w:gridCol w:w="1125"/>
        <w:gridCol w:w="1125"/>
        <w:gridCol w:w="1125"/>
      </w:tblGrid>
      <w:tr w:rsidR="00A12DCA" w:rsidRPr="00100BF5" w:rsidTr="00483803">
        <w:tblPrEx>
          <w:tblCellMar>
            <w:top w:w="0" w:type="dxa"/>
            <w:bottom w:w="0" w:type="dxa"/>
          </w:tblCellMar>
        </w:tblPrEx>
        <w:trPr>
          <w:trHeight w:val="255"/>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r w:rsidRPr="00100BF5">
              <w:rPr>
                <w:b/>
                <w:sz w:val="16"/>
              </w:rPr>
              <w:t>Analysis of results by business</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UK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Europe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Africa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Barclaycard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RBB Total</w:t>
            </w:r>
          </w:p>
        </w:tc>
      </w:tr>
      <w:tr w:rsidR="00A12DCA" w:rsidRPr="00100BF5" w:rsidTr="00483803">
        <w:tblPrEx>
          <w:tblCellMar>
            <w:top w:w="0" w:type="dxa"/>
            <w:bottom w:w="0" w:type="dxa"/>
          </w:tblCellMar>
        </w:tblPrEx>
        <w:trPr>
          <w:trHeight w:val="255"/>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rPr>
                <w:b/>
                <w:sz w:val="16"/>
              </w:rPr>
            </w:pPr>
            <w:r w:rsidRPr="00100BF5">
              <w:rPr>
                <w:b/>
                <w:sz w:val="16"/>
              </w:rPr>
              <w:t>Half Year Ended 31 December 2011</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r>
      <w:tr w:rsidR="00A12DCA" w:rsidRPr="00100BF5" w:rsidTr="00483803">
        <w:tblPrEx>
          <w:tblCellMar>
            <w:top w:w="0" w:type="dxa"/>
            <w:bottom w:w="0" w:type="dxa"/>
          </w:tblCellMar>
        </w:tblPrEx>
        <w:trPr>
          <w:trHeight w:val="255"/>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rPr>
                <w:b/>
                <w:sz w:val="16"/>
              </w:rPr>
            </w:pPr>
            <w:r w:rsidRPr="00100BF5">
              <w:rPr>
                <w:sz w:val="16"/>
              </w:rPr>
              <w:t>Total income net of insurance claim</w:t>
            </w:r>
            <w:r w:rsidR="001A1BB5" w:rsidRPr="00100BF5">
              <w:rPr>
                <w:sz w:val="16"/>
              </w:rPr>
              <w:t>s</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2,402 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622 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1,801 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2,123 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6,948 </w:t>
            </w:r>
          </w:p>
        </w:tc>
      </w:tr>
      <w:tr w:rsidR="00A12DCA" w:rsidRPr="00100BF5" w:rsidTr="00483803">
        <w:tblPrEx>
          <w:tblCellMar>
            <w:top w:w="0" w:type="dxa"/>
            <w:bottom w:w="0" w:type="dxa"/>
          </w:tblCellMar>
        </w:tblPrEx>
        <w:trPr>
          <w:trHeight w:val="255"/>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Credit impairment charges and other provisions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(261)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(145)</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(196)</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(611)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(1,213)</w:t>
            </w:r>
          </w:p>
        </w:tc>
      </w:tr>
      <w:tr w:rsidR="00A12DCA" w:rsidRPr="00100BF5" w:rsidTr="00483803">
        <w:tblPrEx>
          <w:tblCellMar>
            <w:top w:w="0" w:type="dxa"/>
            <w:bottom w:w="0" w:type="dxa"/>
          </w:tblCellMar>
        </w:tblPrEx>
        <w:trPr>
          <w:trHeight w:val="255"/>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rPr>
                <w:b/>
                <w:sz w:val="16"/>
              </w:rPr>
            </w:pPr>
            <w:r w:rsidRPr="00100BF5">
              <w:rPr>
                <w:b/>
                <w:sz w:val="16"/>
              </w:rPr>
              <w:t>Net operating income</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2,141 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477 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1,605 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1,512 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5,735 </w:t>
            </w:r>
          </w:p>
        </w:tc>
      </w:tr>
      <w:tr w:rsidR="00A12DCA" w:rsidRPr="00100BF5" w:rsidTr="00483803">
        <w:tblPrEx>
          <w:tblCellMar>
            <w:top w:w="0" w:type="dxa"/>
            <w:bottom w:w="0" w:type="dxa"/>
          </w:tblCellMar>
        </w:tblPrEx>
        <w:trPr>
          <w:trHeight w:val="255"/>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Operating expenses</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(1,427)</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(981)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(1,118)</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(888)</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(4,414)</w:t>
            </w:r>
          </w:p>
        </w:tc>
      </w:tr>
      <w:tr w:rsidR="00A12DCA" w:rsidRPr="00100BF5" w:rsidTr="00483803">
        <w:tblPrEx>
          <w:tblCellMar>
            <w:top w:w="0" w:type="dxa"/>
            <w:bottom w:w="0" w:type="dxa"/>
          </w:tblCellMar>
        </w:tblPrEx>
        <w:trPr>
          <w:trHeight w:val="255"/>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Other income/(losses)</w:t>
            </w:r>
            <w:r w:rsidRPr="00100BF5">
              <w:rPr>
                <w:sz w:val="16"/>
                <w:vertAlign w:val="superscript"/>
              </w:rPr>
              <w:t>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2 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4 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22 </w:t>
            </w:r>
          </w:p>
        </w:tc>
      </w:tr>
      <w:tr w:rsidR="00A12DCA" w:rsidRPr="00100BF5" w:rsidTr="00483803">
        <w:tblPrEx>
          <w:tblCellMar>
            <w:top w:w="0" w:type="dxa"/>
            <w:bottom w:w="0" w:type="dxa"/>
          </w:tblCellMar>
        </w:tblPrEx>
        <w:trPr>
          <w:trHeight w:val="280"/>
        </w:trPr>
        <w:tc>
          <w:tcPr>
            <w:tcW w:w="4020"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1A1BB5">
            <w:pPr>
              <w:rPr>
                <w:b/>
                <w:sz w:val="16"/>
              </w:rPr>
            </w:pPr>
            <w:r w:rsidRPr="00100BF5">
              <w:rPr>
                <w:b/>
                <w:sz w:val="16"/>
              </w:rPr>
              <w:t xml:space="preserve">Profit /(loss) before tax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716 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(500)</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490 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637 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1,343 </w:t>
            </w:r>
          </w:p>
        </w:tc>
      </w:tr>
      <w:tr w:rsidR="00483803" w:rsidRPr="00100BF5" w:rsidTr="00483803">
        <w:tblPrEx>
          <w:tblCellMar>
            <w:top w:w="0" w:type="dxa"/>
            <w:bottom w:w="0" w:type="dxa"/>
          </w:tblCellMar>
        </w:tblPrEx>
        <w:trPr>
          <w:trHeight w:val="270"/>
        </w:trPr>
        <w:tc>
          <w:tcPr>
            <w:tcW w:w="4020"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rPr>
                <w:b/>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r>
      <w:tr w:rsidR="00A12DCA" w:rsidRPr="00100BF5" w:rsidTr="00483803">
        <w:tblPrEx>
          <w:tblCellMar>
            <w:top w:w="0" w:type="dxa"/>
            <w:bottom w:w="0" w:type="dxa"/>
          </w:tblCellMar>
        </w:tblPrEx>
        <w:trPr>
          <w:trHeight w:val="255"/>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rPr>
                <w:b/>
                <w:sz w:val="16"/>
              </w:rPr>
            </w:pPr>
            <w:r w:rsidRPr="00100BF5">
              <w:rPr>
                <w:b/>
                <w:sz w:val="16"/>
              </w:rPr>
              <w:t xml:space="preserve">Total assets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127,845 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51,310 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48,243 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33,838 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261,236 </w:t>
            </w:r>
          </w:p>
        </w:tc>
      </w:tr>
      <w:tr w:rsidR="00A12DCA" w:rsidRPr="00100BF5">
        <w:tblPrEx>
          <w:tblCellMar>
            <w:top w:w="0" w:type="dxa"/>
            <w:bottom w:w="0" w:type="dxa"/>
          </w:tblCellMar>
        </w:tblPrEx>
        <w:trPr>
          <w:trHeight w:val="765"/>
        </w:trPr>
        <w:tc>
          <w:tcPr>
            <w:tcW w:w="40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b/>
                <w:sz w:val="16"/>
              </w:rPr>
              <w:t>Analysis of results by business</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Investment Bank</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p w:rsidR="00A12DCA" w:rsidRPr="00100BF5" w:rsidRDefault="00A12DCA">
            <w:pPr>
              <w:jc w:val="right"/>
              <w:rPr>
                <w:b/>
                <w:sz w:val="16"/>
              </w:rPr>
            </w:pPr>
            <w:r w:rsidRPr="00100BF5">
              <w:rPr>
                <w:b/>
                <w:sz w:val="16"/>
              </w:rPr>
              <w:t>Corporate Banking</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Wealth and Investment Management</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Head Office</w:t>
            </w:r>
          </w:p>
          <w:p w:rsidR="00A12DCA" w:rsidRPr="00100BF5" w:rsidRDefault="00A12DCA">
            <w:pPr>
              <w:jc w:val="right"/>
              <w:rPr>
                <w:b/>
                <w:sz w:val="16"/>
              </w:rPr>
            </w:pPr>
            <w:r w:rsidRPr="00100BF5">
              <w:rPr>
                <w:b/>
                <w:sz w:val="16"/>
              </w:rPr>
              <w:t>and Other</w:t>
            </w:r>
          </w:p>
          <w:p w:rsidR="00A12DCA" w:rsidRPr="00100BF5" w:rsidRDefault="00A12DCA">
            <w:pPr>
              <w:jc w:val="right"/>
              <w:rPr>
                <w:b/>
                <w:sz w:val="16"/>
              </w:rPr>
            </w:pPr>
            <w:r w:rsidRPr="00100BF5">
              <w:rPr>
                <w:b/>
                <w:sz w:val="16"/>
              </w:rPr>
              <w:t>Operations</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Group Total</w:t>
            </w:r>
          </w:p>
        </w:tc>
      </w:tr>
      <w:tr w:rsidR="00A12DCA" w:rsidRPr="00100BF5" w:rsidTr="00483803">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rPr>
                <w:b/>
                <w:sz w:val="16"/>
              </w:rPr>
            </w:pPr>
            <w:r w:rsidRPr="00100BF5">
              <w:rPr>
                <w:b/>
                <w:sz w:val="16"/>
              </w:rPr>
              <w:t>Half Year Ended 31 December 2011 continued</w:t>
            </w:r>
            <w:r w:rsidRPr="00100BF5">
              <w:rPr>
                <w:b/>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£m</w:t>
            </w:r>
          </w:p>
        </w:tc>
      </w:tr>
      <w:tr w:rsidR="00A12DCA" w:rsidRPr="00100BF5" w:rsidTr="00483803">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rPr>
                <w:b/>
                <w:sz w:val="16"/>
              </w:rPr>
            </w:pPr>
            <w:r w:rsidRPr="00100BF5">
              <w:rPr>
                <w:sz w:val="16"/>
              </w:rPr>
              <w:t>Total income net of insurance claims</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4,072 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1,540 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896 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3,506 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16,962 </w:t>
            </w:r>
          </w:p>
        </w:tc>
      </w:tr>
      <w:tr w:rsidR="00A12DCA" w:rsidRPr="00100BF5" w:rsidTr="00483803">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Credit impairment charges and other provisions</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(204)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(535)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(22)</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(1,974)</w:t>
            </w:r>
          </w:p>
        </w:tc>
      </w:tr>
      <w:tr w:rsidR="00A12DCA" w:rsidRPr="00100BF5" w:rsidTr="00483803">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Impairment of investment in BlackRock, Inc</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(1,800)</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(1,800)</w:t>
            </w:r>
          </w:p>
        </w:tc>
      </w:tr>
      <w:tr w:rsidR="00A12DCA" w:rsidRPr="00100BF5" w:rsidTr="00483803">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rPr>
                <w:b/>
                <w:sz w:val="16"/>
              </w:rPr>
            </w:pPr>
            <w:r w:rsidRPr="00100BF5">
              <w:rPr>
                <w:b/>
                <w:sz w:val="16"/>
              </w:rPr>
              <w:t>Net operating income</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3,868 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1,005 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874 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1,706 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13,188 </w:t>
            </w:r>
          </w:p>
        </w:tc>
      </w:tr>
      <w:tr w:rsidR="00A12DCA" w:rsidRPr="00100BF5" w:rsidTr="00483803">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Operating expenses</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(3,216)</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(981)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(753)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(584)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(9,948)</w:t>
            </w:r>
          </w:p>
        </w:tc>
      </w:tr>
      <w:tr w:rsidR="00A12DCA" w:rsidRPr="00100BF5" w:rsidTr="00483803">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rPr>
                <w:sz w:val="16"/>
              </w:rPr>
            </w:pPr>
            <w:r w:rsidRPr="00100BF5">
              <w:rPr>
                <w:sz w:val="16"/>
              </w:rPr>
              <w:t>Other income/(losses)</w:t>
            </w:r>
            <w:r w:rsidRPr="00100BF5">
              <w:rPr>
                <w:sz w:val="16"/>
                <w:vertAlign w:val="superscript"/>
              </w:rPr>
              <w:t>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vertAlign w:val="superscript"/>
              </w:rPr>
            </w:pPr>
            <w:r w:rsidRPr="00100BF5">
              <w:rPr>
                <w:sz w:val="16"/>
              </w:rPr>
              <w:t>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(6)</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(2)</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(22)</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483803">
            <w:pPr>
              <w:jc w:val="right"/>
              <w:rPr>
                <w:sz w:val="16"/>
              </w:rPr>
            </w:pPr>
            <w:r w:rsidRPr="00100BF5">
              <w:rPr>
                <w:sz w:val="16"/>
              </w:rPr>
              <w:t>(5)</w:t>
            </w:r>
          </w:p>
        </w:tc>
      </w:tr>
      <w:tr w:rsidR="00A12DCA" w:rsidRPr="00100BF5" w:rsidTr="00483803">
        <w:tblPrEx>
          <w:tblCellMar>
            <w:top w:w="0" w:type="dxa"/>
            <w:bottom w:w="0" w:type="dxa"/>
          </w:tblCellMar>
        </w:tblPrEx>
        <w:trPr>
          <w:trHeight w:val="228"/>
        </w:trPr>
        <w:tc>
          <w:tcPr>
            <w:tcW w:w="4020"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1A1BB5">
            <w:pPr>
              <w:rPr>
                <w:b/>
                <w:sz w:val="16"/>
              </w:rPr>
            </w:pPr>
            <w:r w:rsidRPr="00100BF5">
              <w:rPr>
                <w:b/>
                <w:sz w:val="16"/>
              </w:rPr>
              <w:t xml:space="preserve">Profit /(loss) before tax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655 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18 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119 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1,100 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3,235 </w:t>
            </w:r>
          </w:p>
        </w:tc>
      </w:tr>
      <w:tr w:rsidR="00483803" w:rsidRPr="00100BF5" w:rsidTr="00483803">
        <w:tblPrEx>
          <w:tblCellMar>
            <w:top w:w="0" w:type="dxa"/>
            <w:bottom w:w="0" w:type="dxa"/>
          </w:tblCellMar>
        </w:tblPrEx>
        <w:trPr>
          <w:trHeight w:val="118"/>
        </w:trPr>
        <w:tc>
          <w:tcPr>
            <w:tcW w:w="4020"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rPr>
                <w:b/>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483803" w:rsidRPr="00100BF5" w:rsidRDefault="00483803" w:rsidP="00483803">
            <w:pPr>
              <w:jc w:val="right"/>
              <w:rPr>
                <w:sz w:val="16"/>
              </w:rPr>
            </w:pPr>
          </w:p>
        </w:tc>
      </w:tr>
      <w:tr w:rsidR="00A12DCA" w:rsidRPr="00100BF5" w:rsidTr="00483803">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rPr>
                <w:b/>
                <w:sz w:val="16"/>
              </w:rPr>
            </w:pPr>
            <w:r w:rsidRPr="00100BF5">
              <w:rPr>
                <w:b/>
                <w:sz w:val="16"/>
              </w:rPr>
              <w:t xml:space="preserve">Total assets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vertAlign w:val="superscript"/>
              </w:rPr>
            </w:pPr>
            <w:r w:rsidRPr="00100BF5">
              <w:rPr>
                <w:b/>
                <w:sz w:val="16"/>
              </w:rPr>
              <w:t>1,158,350 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91,190 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20,866 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31,885 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483803">
            <w:pPr>
              <w:jc w:val="right"/>
              <w:rPr>
                <w:b/>
                <w:sz w:val="16"/>
              </w:rPr>
            </w:pPr>
            <w:r w:rsidRPr="00100BF5">
              <w:rPr>
                <w:b/>
                <w:sz w:val="16"/>
              </w:rPr>
              <w:t>1,563,527 </w:t>
            </w:r>
          </w:p>
        </w:tc>
      </w:tr>
      <w:tr w:rsidR="00A12DCA" w:rsidRPr="00100BF5">
        <w:tblPrEx>
          <w:tblCellMar>
            <w:top w:w="0" w:type="dxa"/>
            <w:bottom w:w="0" w:type="dxa"/>
          </w:tblCellMar>
        </w:tblPrEx>
        <w:trPr>
          <w:trHeight w:hRule="exact" w:val="240"/>
        </w:trPr>
        <w:tc>
          <w:tcPr>
            <w:tcW w:w="4020" w:type="dxa"/>
            <w:tcBorders>
              <w:top w:val="nil"/>
              <w:left w:val="nil"/>
              <w:bottom w:val="nil"/>
              <w:right w:val="nil"/>
            </w:tcBorders>
            <w:shd w:val="clear" w:color="auto" w:fill="FFFFFF"/>
            <w:tcMar>
              <w:left w:w="36" w:type="dxa"/>
              <w:right w:w="36" w:type="dxa"/>
            </w:tcMar>
          </w:tcPr>
          <w:p w:rsidR="00A12DCA" w:rsidRPr="00100BF5" w:rsidRDefault="00A12DCA">
            <w:pPr>
              <w:rPr>
                <w:sz w:val="16"/>
              </w:rPr>
            </w:pPr>
            <w:r w:rsidRPr="00100BF5">
              <w:rPr>
                <w:b/>
                <w:sz w:val="16"/>
              </w:rPr>
              <w:t xml:space="preserve"> </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b/>
                <w:sz w:val="16"/>
                <w:vertAlign w:val="superscript"/>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c>
          <w:tcPr>
            <w:tcW w:w="1125" w:type="dxa"/>
            <w:tcBorders>
              <w:top w:val="nil"/>
              <w:left w:val="nil"/>
              <w:bottom w:val="nil"/>
              <w:right w:val="nil"/>
            </w:tcBorders>
            <w:shd w:val="clear" w:color="auto" w:fill="FFFFFF"/>
            <w:tcMar>
              <w:left w:w="36" w:type="dxa"/>
              <w:right w:w="36" w:type="dxa"/>
            </w:tcMar>
          </w:tcPr>
          <w:p w:rsidR="00A12DCA" w:rsidRPr="00100BF5" w:rsidRDefault="00A12DCA">
            <w:pPr>
              <w:jc w:val="right"/>
              <w:rPr>
                <w:sz w:val="16"/>
              </w:rPr>
            </w:pPr>
            <w:r w:rsidRPr="00100BF5">
              <w:rPr>
                <w:sz w:val="16"/>
              </w:rPr>
              <w:t xml:space="preserve"> </w:t>
            </w:r>
          </w:p>
        </w:tc>
      </w:tr>
    </w:tbl>
    <w:p w:rsidR="00A12DCA" w:rsidRPr="00100BF5" w:rsidRDefault="00A12DCA"/>
    <w:tbl>
      <w:tblPr>
        <w:tblW w:w="0" w:type="auto"/>
        <w:tblLayout w:type="fixed"/>
        <w:tblLook w:val="0000" w:firstRow="0" w:lastRow="0" w:firstColumn="0" w:lastColumn="0" w:noHBand="0" w:noVBand="0"/>
      </w:tblPr>
      <w:tblGrid>
        <w:gridCol w:w="4020"/>
        <w:gridCol w:w="1125"/>
        <w:gridCol w:w="1125"/>
        <w:gridCol w:w="1125"/>
        <w:gridCol w:w="1125"/>
        <w:gridCol w:w="1125"/>
      </w:tblGrid>
      <w:tr w:rsidR="00A12DCA" w:rsidRPr="00100BF5" w:rsidTr="00E42B49">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r w:rsidRPr="00100BF5">
              <w:rPr>
                <w:b/>
                <w:sz w:val="16"/>
              </w:rPr>
              <w:t>Analysis of results by business</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vertAlign w:val="superscript"/>
              </w:rPr>
            </w:pPr>
            <w:r w:rsidRPr="00100BF5">
              <w:rPr>
                <w:b/>
                <w:sz w:val="16"/>
              </w:rPr>
              <w:t>UK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Europe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Africa RBB</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Barclaycard</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RBB Total</w:t>
            </w:r>
          </w:p>
        </w:tc>
      </w:tr>
      <w:tr w:rsidR="00A12DCA" w:rsidRPr="00100BF5" w:rsidTr="00E42B49">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rPr>
                <w:b/>
                <w:sz w:val="16"/>
              </w:rPr>
            </w:pPr>
            <w:r w:rsidRPr="00100BF5">
              <w:rPr>
                <w:b/>
                <w:sz w:val="16"/>
              </w:rPr>
              <w:t>Half Year Ended 30 June 2011</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vertAlign w:val="superscript"/>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£m</w:t>
            </w:r>
          </w:p>
        </w:tc>
      </w:tr>
      <w:tr w:rsidR="00A12DCA" w:rsidRPr="00100BF5" w:rsidTr="00E42B49">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rPr>
                <w:b/>
                <w:sz w:val="16"/>
              </w:rPr>
            </w:pPr>
            <w:r w:rsidRPr="00100BF5">
              <w:rPr>
                <w:sz w:val="16"/>
              </w:rPr>
              <w:t>Total income net of insurance claims</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vertAlign w:val="superscript"/>
              </w:rPr>
            </w:pPr>
            <w:r w:rsidRPr="00100BF5">
              <w:rPr>
                <w:sz w:val="16"/>
              </w:rPr>
              <w:t>2,254 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604 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1,770 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1,972 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6,600 </w:t>
            </w:r>
          </w:p>
        </w:tc>
      </w:tr>
      <w:tr w:rsidR="00A12DCA" w:rsidRPr="00100BF5" w:rsidTr="00E42B49">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rPr>
                <w:sz w:val="16"/>
              </w:rPr>
            </w:pPr>
            <w:r w:rsidRPr="00100BF5">
              <w:rPr>
                <w:sz w:val="16"/>
              </w:rPr>
              <w:t>Credit impairment charges and other provisions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vertAlign w:val="superscript"/>
              </w:rPr>
            </w:pPr>
            <w:r w:rsidRPr="00100BF5">
              <w:rPr>
                <w:sz w:val="16"/>
              </w:rPr>
              <w:t>(275)</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(116)</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(270)</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(648)</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(1,309)</w:t>
            </w:r>
          </w:p>
        </w:tc>
      </w:tr>
      <w:tr w:rsidR="00A12DCA" w:rsidRPr="00100BF5" w:rsidTr="00E42B49">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rPr>
                <w:b/>
                <w:sz w:val="16"/>
              </w:rPr>
            </w:pPr>
            <w:r w:rsidRPr="00100BF5">
              <w:rPr>
                <w:b/>
                <w:sz w:val="16"/>
              </w:rPr>
              <w:t>Net operating income</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vertAlign w:val="superscript"/>
              </w:rPr>
            </w:pPr>
            <w:r w:rsidRPr="00100BF5">
              <w:rPr>
                <w:b/>
                <w:sz w:val="16"/>
              </w:rPr>
              <w:t>1,979 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488 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1,500 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1,324 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5,291 </w:t>
            </w:r>
          </w:p>
        </w:tc>
      </w:tr>
      <w:tr w:rsidR="00A12DCA" w:rsidRPr="00100BF5" w:rsidTr="00E42B49">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rPr>
                <w:sz w:val="16"/>
              </w:rPr>
            </w:pPr>
            <w:r w:rsidRPr="00100BF5">
              <w:rPr>
                <w:sz w:val="16"/>
              </w:rPr>
              <w:t>Operating expenses</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vertAlign w:val="superscript"/>
              </w:rPr>
            </w:pPr>
            <w:r w:rsidRPr="00100BF5">
              <w:rPr>
                <w:sz w:val="16"/>
              </w:rPr>
              <w:t>(1,675)</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(657)</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(1,161)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(1,418)</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(4,911)</w:t>
            </w:r>
          </w:p>
        </w:tc>
      </w:tr>
      <w:tr w:rsidR="00A12DCA" w:rsidRPr="00100BF5" w:rsidTr="00E42B49">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rPr>
                <w:sz w:val="16"/>
              </w:rPr>
            </w:pPr>
            <w:r w:rsidRPr="00100BF5">
              <w:rPr>
                <w:sz w:val="16"/>
              </w:rPr>
              <w:t>Other income/(losses)</w:t>
            </w:r>
            <w:r w:rsidRPr="00100BF5">
              <w:rPr>
                <w:sz w:val="16"/>
                <w:vertAlign w:val="superscript"/>
              </w:rPr>
              <w:t>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vertAlign w:val="superscript"/>
              </w:rPr>
            </w:pPr>
            <w:r w:rsidRPr="00100BF5">
              <w:rPr>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8 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18 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E42B49">
            <w:pPr>
              <w:jc w:val="right"/>
              <w:rPr>
                <w:sz w:val="16"/>
              </w:rPr>
            </w:pPr>
            <w:r w:rsidRPr="00100BF5">
              <w:rPr>
                <w:sz w:val="16"/>
              </w:rPr>
              <w:t>29 </w:t>
            </w:r>
          </w:p>
        </w:tc>
      </w:tr>
      <w:tr w:rsidR="00A12DCA" w:rsidRPr="00100BF5" w:rsidTr="00E42B49">
        <w:tblPrEx>
          <w:tblCellMar>
            <w:top w:w="0" w:type="dxa"/>
            <w:bottom w:w="0" w:type="dxa"/>
          </w:tblCellMar>
        </w:tblPrEx>
        <w:trPr>
          <w:trHeight w:val="238"/>
        </w:trPr>
        <w:tc>
          <w:tcPr>
            <w:tcW w:w="4020"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1A1BB5">
            <w:pPr>
              <w:rPr>
                <w:b/>
                <w:sz w:val="16"/>
              </w:rPr>
            </w:pPr>
            <w:r w:rsidRPr="00100BF5">
              <w:rPr>
                <w:b/>
                <w:sz w:val="16"/>
              </w:rPr>
              <w:t xml:space="preserve">Profit /(loss) before tax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E42B49">
            <w:pPr>
              <w:jc w:val="right"/>
              <w:rPr>
                <w:b/>
                <w:sz w:val="16"/>
                <w:vertAlign w:val="superscript"/>
              </w:rPr>
            </w:pPr>
            <w:r w:rsidRPr="00100BF5">
              <w:rPr>
                <w:b/>
                <w:sz w:val="16"/>
              </w:rPr>
              <w:t>304 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(161)</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342 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(76)</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409 </w:t>
            </w:r>
          </w:p>
        </w:tc>
      </w:tr>
      <w:tr w:rsidR="00E42B49" w:rsidRPr="00100BF5" w:rsidTr="00E42B49">
        <w:tblPrEx>
          <w:tblCellMar>
            <w:top w:w="0" w:type="dxa"/>
            <w:bottom w:w="0" w:type="dxa"/>
          </w:tblCellMar>
        </w:tblPrEx>
        <w:trPr>
          <w:trHeight w:val="128"/>
        </w:trPr>
        <w:tc>
          <w:tcPr>
            <w:tcW w:w="4020" w:type="dxa"/>
            <w:tcBorders>
              <w:left w:val="nil"/>
              <w:bottom w:val="single" w:sz="6" w:space="0" w:color="969696"/>
              <w:right w:val="nil"/>
            </w:tcBorders>
            <w:shd w:val="clear" w:color="auto" w:fill="FFFFFF"/>
            <w:tcMar>
              <w:left w:w="36" w:type="dxa"/>
              <w:right w:w="36" w:type="dxa"/>
            </w:tcMar>
            <w:vAlign w:val="center"/>
          </w:tcPr>
          <w:p w:rsidR="00E42B49" w:rsidRPr="00100BF5" w:rsidRDefault="00E42B49" w:rsidP="00E42B49">
            <w:pPr>
              <w:rPr>
                <w:b/>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E42B49" w:rsidRPr="00100BF5" w:rsidRDefault="00E42B49" w:rsidP="00E42B49">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E42B49" w:rsidRPr="00100BF5" w:rsidRDefault="00E42B49" w:rsidP="00E42B49">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E42B49" w:rsidRPr="00100BF5" w:rsidRDefault="00E42B49" w:rsidP="00E42B49">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E42B49" w:rsidRPr="00100BF5" w:rsidRDefault="00E42B49" w:rsidP="00E42B49">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E42B49" w:rsidRPr="00100BF5" w:rsidRDefault="00E42B49" w:rsidP="00E42B49">
            <w:pPr>
              <w:jc w:val="right"/>
              <w:rPr>
                <w:sz w:val="16"/>
              </w:rPr>
            </w:pPr>
          </w:p>
        </w:tc>
      </w:tr>
      <w:tr w:rsidR="00A12DCA" w:rsidRPr="00100BF5" w:rsidTr="00E42B49">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rPr>
                <w:b/>
                <w:sz w:val="16"/>
              </w:rPr>
            </w:pPr>
            <w:r w:rsidRPr="00100BF5">
              <w:rPr>
                <w:b/>
                <w:sz w:val="16"/>
              </w:rPr>
              <w:t xml:space="preserve">Total assets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vertAlign w:val="superscript"/>
              </w:rPr>
            </w:pPr>
            <w:r w:rsidRPr="00100BF5">
              <w:rPr>
                <w:b/>
                <w:sz w:val="16"/>
              </w:rPr>
              <w:t>123,745 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56,699 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55,064 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32,513 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E42B49">
            <w:pPr>
              <w:jc w:val="right"/>
              <w:rPr>
                <w:b/>
                <w:sz w:val="16"/>
              </w:rPr>
            </w:pPr>
            <w:r w:rsidRPr="00100BF5">
              <w:rPr>
                <w:b/>
                <w:sz w:val="16"/>
              </w:rPr>
              <w:t>268,021 </w:t>
            </w:r>
          </w:p>
        </w:tc>
      </w:tr>
      <w:tr w:rsidR="00A12DCA" w:rsidRPr="00100BF5">
        <w:tblPrEx>
          <w:tblCellMar>
            <w:top w:w="0" w:type="dxa"/>
            <w:bottom w:w="0" w:type="dxa"/>
          </w:tblCellMar>
        </w:tblPrEx>
        <w:trPr>
          <w:trHeight w:val="765"/>
        </w:trPr>
        <w:tc>
          <w:tcPr>
            <w:tcW w:w="4020" w:type="dxa"/>
            <w:tcBorders>
              <w:top w:val="nil"/>
              <w:left w:val="nil"/>
              <w:bottom w:val="nil"/>
              <w:right w:val="nil"/>
            </w:tcBorders>
            <w:shd w:val="clear" w:color="auto" w:fill="FFFFFF"/>
            <w:tcMar>
              <w:left w:w="36" w:type="dxa"/>
              <w:right w:w="36" w:type="dxa"/>
            </w:tcMar>
            <w:vAlign w:val="bottom"/>
          </w:tcPr>
          <w:p w:rsidR="00A12DCA" w:rsidRPr="00100BF5" w:rsidRDefault="00A12DCA">
            <w:pPr>
              <w:rPr>
                <w:sz w:val="16"/>
              </w:rPr>
            </w:pPr>
            <w:r w:rsidRPr="00100BF5">
              <w:rPr>
                <w:b/>
                <w:sz w:val="16"/>
              </w:rPr>
              <w:t>Analysis of results by business</w:t>
            </w:r>
            <w:r w:rsidRPr="00100BF5">
              <w:rPr>
                <w:b/>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vertAlign w:val="superscript"/>
              </w:rPr>
            </w:pPr>
            <w:r w:rsidRPr="00100BF5">
              <w:rPr>
                <w:b/>
                <w:sz w:val="16"/>
              </w:rPr>
              <w:t>Investment Bank</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p>
          <w:p w:rsidR="00A12DCA" w:rsidRPr="00100BF5" w:rsidRDefault="00A12DCA">
            <w:pPr>
              <w:jc w:val="right"/>
              <w:rPr>
                <w:b/>
                <w:sz w:val="16"/>
              </w:rPr>
            </w:pPr>
            <w:r w:rsidRPr="00100BF5">
              <w:rPr>
                <w:b/>
                <w:sz w:val="16"/>
              </w:rPr>
              <w:t>Corporate Banking</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Wealth and Investment Management</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Head Office</w:t>
            </w:r>
          </w:p>
          <w:p w:rsidR="00A12DCA" w:rsidRPr="00100BF5" w:rsidRDefault="00A12DCA">
            <w:pPr>
              <w:jc w:val="right"/>
              <w:rPr>
                <w:b/>
                <w:sz w:val="16"/>
              </w:rPr>
            </w:pPr>
            <w:r w:rsidRPr="00100BF5">
              <w:rPr>
                <w:b/>
                <w:sz w:val="16"/>
              </w:rPr>
              <w:t>and Other</w:t>
            </w:r>
          </w:p>
          <w:p w:rsidR="00A12DCA" w:rsidRPr="00100BF5" w:rsidRDefault="00A12DCA">
            <w:pPr>
              <w:jc w:val="right"/>
              <w:rPr>
                <w:b/>
                <w:sz w:val="16"/>
              </w:rPr>
            </w:pPr>
            <w:r w:rsidRPr="00100BF5">
              <w:rPr>
                <w:b/>
                <w:sz w:val="16"/>
              </w:rPr>
              <w:t>Operations</w:t>
            </w:r>
          </w:p>
        </w:tc>
        <w:tc>
          <w:tcPr>
            <w:tcW w:w="1125" w:type="dxa"/>
            <w:tcBorders>
              <w:top w:val="nil"/>
              <w:left w:val="nil"/>
              <w:bottom w:val="nil"/>
              <w:right w:val="nil"/>
            </w:tcBorders>
            <w:shd w:val="clear" w:color="auto" w:fill="FFFFFF"/>
            <w:tcMar>
              <w:left w:w="36" w:type="dxa"/>
              <w:right w:w="36" w:type="dxa"/>
            </w:tcMar>
            <w:vAlign w:val="bottom"/>
          </w:tcPr>
          <w:p w:rsidR="00A12DCA" w:rsidRPr="00100BF5" w:rsidRDefault="00A12DCA">
            <w:pPr>
              <w:jc w:val="right"/>
              <w:rPr>
                <w:b/>
                <w:sz w:val="16"/>
              </w:rPr>
            </w:pPr>
            <w:r w:rsidRPr="00100BF5">
              <w:rPr>
                <w:b/>
                <w:sz w:val="16"/>
              </w:rPr>
              <w:t>Group Total</w:t>
            </w:r>
          </w:p>
        </w:tc>
      </w:tr>
      <w:tr w:rsidR="00A12DCA" w:rsidRPr="00100BF5" w:rsidTr="00BF4F3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rPr>
                <w:b/>
                <w:sz w:val="16"/>
              </w:rPr>
            </w:pPr>
            <w:r w:rsidRPr="00100BF5">
              <w:rPr>
                <w:b/>
                <w:sz w:val="16"/>
              </w:rPr>
              <w:t>Half Year Ended 30 June 2011 continued</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vertAlign w:val="superscript"/>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£m</w:t>
            </w:r>
          </w:p>
        </w:tc>
      </w:tr>
      <w:tr w:rsidR="00A12DCA" w:rsidRPr="00100BF5" w:rsidTr="00BF4F3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rPr>
                <w:b/>
                <w:sz w:val="16"/>
              </w:rPr>
            </w:pPr>
            <w:r w:rsidRPr="00100BF5">
              <w:rPr>
                <w:sz w:val="16"/>
              </w:rPr>
              <w:t>Total income net of insurance claims</w:t>
            </w:r>
            <w:r w:rsidRPr="00100BF5">
              <w:rPr>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vertAlign w:val="superscript"/>
              </w:rPr>
            </w:pPr>
            <w:r w:rsidRPr="00100BF5">
              <w:rPr>
                <w:sz w:val="16"/>
              </w:rPr>
              <w:t>6,263 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1,568 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848 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51 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15,330 </w:t>
            </w:r>
          </w:p>
        </w:tc>
      </w:tr>
      <w:tr w:rsidR="00A12DCA" w:rsidRPr="00100BF5" w:rsidTr="00BF4F37">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rPr>
                <w:sz w:val="16"/>
              </w:rPr>
            </w:pPr>
            <w:r w:rsidRPr="00100BF5">
              <w:rPr>
                <w:sz w:val="16"/>
              </w:rPr>
              <w:t>Credit impairment charges and other provisions</w:t>
            </w:r>
            <w:r w:rsidRPr="00100BF5">
              <w:rPr>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vertAlign w:val="superscript"/>
              </w:rPr>
            </w:pPr>
            <w:r w:rsidRPr="00100BF5">
              <w:rPr>
                <w:sz w:val="16"/>
              </w:rPr>
              <w:t>111 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(612)</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(19)</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(1,828)</w:t>
            </w:r>
          </w:p>
        </w:tc>
      </w:tr>
      <w:tr w:rsidR="00A12DCA" w:rsidRPr="00100BF5" w:rsidTr="00BF4F3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rPr>
                <w:b/>
                <w:sz w:val="16"/>
              </w:rPr>
            </w:pPr>
            <w:r w:rsidRPr="00100BF5">
              <w:rPr>
                <w:b/>
                <w:sz w:val="16"/>
              </w:rPr>
              <w:t>Net operating income</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vertAlign w:val="superscript"/>
              </w:rPr>
            </w:pPr>
            <w:r w:rsidRPr="00100BF5">
              <w:rPr>
                <w:b/>
                <w:sz w:val="16"/>
              </w:rPr>
              <w:t>6,374 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956 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829 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52 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13,502 </w:t>
            </w:r>
          </w:p>
        </w:tc>
      </w:tr>
      <w:tr w:rsidR="00A12DCA" w:rsidRPr="00100BF5" w:rsidTr="00BF4F37">
        <w:tblPrEx>
          <w:tblCellMar>
            <w:top w:w="0" w:type="dxa"/>
            <w:bottom w:w="0" w:type="dxa"/>
          </w:tblCellMar>
        </w:tblPrEx>
        <w:trPr>
          <w:trHeight w:val="240"/>
        </w:trPr>
        <w:tc>
          <w:tcPr>
            <w:tcW w:w="4020" w:type="dxa"/>
            <w:tcBorders>
              <w:top w:val="nil"/>
              <w:left w:val="nil"/>
              <w:bottom w:val="nil"/>
              <w:right w:val="nil"/>
            </w:tcBorders>
            <w:shd w:val="clear" w:color="auto" w:fill="FFFFFF"/>
            <w:tcMar>
              <w:left w:w="36" w:type="dxa"/>
              <w:right w:w="36" w:type="dxa"/>
            </w:tcMar>
            <w:vAlign w:val="center"/>
          </w:tcPr>
          <w:p w:rsidR="00A12DCA" w:rsidRPr="00100BF5" w:rsidRDefault="00A12DCA" w:rsidP="00BF4F37">
            <w:pPr>
              <w:rPr>
                <w:sz w:val="16"/>
              </w:rPr>
            </w:pPr>
            <w:r w:rsidRPr="00100BF5">
              <w:rPr>
                <w:sz w:val="16"/>
              </w:rPr>
              <w:t>Operating expenses</w:t>
            </w:r>
            <w:r w:rsidRPr="00100BF5">
              <w:rPr>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vertAlign w:val="superscript"/>
              </w:rPr>
            </w:pPr>
            <w:r w:rsidRPr="00100BF5">
              <w:rPr>
                <w:sz w:val="16"/>
              </w:rPr>
              <w:t>(4,073)</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(901)</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(740)</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(204)</w:t>
            </w:r>
          </w:p>
        </w:tc>
        <w:tc>
          <w:tcPr>
            <w:tcW w:w="1125" w:type="dxa"/>
            <w:tcBorders>
              <w:top w:val="nil"/>
              <w:left w:val="nil"/>
              <w:bottom w:val="nil"/>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(10,829)</w:t>
            </w:r>
          </w:p>
        </w:tc>
      </w:tr>
      <w:tr w:rsidR="00A12DCA" w:rsidRPr="00100BF5" w:rsidTr="00432270">
        <w:tblPrEx>
          <w:tblCellMar>
            <w:top w:w="0" w:type="dxa"/>
            <w:bottom w:w="0" w:type="dxa"/>
          </w:tblCellMar>
        </w:tblPrEx>
        <w:trPr>
          <w:trHeight w:val="240"/>
        </w:trPr>
        <w:tc>
          <w:tcPr>
            <w:tcW w:w="402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rPr>
                <w:sz w:val="16"/>
              </w:rPr>
            </w:pPr>
            <w:r w:rsidRPr="00100BF5">
              <w:rPr>
                <w:sz w:val="16"/>
              </w:rPr>
              <w:t>Other income/(losses)</w:t>
            </w:r>
            <w:r w:rsidRPr="00100BF5">
              <w:rPr>
                <w:sz w:val="16"/>
                <w:vertAlign w:val="superscript"/>
              </w:rPr>
              <w:t>1 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vertAlign w:val="superscript"/>
              </w:rPr>
            </w:pPr>
            <w:r w:rsidRPr="00100BF5">
              <w:rPr>
                <w:sz w:val="16"/>
              </w:rPr>
              <w:t>9 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(65)</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(1)</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BF4F37">
            <w:pPr>
              <w:jc w:val="right"/>
              <w:rPr>
                <w:sz w:val="16"/>
              </w:rPr>
            </w:pPr>
            <w:r w:rsidRPr="00100BF5">
              <w:rPr>
                <w:sz w:val="16"/>
              </w:rPr>
              <w:t>(29)</w:t>
            </w:r>
          </w:p>
        </w:tc>
      </w:tr>
      <w:tr w:rsidR="00A12DCA" w:rsidRPr="00100BF5" w:rsidTr="00432270">
        <w:tblPrEx>
          <w:tblCellMar>
            <w:top w:w="0" w:type="dxa"/>
            <w:bottom w:w="0" w:type="dxa"/>
          </w:tblCellMar>
        </w:tblPrEx>
        <w:trPr>
          <w:trHeight w:val="266"/>
        </w:trPr>
        <w:tc>
          <w:tcPr>
            <w:tcW w:w="4020"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1A1BB5">
            <w:pPr>
              <w:rPr>
                <w:b/>
                <w:sz w:val="16"/>
              </w:rPr>
            </w:pPr>
            <w:r w:rsidRPr="00100BF5">
              <w:rPr>
                <w:b/>
                <w:sz w:val="16"/>
              </w:rPr>
              <w:t xml:space="preserve">Profit /(loss) before tax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BF4F37">
            <w:pPr>
              <w:jc w:val="right"/>
              <w:rPr>
                <w:b/>
                <w:sz w:val="16"/>
                <w:vertAlign w:val="superscript"/>
              </w:rPr>
            </w:pPr>
            <w:r w:rsidRPr="00100BF5">
              <w:rPr>
                <w:b/>
                <w:sz w:val="16"/>
              </w:rPr>
              <w:t>2,310 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(10)</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88 </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(153)</w:t>
            </w:r>
          </w:p>
        </w:tc>
        <w:tc>
          <w:tcPr>
            <w:tcW w:w="1125" w:type="dxa"/>
            <w:tcBorders>
              <w:top w:val="single" w:sz="6" w:space="0" w:color="969696"/>
              <w:left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2,644 </w:t>
            </w:r>
          </w:p>
        </w:tc>
      </w:tr>
      <w:tr w:rsidR="00BF4F37" w:rsidRPr="00100BF5" w:rsidTr="00432270">
        <w:tblPrEx>
          <w:tblCellMar>
            <w:top w:w="0" w:type="dxa"/>
            <w:bottom w:w="0" w:type="dxa"/>
          </w:tblCellMar>
        </w:tblPrEx>
        <w:trPr>
          <w:trHeight w:val="202"/>
        </w:trPr>
        <w:tc>
          <w:tcPr>
            <w:tcW w:w="4020" w:type="dxa"/>
            <w:tcBorders>
              <w:left w:val="nil"/>
              <w:bottom w:val="single" w:sz="6" w:space="0" w:color="969696"/>
              <w:right w:val="nil"/>
            </w:tcBorders>
            <w:shd w:val="clear" w:color="auto" w:fill="FFFFFF"/>
            <w:tcMar>
              <w:left w:w="36" w:type="dxa"/>
              <w:right w:w="36" w:type="dxa"/>
            </w:tcMar>
            <w:vAlign w:val="center"/>
          </w:tcPr>
          <w:p w:rsidR="00BF4F37" w:rsidRPr="00100BF5" w:rsidRDefault="00BF4F37" w:rsidP="00BF4F37">
            <w:pPr>
              <w:rPr>
                <w:b/>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BF4F37" w:rsidRPr="00100BF5" w:rsidRDefault="00BF4F37" w:rsidP="00BF4F37">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BF4F37" w:rsidRPr="00100BF5" w:rsidRDefault="00BF4F37" w:rsidP="00BF4F37">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BF4F37" w:rsidRPr="00100BF5" w:rsidRDefault="00BF4F37" w:rsidP="00BF4F37">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BF4F37" w:rsidRPr="00100BF5" w:rsidRDefault="00BF4F37" w:rsidP="00BF4F37">
            <w:pPr>
              <w:jc w:val="right"/>
              <w:rPr>
                <w:sz w:val="16"/>
              </w:rPr>
            </w:pPr>
          </w:p>
        </w:tc>
        <w:tc>
          <w:tcPr>
            <w:tcW w:w="1125" w:type="dxa"/>
            <w:tcBorders>
              <w:left w:val="nil"/>
              <w:bottom w:val="single" w:sz="6" w:space="0" w:color="969696"/>
              <w:right w:val="nil"/>
            </w:tcBorders>
            <w:shd w:val="clear" w:color="auto" w:fill="FFFFFF"/>
            <w:tcMar>
              <w:left w:w="36" w:type="dxa"/>
              <w:right w:w="36" w:type="dxa"/>
            </w:tcMar>
            <w:vAlign w:val="center"/>
          </w:tcPr>
          <w:p w:rsidR="00BF4F37" w:rsidRPr="00100BF5" w:rsidRDefault="00BF4F37" w:rsidP="00BF4F37">
            <w:pPr>
              <w:jc w:val="right"/>
              <w:rPr>
                <w:sz w:val="16"/>
              </w:rPr>
            </w:pPr>
          </w:p>
        </w:tc>
      </w:tr>
      <w:tr w:rsidR="00A12DCA" w:rsidRPr="00100BF5" w:rsidTr="00BF4F37">
        <w:tblPrEx>
          <w:tblCellMar>
            <w:top w:w="0" w:type="dxa"/>
            <w:bottom w:w="0" w:type="dxa"/>
          </w:tblCellMar>
        </w:tblPrEx>
        <w:trPr>
          <w:trHeight w:val="240"/>
        </w:trPr>
        <w:tc>
          <w:tcPr>
            <w:tcW w:w="402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rPr>
                <w:b/>
                <w:sz w:val="16"/>
              </w:rPr>
            </w:pPr>
            <w:r w:rsidRPr="00100BF5">
              <w:rPr>
                <w:b/>
                <w:sz w:val="16"/>
              </w:rPr>
              <w:t xml:space="preserve">Total assets </w:t>
            </w:r>
            <w:r w:rsidRPr="00100BF5">
              <w:rPr>
                <w:b/>
                <w:sz w:val="16"/>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vertAlign w:val="superscript"/>
              </w:rPr>
            </w:pPr>
            <w:r w:rsidRPr="00100BF5">
              <w:rPr>
                <w:b/>
                <w:sz w:val="16"/>
              </w:rPr>
              <w:t>1,076,018 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87,132 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19,814 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41,937 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BF4F37">
            <w:pPr>
              <w:jc w:val="right"/>
              <w:rPr>
                <w:b/>
                <w:sz w:val="16"/>
              </w:rPr>
            </w:pPr>
            <w:r w:rsidRPr="00100BF5">
              <w:rPr>
                <w:b/>
                <w:sz w:val="16"/>
              </w:rPr>
              <w:t>1,492,922 </w:t>
            </w:r>
          </w:p>
        </w:tc>
      </w:tr>
    </w:tbl>
    <w:p w:rsidR="00A12DCA" w:rsidRPr="00100BF5" w:rsidRDefault="00A12DCA"/>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C95235" w:rsidRPr="00100BF5" w:rsidRDefault="00C95235" w:rsidP="00C95235">
      <w:pPr>
        <w:pStyle w:val="NoteandSourceText-BarcRA17"/>
        <w:numPr>
          <w:ilvl w:val="0"/>
          <w:numId w:val="0"/>
        </w:numPr>
        <w:ind w:left="284"/>
      </w:pPr>
    </w:p>
    <w:p w:rsidR="00A12DCA" w:rsidRPr="00100BF5" w:rsidRDefault="00A12DCA" w:rsidP="002D090C">
      <w:pPr>
        <w:pStyle w:val="NoteandSourceText-BarcRA17"/>
        <w:numPr>
          <w:ilvl w:val="0"/>
          <w:numId w:val="138"/>
        </w:numPr>
        <w:ind w:left="284" w:hanging="284"/>
      </w:pPr>
      <w:r w:rsidRPr="00100BF5">
        <w:t>Other income/(losses) represents: share of post-tax results of associates and joint ventures; profit or (loss) on disposal of subsidiaries, associates and joint ventures; and gains on acquisitions.</w:t>
      </w:r>
    </w:p>
    <w:p w:rsidR="00A12DCA" w:rsidRPr="00100BF5" w:rsidRDefault="00A12DCA">
      <w:pPr>
        <w:sectPr w:rsidR="00A12DCA" w:rsidRPr="00100BF5" w:rsidSect="00E100EB">
          <w:pgSz w:w="11905" w:h="16837"/>
          <w:pgMar w:top="851" w:right="1134" w:bottom="567" w:left="1134" w:header="851" w:footer="567" w:gutter="0"/>
          <w:cols w:space="708"/>
        </w:sectPr>
      </w:pPr>
    </w:p>
    <w:p w:rsidR="005F437E" w:rsidRPr="005F437E" w:rsidRDefault="005F437E" w:rsidP="005F437E">
      <w:pPr>
        <w:pStyle w:val="HeadingLevel1-BarcRA"/>
      </w:pPr>
      <w:r>
        <w:t>Shareholder Information</w:t>
      </w:r>
    </w:p>
    <w:tbl>
      <w:tblPr>
        <w:tblW w:w="0" w:type="auto"/>
        <w:tblLayout w:type="fixed"/>
        <w:tblLook w:val="0000" w:firstRow="0" w:lastRow="0" w:firstColumn="0" w:lastColumn="0" w:noHBand="0" w:noVBand="0"/>
      </w:tblPr>
      <w:tblGrid>
        <w:gridCol w:w="5115"/>
        <w:gridCol w:w="1564"/>
        <w:gridCol w:w="236"/>
        <w:gridCol w:w="900"/>
        <w:gridCol w:w="900"/>
        <w:gridCol w:w="900"/>
      </w:tblGrid>
      <w:tr w:rsidR="00A12DCA" w:rsidRPr="00100BF5" w:rsidTr="00432270">
        <w:tblPrEx>
          <w:tblCellMar>
            <w:top w:w="0" w:type="dxa"/>
            <w:bottom w:w="0" w:type="dxa"/>
          </w:tblCellMar>
        </w:tblPrEx>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r w:rsidRPr="00100BF5">
              <w:rPr>
                <w:b/>
                <w:sz w:val="16"/>
              </w:rPr>
              <w:t>Results Timetable</w:t>
            </w:r>
            <w:r w:rsidRPr="00100BF5">
              <w:rPr>
                <w:sz w:val="16"/>
                <w:vertAlign w:val="superscript"/>
              </w:rPr>
              <w:t>1 </w:t>
            </w:r>
          </w:p>
        </w:tc>
        <w:tc>
          <w:tcPr>
            <w:tcW w:w="1564"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432270">
            <w:pPr>
              <w:jc w:val="both"/>
              <w:rPr>
                <w:b/>
                <w:sz w:val="16"/>
                <w:vertAlign w:val="superscript"/>
              </w:rPr>
            </w:pPr>
            <w:r w:rsidRPr="00100BF5">
              <w:rPr>
                <w:b/>
                <w:sz w:val="16"/>
              </w:rPr>
              <w:t>Date</w:t>
            </w:r>
          </w:p>
        </w:tc>
        <w:tc>
          <w:tcPr>
            <w:tcW w:w="236"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both"/>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both"/>
              <w:rPr>
                <w:sz w:val="16"/>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rPr>
            </w:pP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 xml:space="preserve"> </w:t>
            </w:r>
            <w:r w:rsidRPr="00100BF5">
              <w:rPr>
                <w:sz w:val="16"/>
                <w:vertAlign w:val="superscript"/>
              </w:rPr>
              <w:t xml:space="preserve"> </w:t>
            </w:r>
          </w:p>
        </w:tc>
      </w:tr>
      <w:tr w:rsidR="00432270" w:rsidRPr="00100BF5" w:rsidTr="00432270">
        <w:tblPrEx>
          <w:tblCellMar>
            <w:top w:w="0" w:type="dxa"/>
            <w:bottom w:w="0" w:type="dxa"/>
          </w:tblCellMar>
        </w:tblPrEx>
        <w:trPr>
          <w:trHeight w:val="240"/>
        </w:trPr>
        <w:tc>
          <w:tcPr>
            <w:tcW w:w="5115" w:type="dxa"/>
            <w:tcBorders>
              <w:top w:val="single" w:sz="6" w:space="0" w:color="969696"/>
              <w:left w:val="nil"/>
              <w:bottom w:val="nil"/>
              <w:right w:val="nil"/>
            </w:tcBorders>
            <w:shd w:val="clear" w:color="auto" w:fill="FFFFFF"/>
            <w:tcMar>
              <w:left w:w="36" w:type="dxa"/>
              <w:right w:w="36" w:type="dxa"/>
            </w:tcMar>
            <w:vAlign w:val="center"/>
          </w:tcPr>
          <w:p w:rsidR="00432270" w:rsidRPr="00100BF5" w:rsidRDefault="00432270" w:rsidP="009C7B67">
            <w:pPr>
              <w:rPr>
                <w:sz w:val="16"/>
                <w:vertAlign w:val="superscript"/>
              </w:rPr>
            </w:pPr>
            <w:r w:rsidRPr="00100BF5">
              <w:rPr>
                <w:sz w:val="16"/>
              </w:rPr>
              <w:t>Ex-dividend date</w:t>
            </w:r>
            <w:r w:rsidRPr="00100BF5">
              <w:rPr>
                <w:b/>
                <w:sz w:val="16"/>
                <w:vertAlign w:val="superscript"/>
              </w:rPr>
              <w:t xml:space="preserve"> </w:t>
            </w:r>
          </w:p>
        </w:tc>
        <w:tc>
          <w:tcPr>
            <w:tcW w:w="1564" w:type="dxa"/>
            <w:tcBorders>
              <w:top w:val="single" w:sz="6" w:space="0" w:color="969696"/>
              <w:left w:val="nil"/>
              <w:bottom w:val="nil"/>
              <w:right w:val="nil"/>
            </w:tcBorders>
            <w:shd w:val="clear" w:color="auto" w:fill="FFFFFF"/>
            <w:tcMar>
              <w:left w:w="36" w:type="dxa"/>
              <w:right w:w="36" w:type="dxa"/>
            </w:tcMar>
            <w:vAlign w:val="center"/>
          </w:tcPr>
          <w:p w:rsidR="00432270" w:rsidRPr="00100BF5" w:rsidRDefault="00432270" w:rsidP="00D84AF1">
            <w:pPr>
              <w:rPr>
                <w:b/>
                <w:sz w:val="16"/>
              </w:rPr>
            </w:pPr>
            <w:r w:rsidRPr="00100BF5">
              <w:rPr>
                <w:sz w:val="16"/>
              </w:rPr>
              <w:t>8 August 2012</w:t>
            </w:r>
            <w:r w:rsidRPr="00100BF5">
              <w:rPr>
                <w:sz w:val="16"/>
                <w:vertAlign w:val="superscript"/>
              </w:rPr>
              <w:t xml:space="preserve"> </w:t>
            </w:r>
          </w:p>
        </w:tc>
        <w:tc>
          <w:tcPr>
            <w:tcW w:w="236" w:type="dxa"/>
            <w:tcBorders>
              <w:top w:val="single" w:sz="6" w:space="0" w:color="969696"/>
              <w:left w:val="nil"/>
              <w:bottom w:val="nil"/>
              <w:right w:val="nil"/>
            </w:tcBorders>
            <w:shd w:val="clear" w:color="auto" w:fill="FFFFFF"/>
            <w:tcMar>
              <w:left w:w="36" w:type="dxa"/>
              <w:right w:w="36" w:type="dxa"/>
            </w:tcMar>
            <w:vAlign w:val="center"/>
          </w:tcPr>
          <w:p w:rsidR="00432270" w:rsidRPr="00100BF5" w:rsidRDefault="00432270">
            <w:pPr>
              <w:jc w:val="both"/>
              <w:rPr>
                <w:b/>
                <w:sz w:val="16"/>
              </w:rPr>
            </w:pPr>
            <w:r w:rsidRPr="00100BF5">
              <w:rPr>
                <w:b/>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432270" w:rsidRPr="00100BF5" w:rsidRDefault="00432270">
            <w:pPr>
              <w:jc w:val="both"/>
              <w:rPr>
                <w:b/>
                <w:sz w:val="16"/>
              </w:rPr>
            </w:pPr>
            <w:r w:rsidRPr="00100BF5">
              <w:rPr>
                <w:b/>
                <w:sz w:val="16"/>
              </w:rPr>
              <w:t xml:space="preserve"> </w:t>
            </w:r>
          </w:p>
        </w:tc>
        <w:tc>
          <w:tcPr>
            <w:tcW w:w="1800" w:type="dxa"/>
            <w:gridSpan w:val="2"/>
            <w:tcBorders>
              <w:top w:val="single" w:sz="6" w:space="0" w:color="969696"/>
              <w:left w:val="nil"/>
              <w:bottom w:val="nil"/>
              <w:right w:val="nil"/>
            </w:tcBorders>
            <w:shd w:val="clear" w:color="auto" w:fill="FFFFFF"/>
            <w:tcMar>
              <w:left w:w="36" w:type="dxa"/>
              <w:right w:w="36" w:type="dxa"/>
            </w:tcMar>
            <w:vAlign w:val="center"/>
          </w:tcPr>
          <w:p w:rsidR="00432270" w:rsidRPr="00100BF5" w:rsidRDefault="00432270" w:rsidP="009C7B67">
            <w:pPr>
              <w:rPr>
                <w:b/>
                <w:sz w:val="16"/>
              </w:rPr>
            </w:pPr>
          </w:p>
        </w:tc>
      </w:tr>
      <w:tr w:rsidR="00432270" w:rsidRPr="00100BF5" w:rsidTr="00432270">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432270" w:rsidRPr="00100BF5" w:rsidRDefault="00432270" w:rsidP="009C7B67">
            <w:pPr>
              <w:rPr>
                <w:sz w:val="16"/>
                <w:vertAlign w:val="superscript"/>
              </w:rPr>
            </w:pPr>
            <w:r w:rsidRPr="00100BF5">
              <w:rPr>
                <w:sz w:val="16"/>
              </w:rPr>
              <w:t>Dividend Record date</w:t>
            </w:r>
            <w:r w:rsidRPr="00100BF5">
              <w:rPr>
                <w:sz w:val="16"/>
                <w:vertAlign w:val="superscript"/>
              </w:rPr>
              <w:t xml:space="preserve"> </w:t>
            </w:r>
          </w:p>
        </w:tc>
        <w:tc>
          <w:tcPr>
            <w:tcW w:w="1564" w:type="dxa"/>
            <w:tcBorders>
              <w:top w:val="nil"/>
              <w:left w:val="nil"/>
              <w:bottom w:val="nil"/>
              <w:right w:val="nil"/>
            </w:tcBorders>
            <w:shd w:val="clear" w:color="auto" w:fill="FFFFFF"/>
            <w:tcMar>
              <w:left w:w="36" w:type="dxa"/>
              <w:right w:w="36" w:type="dxa"/>
            </w:tcMar>
            <w:vAlign w:val="center"/>
          </w:tcPr>
          <w:p w:rsidR="00432270" w:rsidRPr="00100BF5" w:rsidRDefault="00432270" w:rsidP="00D84AF1">
            <w:pPr>
              <w:rPr>
                <w:sz w:val="16"/>
              </w:rPr>
            </w:pPr>
            <w:r w:rsidRPr="00100BF5">
              <w:rPr>
                <w:sz w:val="16"/>
              </w:rPr>
              <w:t>10 August 2012</w:t>
            </w:r>
            <w:r w:rsidRPr="00100BF5">
              <w:rPr>
                <w:sz w:val="16"/>
                <w:vertAlign w:val="superscript"/>
              </w:rPr>
              <w:t xml:space="preserve"> </w:t>
            </w:r>
          </w:p>
        </w:tc>
        <w:tc>
          <w:tcPr>
            <w:tcW w:w="236" w:type="dxa"/>
            <w:tcBorders>
              <w:top w:val="nil"/>
              <w:left w:val="nil"/>
              <w:bottom w:val="nil"/>
              <w:right w:val="nil"/>
            </w:tcBorders>
            <w:shd w:val="clear" w:color="auto" w:fill="FFFFFF"/>
            <w:tcMar>
              <w:left w:w="36" w:type="dxa"/>
              <w:right w:w="36" w:type="dxa"/>
            </w:tcMar>
            <w:vAlign w:val="center"/>
          </w:tcPr>
          <w:p w:rsidR="00432270" w:rsidRPr="00100BF5" w:rsidRDefault="00432270">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432270" w:rsidRPr="00100BF5" w:rsidRDefault="00432270">
            <w:pPr>
              <w:rPr>
                <w:sz w:val="16"/>
              </w:rPr>
            </w:pPr>
            <w:r w:rsidRPr="00100BF5">
              <w:rPr>
                <w:sz w:val="16"/>
              </w:rPr>
              <w:t xml:space="preserve"> </w:t>
            </w:r>
          </w:p>
        </w:tc>
        <w:tc>
          <w:tcPr>
            <w:tcW w:w="1800" w:type="dxa"/>
            <w:gridSpan w:val="2"/>
            <w:tcBorders>
              <w:top w:val="nil"/>
              <w:left w:val="nil"/>
              <w:bottom w:val="nil"/>
              <w:right w:val="nil"/>
            </w:tcBorders>
            <w:shd w:val="clear" w:color="auto" w:fill="FFFFFF"/>
            <w:tcMar>
              <w:left w:w="36" w:type="dxa"/>
              <w:right w:w="36" w:type="dxa"/>
            </w:tcMar>
            <w:vAlign w:val="center"/>
          </w:tcPr>
          <w:p w:rsidR="00432270" w:rsidRPr="00100BF5" w:rsidRDefault="00432270" w:rsidP="009C7B67">
            <w:pPr>
              <w:rPr>
                <w:sz w:val="16"/>
              </w:rPr>
            </w:pPr>
          </w:p>
        </w:tc>
      </w:tr>
      <w:tr w:rsidR="00432270" w:rsidRPr="00100BF5" w:rsidTr="00432270">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432270" w:rsidRPr="00100BF5" w:rsidRDefault="00432270" w:rsidP="009C7B67">
            <w:pPr>
              <w:rPr>
                <w:sz w:val="16"/>
                <w:vertAlign w:val="superscript"/>
              </w:rPr>
            </w:pPr>
            <w:r w:rsidRPr="00100BF5">
              <w:rPr>
                <w:sz w:val="16"/>
              </w:rPr>
              <w:t>Dividend Payment date</w:t>
            </w:r>
            <w:r w:rsidRPr="00100BF5">
              <w:rPr>
                <w:sz w:val="16"/>
                <w:vertAlign w:val="superscript"/>
              </w:rPr>
              <w:t xml:space="preserve"> </w:t>
            </w:r>
          </w:p>
        </w:tc>
        <w:tc>
          <w:tcPr>
            <w:tcW w:w="1564" w:type="dxa"/>
            <w:tcBorders>
              <w:top w:val="nil"/>
              <w:left w:val="nil"/>
              <w:bottom w:val="nil"/>
              <w:right w:val="nil"/>
            </w:tcBorders>
            <w:shd w:val="clear" w:color="auto" w:fill="FFFFFF"/>
            <w:tcMar>
              <w:left w:w="36" w:type="dxa"/>
              <w:right w:w="36" w:type="dxa"/>
            </w:tcMar>
            <w:vAlign w:val="center"/>
          </w:tcPr>
          <w:p w:rsidR="00432270" w:rsidRPr="00100BF5" w:rsidRDefault="00432270" w:rsidP="00D84AF1">
            <w:pPr>
              <w:rPr>
                <w:sz w:val="16"/>
              </w:rPr>
            </w:pPr>
            <w:r w:rsidRPr="00100BF5">
              <w:rPr>
                <w:sz w:val="16"/>
              </w:rPr>
              <w:t>7 September 2012</w:t>
            </w:r>
            <w:r w:rsidRPr="00100BF5">
              <w:rPr>
                <w:sz w:val="16"/>
                <w:vertAlign w:val="superscript"/>
              </w:rPr>
              <w:t xml:space="preserve"> </w:t>
            </w:r>
          </w:p>
        </w:tc>
        <w:tc>
          <w:tcPr>
            <w:tcW w:w="236" w:type="dxa"/>
            <w:tcBorders>
              <w:top w:val="nil"/>
              <w:left w:val="nil"/>
              <w:bottom w:val="nil"/>
              <w:right w:val="nil"/>
            </w:tcBorders>
            <w:shd w:val="clear" w:color="auto" w:fill="FFFFFF"/>
            <w:tcMar>
              <w:left w:w="36" w:type="dxa"/>
              <w:right w:w="36" w:type="dxa"/>
            </w:tcMar>
            <w:vAlign w:val="center"/>
          </w:tcPr>
          <w:p w:rsidR="00432270" w:rsidRPr="00100BF5" w:rsidRDefault="00432270">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432270" w:rsidRPr="00100BF5" w:rsidRDefault="00432270">
            <w:pPr>
              <w:rPr>
                <w:sz w:val="16"/>
              </w:rPr>
            </w:pPr>
            <w:r w:rsidRPr="00100BF5">
              <w:rPr>
                <w:sz w:val="16"/>
              </w:rPr>
              <w:t xml:space="preserve"> </w:t>
            </w:r>
          </w:p>
        </w:tc>
        <w:tc>
          <w:tcPr>
            <w:tcW w:w="1800" w:type="dxa"/>
            <w:gridSpan w:val="2"/>
            <w:tcBorders>
              <w:top w:val="nil"/>
              <w:left w:val="nil"/>
              <w:bottom w:val="nil"/>
              <w:right w:val="nil"/>
            </w:tcBorders>
            <w:shd w:val="clear" w:color="auto" w:fill="FFFFFF"/>
            <w:tcMar>
              <w:left w:w="36" w:type="dxa"/>
              <w:right w:w="36" w:type="dxa"/>
            </w:tcMar>
            <w:vAlign w:val="center"/>
          </w:tcPr>
          <w:p w:rsidR="00432270" w:rsidRPr="00100BF5" w:rsidRDefault="00432270" w:rsidP="009C7B67">
            <w:pPr>
              <w:rPr>
                <w:sz w:val="16"/>
              </w:rPr>
            </w:pPr>
          </w:p>
        </w:tc>
      </w:tr>
      <w:tr w:rsidR="00432270" w:rsidRPr="00100BF5" w:rsidTr="00432270">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432270" w:rsidRPr="00100BF5" w:rsidRDefault="00432270" w:rsidP="009C7B67">
            <w:pPr>
              <w:rPr>
                <w:sz w:val="16"/>
                <w:vertAlign w:val="superscript"/>
              </w:rPr>
            </w:pPr>
            <w:r w:rsidRPr="00100BF5">
              <w:rPr>
                <w:sz w:val="16"/>
              </w:rPr>
              <w:t>Q3 2012 Interim Management Statement</w:t>
            </w:r>
            <w:r w:rsidRPr="00100BF5">
              <w:rPr>
                <w:sz w:val="16"/>
                <w:vertAlign w:val="superscript"/>
              </w:rPr>
              <w:t xml:space="preserve"> </w:t>
            </w:r>
          </w:p>
        </w:tc>
        <w:tc>
          <w:tcPr>
            <w:tcW w:w="1564" w:type="dxa"/>
            <w:tcBorders>
              <w:top w:val="nil"/>
              <w:left w:val="nil"/>
              <w:bottom w:val="nil"/>
              <w:right w:val="nil"/>
            </w:tcBorders>
            <w:shd w:val="clear" w:color="auto" w:fill="FFFFFF"/>
            <w:tcMar>
              <w:left w:w="36" w:type="dxa"/>
              <w:right w:w="36" w:type="dxa"/>
            </w:tcMar>
            <w:vAlign w:val="center"/>
          </w:tcPr>
          <w:p w:rsidR="00432270" w:rsidRPr="00100BF5" w:rsidRDefault="00432270" w:rsidP="00D84AF1">
            <w:pPr>
              <w:rPr>
                <w:sz w:val="16"/>
              </w:rPr>
            </w:pPr>
            <w:r w:rsidRPr="00100BF5">
              <w:rPr>
                <w:sz w:val="16"/>
              </w:rPr>
              <w:t>31 October 2012</w:t>
            </w:r>
            <w:r w:rsidRPr="00100BF5">
              <w:rPr>
                <w:sz w:val="16"/>
                <w:vertAlign w:val="superscript"/>
              </w:rPr>
              <w:t xml:space="preserve"> </w:t>
            </w:r>
          </w:p>
        </w:tc>
        <w:tc>
          <w:tcPr>
            <w:tcW w:w="236" w:type="dxa"/>
            <w:tcBorders>
              <w:top w:val="nil"/>
              <w:left w:val="nil"/>
              <w:bottom w:val="nil"/>
              <w:right w:val="nil"/>
            </w:tcBorders>
            <w:shd w:val="clear" w:color="auto" w:fill="FFFFFF"/>
            <w:tcMar>
              <w:left w:w="36" w:type="dxa"/>
              <w:right w:w="36" w:type="dxa"/>
            </w:tcMar>
            <w:vAlign w:val="center"/>
          </w:tcPr>
          <w:p w:rsidR="00432270" w:rsidRPr="00100BF5" w:rsidRDefault="00432270">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432270" w:rsidRPr="00100BF5" w:rsidRDefault="00432270">
            <w:pPr>
              <w:rPr>
                <w:sz w:val="16"/>
              </w:rPr>
            </w:pPr>
            <w:r w:rsidRPr="00100BF5">
              <w:rPr>
                <w:sz w:val="16"/>
              </w:rPr>
              <w:t xml:space="preserve"> </w:t>
            </w:r>
          </w:p>
        </w:tc>
        <w:tc>
          <w:tcPr>
            <w:tcW w:w="1800" w:type="dxa"/>
            <w:gridSpan w:val="2"/>
            <w:tcBorders>
              <w:top w:val="nil"/>
              <w:left w:val="nil"/>
              <w:bottom w:val="nil"/>
              <w:right w:val="nil"/>
            </w:tcBorders>
            <w:shd w:val="clear" w:color="auto" w:fill="FFFFFF"/>
            <w:tcMar>
              <w:left w:w="36" w:type="dxa"/>
              <w:right w:w="36" w:type="dxa"/>
            </w:tcMar>
            <w:vAlign w:val="center"/>
          </w:tcPr>
          <w:p w:rsidR="00432270" w:rsidRPr="00100BF5" w:rsidRDefault="00432270" w:rsidP="009C7B67">
            <w:pPr>
              <w:rPr>
                <w:sz w:val="16"/>
              </w:rPr>
            </w:pPr>
          </w:p>
        </w:tc>
      </w:tr>
    </w:tbl>
    <w:p w:rsidR="00432270" w:rsidRPr="00100BF5" w:rsidRDefault="00432270"/>
    <w:tbl>
      <w:tblPr>
        <w:tblW w:w="0" w:type="auto"/>
        <w:tblLayout w:type="fixed"/>
        <w:tblLook w:val="0000" w:firstRow="0" w:lastRow="0" w:firstColumn="0" w:lastColumn="0" w:noHBand="0" w:noVBand="0"/>
      </w:tblPr>
      <w:tblGrid>
        <w:gridCol w:w="5115"/>
        <w:gridCol w:w="900"/>
        <w:gridCol w:w="900"/>
        <w:gridCol w:w="900"/>
        <w:gridCol w:w="900"/>
        <w:gridCol w:w="900"/>
      </w:tblGrid>
      <w:tr w:rsidR="00A12DCA" w:rsidRPr="00100BF5">
        <w:tblPrEx>
          <w:tblCellMar>
            <w:top w:w="0" w:type="dxa"/>
            <w:bottom w:w="0" w:type="dxa"/>
          </w:tblCellMar>
        </w:tblPrEx>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Half Year</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Half Year</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 xml:space="preserve"> </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 xml:space="preserve"> </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Ended</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Ended</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Ended</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Change</w:t>
            </w:r>
            <w:r w:rsidRPr="00100BF5">
              <w:rPr>
                <w:b/>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Change</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b/>
                <w:sz w:val="16"/>
              </w:rPr>
              <w:t>Exchange Rates</w:t>
            </w:r>
            <w:r w:rsidRPr="00100BF5">
              <w:rPr>
                <w:b/>
                <w:sz w:val="16"/>
                <w:vertAlign w:val="superscript"/>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30.06.12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30.06.11</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r w:rsidRPr="00100BF5">
              <w:rPr>
                <w:b/>
                <w:sz w:val="16"/>
                <w:vertAlign w:val="superscript"/>
              </w:rPr>
              <w:t>3 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30.06.11</w:t>
            </w:r>
            <w:r w:rsidRPr="00100BF5">
              <w:rPr>
                <w:sz w:val="16"/>
                <w:vertAlign w:val="superscript"/>
              </w:rPr>
              <w:t>3 </w:t>
            </w:r>
          </w:p>
        </w:tc>
      </w:tr>
      <w:tr w:rsidR="00A12DCA" w:rsidRPr="00100BF5" w:rsidTr="009C7B67">
        <w:tblPrEx>
          <w:tblCellMar>
            <w:top w:w="0" w:type="dxa"/>
            <w:bottom w:w="0" w:type="dxa"/>
          </w:tblCellMar>
        </w:tblPrEx>
        <w:trPr>
          <w:trHeight w:val="240"/>
        </w:trPr>
        <w:tc>
          <w:tcPr>
            <w:tcW w:w="51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Period end - US$/£</w:t>
            </w:r>
            <w:r w:rsidRPr="00100BF5">
              <w:rPr>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1.57 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w:t>
            </w:r>
            <w:r w:rsidRPr="00100BF5">
              <w:rPr>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Average - US$/£</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1.58 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1.59 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1.62 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3%</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Period end - €/£</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1.24 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1.19 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1.11 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(10%)</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Average - €/£</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1.22 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1.15 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(5%)</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(5%)</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Period end - ZAR/£</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12.83 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12.52 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10.87 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(2%)</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(15%)</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Average - ZAR/£</w:t>
            </w:r>
            <w:r w:rsidRPr="00100BF5">
              <w:rPr>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vertAlign w:val="superscript"/>
              </w:rPr>
            </w:pPr>
            <w:r w:rsidRPr="00100BF5">
              <w:rPr>
                <w:sz w:val="16"/>
              </w:rPr>
              <w:t>12.52 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12.08 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11.14 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(4%)</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(11%)</w:t>
            </w:r>
            <w:r w:rsidRPr="00100BF5">
              <w:rPr>
                <w:sz w:val="16"/>
                <w:vertAlign w:val="superscript"/>
              </w:rPr>
              <w:t xml:space="preserve"> </w:t>
            </w:r>
          </w:p>
        </w:tc>
      </w:tr>
      <w:tr w:rsidR="00A12DCA" w:rsidRPr="00100BF5">
        <w:tblPrEx>
          <w:tblCellMar>
            <w:top w:w="0" w:type="dxa"/>
            <w:bottom w:w="0" w:type="dxa"/>
          </w:tblCellMar>
        </w:tblPrEx>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pPr>
              <w:jc w:val="both"/>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both"/>
              <w:rPr>
                <w:sz w:val="16"/>
                <w:vertAlign w:val="superscript"/>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both"/>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r w:rsidRPr="00100BF5">
              <w:rPr>
                <w:sz w:val="16"/>
                <w:vertAlign w:val="superscript"/>
              </w:rPr>
              <w:t xml:space="preserve"> </w:t>
            </w:r>
          </w:p>
        </w:tc>
      </w:tr>
      <w:tr w:rsidR="00A12DCA" w:rsidRPr="00100BF5">
        <w:tblPrEx>
          <w:tblCellMar>
            <w:top w:w="0" w:type="dxa"/>
            <w:bottom w:w="0" w:type="dxa"/>
          </w:tblCellMar>
        </w:tblPrEx>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b/>
                <w:sz w:val="16"/>
              </w:rPr>
              <w:t>Share Price Data</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sz w:val="16"/>
              </w:rPr>
            </w:pPr>
            <w:r w:rsidRPr="00100BF5">
              <w:rPr>
                <w:b/>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30.06.12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rPr>
            </w:pPr>
            <w:r w:rsidRPr="00100BF5">
              <w:rPr>
                <w:b/>
                <w:sz w:val="16"/>
              </w:rPr>
              <w:t>31.12.11</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jc w:val="right"/>
              <w:rPr>
                <w:b/>
                <w:sz w:val="16"/>
                <w:vertAlign w:val="superscript"/>
              </w:rPr>
            </w:pPr>
            <w:r w:rsidRPr="00100BF5">
              <w:rPr>
                <w:b/>
                <w:sz w:val="16"/>
              </w:rPr>
              <w:t>30.06.11</w:t>
            </w:r>
            <w:r w:rsidRPr="00100BF5">
              <w:rPr>
                <w:sz w:val="16"/>
                <w:vertAlign w:val="superscript"/>
              </w:rPr>
              <w:t xml:space="preserve"> </w:t>
            </w:r>
          </w:p>
        </w:tc>
      </w:tr>
      <w:tr w:rsidR="00A12DCA" w:rsidRPr="00100BF5">
        <w:tblPrEx>
          <w:tblCellMar>
            <w:top w:w="0" w:type="dxa"/>
            <w:bottom w:w="0" w:type="dxa"/>
          </w:tblCellMar>
        </w:tblPrEx>
        <w:trPr>
          <w:trHeight w:val="240"/>
        </w:trPr>
        <w:tc>
          <w:tcPr>
            <w:tcW w:w="51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Barclays PLC (p)</w:t>
            </w:r>
            <w:r w:rsidRPr="00100BF5">
              <w:rPr>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162.85 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176.05 </w:t>
            </w:r>
            <w:r w:rsidRPr="00100BF5">
              <w:rPr>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256.45 </w:t>
            </w:r>
            <w:r w:rsidRPr="00100BF5">
              <w:rPr>
                <w:sz w:val="16"/>
                <w:vertAlign w:val="superscript"/>
              </w:rPr>
              <w:t xml:space="preserve"> </w:t>
            </w:r>
          </w:p>
        </w:tc>
      </w:tr>
      <w:tr w:rsidR="00A12DCA" w:rsidRPr="00100BF5">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Absa Group Limited (ZAR)</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A12DCA" w:rsidRPr="00100BF5" w:rsidRDefault="00A12DCA">
            <w:pPr>
              <w:jc w:val="right"/>
              <w:rPr>
                <w:sz w:val="16"/>
              </w:rPr>
            </w:pPr>
            <w:r w:rsidRPr="00100BF5">
              <w:rPr>
                <w:sz w:val="16"/>
              </w:rPr>
              <w:t>141.20 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rPr>
            </w:pPr>
            <w:r w:rsidRPr="00100BF5">
              <w:rPr>
                <w:sz w:val="16"/>
              </w:rPr>
              <w:t>141.00 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jc w:val="right"/>
              <w:rPr>
                <w:sz w:val="16"/>
                <w:vertAlign w:val="superscript"/>
              </w:rPr>
            </w:pPr>
            <w:r w:rsidRPr="00100BF5">
              <w:rPr>
                <w:sz w:val="16"/>
              </w:rPr>
              <w:t>134.81 </w:t>
            </w:r>
            <w:r w:rsidRPr="00100BF5">
              <w:rPr>
                <w:sz w:val="16"/>
                <w:vertAlign w:val="superscript"/>
              </w:rPr>
              <w:t xml:space="preserve"> </w:t>
            </w:r>
          </w:p>
        </w:tc>
      </w:tr>
    </w:tbl>
    <w:p w:rsidR="00432270" w:rsidRPr="00100BF5" w:rsidRDefault="00432270"/>
    <w:tbl>
      <w:tblPr>
        <w:tblW w:w="0" w:type="auto"/>
        <w:tblLayout w:type="fixed"/>
        <w:tblLook w:val="0000" w:firstRow="0" w:lastRow="0" w:firstColumn="0" w:lastColumn="0" w:noHBand="0" w:noVBand="0"/>
      </w:tblPr>
      <w:tblGrid>
        <w:gridCol w:w="5115"/>
        <w:gridCol w:w="900"/>
        <w:gridCol w:w="900"/>
        <w:gridCol w:w="900"/>
        <w:gridCol w:w="900"/>
        <w:gridCol w:w="900"/>
      </w:tblGrid>
      <w:tr w:rsidR="00A12DCA" w:rsidRPr="00100BF5">
        <w:tblPrEx>
          <w:tblCellMar>
            <w:top w:w="0" w:type="dxa"/>
            <w:bottom w:w="0" w:type="dxa"/>
          </w:tblCellMar>
        </w:tblPrEx>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r>
      <w:tr w:rsidR="00A12DCA" w:rsidRPr="00100BF5" w:rsidTr="009C7B67">
        <w:tblPrEx>
          <w:tblCellMar>
            <w:top w:w="0" w:type="dxa"/>
            <w:bottom w:w="0" w:type="dxa"/>
          </w:tblCellMar>
        </w:tblPrEx>
        <w:trPr>
          <w:trHeigh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i/>
                <w:sz w:val="16"/>
                <w:vertAlign w:val="superscript"/>
              </w:rPr>
            </w:pPr>
            <w:r w:rsidRPr="00100BF5">
              <w:rPr>
                <w:b/>
                <w:i/>
                <w:sz w:val="16"/>
              </w:rPr>
              <w:t>For Further Information Please Contact</w:t>
            </w:r>
            <w:r w:rsidRPr="00100BF5">
              <w:rPr>
                <w:b/>
                <w:i/>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b/>
                <w:sz w:val="16"/>
                <w:vertAlign w:val="superscript"/>
              </w:rPr>
            </w:pPr>
            <w:r w:rsidRPr="00100BF5">
              <w:rPr>
                <w:b/>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b/>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b/>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r>
      <w:tr w:rsidR="00A12DCA" w:rsidRPr="00100BF5" w:rsidTr="009C7B67">
        <w:tblPrEx>
          <w:tblCellMar>
            <w:top w:w="0" w:type="dxa"/>
            <w:bottom w:w="0" w:type="dxa"/>
          </w:tblCellMar>
        </w:tblPrEx>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r>
      <w:tr w:rsidR="00A12DCA" w:rsidRPr="00100BF5" w:rsidTr="00432270">
        <w:tblPrEx>
          <w:tblCellMar>
            <w:top w:w="0" w:type="dxa"/>
            <w:bottom w:w="0" w:type="dxa"/>
          </w:tblCellMar>
        </w:tblPrEx>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b/>
                <w:sz w:val="16"/>
              </w:rPr>
              <w:t>Investor Relations</w:t>
            </w:r>
            <w:r w:rsidRPr="00100BF5">
              <w:rPr>
                <w:b/>
                <w:sz w:val="16"/>
                <w:vertAlign w:val="superscript"/>
              </w:rPr>
              <w:t xml:space="preserve"> </w:t>
            </w:r>
          </w:p>
        </w:tc>
        <w:tc>
          <w:tcPr>
            <w:tcW w:w="3600" w:type="dxa"/>
            <w:gridSpan w:val="4"/>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rsidP="009C7B67">
            <w:pPr>
              <w:rPr>
                <w:b/>
                <w:sz w:val="16"/>
                <w:vertAlign w:val="superscript"/>
              </w:rPr>
            </w:pPr>
            <w:r w:rsidRPr="00100BF5">
              <w:rPr>
                <w:b/>
                <w:sz w:val="16"/>
              </w:rPr>
              <w:t>Media Relations</w:t>
            </w:r>
            <w:r w:rsidRPr="00100BF5">
              <w:rPr>
                <w:b/>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A12DCA" w:rsidRPr="00100BF5" w:rsidRDefault="00A12DCA">
            <w:pPr>
              <w:rPr>
                <w:b/>
                <w:sz w:val="16"/>
                <w:vertAlign w:val="superscript"/>
              </w:rPr>
            </w:pPr>
            <w:r w:rsidRPr="00100BF5">
              <w:rPr>
                <w:b/>
                <w:sz w:val="16"/>
              </w:rPr>
              <w:t xml:space="preserve"> </w:t>
            </w:r>
            <w:r w:rsidRPr="00100BF5">
              <w:rPr>
                <w:sz w:val="16"/>
                <w:vertAlign w:val="superscript"/>
              </w:rPr>
              <w:t xml:space="preserve"> </w:t>
            </w:r>
          </w:p>
        </w:tc>
      </w:tr>
      <w:tr w:rsidR="00A12DCA" w:rsidRPr="00100BF5" w:rsidTr="00432270">
        <w:tblPrEx>
          <w:tblCellMar>
            <w:top w:w="0" w:type="dxa"/>
            <w:bottom w:w="0" w:type="dxa"/>
          </w:tblCellMar>
        </w:tblPrEx>
        <w:trPr>
          <w:trHeight w:val="240"/>
        </w:trPr>
        <w:tc>
          <w:tcPr>
            <w:tcW w:w="5115"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Charlie Rozes +44 (0) 20 7116 5752</w:t>
            </w:r>
            <w:r w:rsidRPr="00100BF5">
              <w:rPr>
                <w:sz w:val="16"/>
                <w:vertAlign w:val="superscript"/>
              </w:rPr>
              <w:t xml:space="preserve"> </w:t>
            </w:r>
          </w:p>
        </w:tc>
        <w:tc>
          <w:tcPr>
            <w:tcW w:w="3600" w:type="dxa"/>
            <w:gridSpan w:val="4"/>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Giles Croot +44 (0) 20 7116 6132</w:t>
            </w:r>
            <w:r w:rsidRPr="00100BF5">
              <w:rPr>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r>
      <w:tr w:rsidR="00A12DCA" w:rsidRPr="00100BF5" w:rsidTr="009C7B67">
        <w:tblPrEx>
          <w:tblCellMar>
            <w:top w:w="0" w:type="dxa"/>
            <w:bottom w:w="0" w:type="dxa"/>
          </w:tblCellMar>
        </w:tblPrEx>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rPr>
            </w:pPr>
            <w:r w:rsidRPr="00100BF5">
              <w:rPr>
                <w:sz w:val="16"/>
              </w:rPr>
              <w:t xml:space="preserve"> </w:t>
            </w:r>
            <w:r w:rsidRPr="00100BF5">
              <w:rPr>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r>
      <w:tr w:rsidR="00A12DCA" w:rsidRPr="00100BF5" w:rsidTr="00432270">
        <w:tblPrEx>
          <w:tblCellMar>
            <w:top w:w="0" w:type="dxa"/>
            <w:bottom w:w="0" w:type="dxa"/>
          </w:tblCellMar>
        </w:tblPrEx>
        <w:trPr>
          <w:trHeight w:val="240"/>
        </w:trPr>
        <w:tc>
          <w:tcPr>
            <w:tcW w:w="8715" w:type="dxa"/>
            <w:gridSpan w:val="5"/>
            <w:tcBorders>
              <w:top w:val="nil"/>
              <w:left w:val="nil"/>
              <w:bottom w:val="nil"/>
              <w:right w:val="nil"/>
            </w:tcBorders>
            <w:shd w:val="clear" w:color="auto" w:fill="FFFFFF"/>
            <w:tcMar>
              <w:left w:w="36" w:type="dxa"/>
              <w:right w:w="36" w:type="dxa"/>
            </w:tcMar>
            <w:vAlign w:val="center"/>
          </w:tcPr>
          <w:p w:rsidR="00A12DCA" w:rsidRPr="00100BF5" w:rsidRDefault="00A12DCA" w:rsidP="009C7B67">
            <w:pPr>
              <w:rPr>
                <w:sz w:val="16"/>
                <w:vertAlign w:val="superscript"/>
              </w:rPr>
            </w:pPr>
            <w:r w:rsidRPr="00100BF5">
              <w:rPr>
                <w:rFonts w:eastAsia="Times New Roman" w:cs="Times New Roman"/>
                <w:sz w:val="18"/>
                <w:szCs w:val="20"/>
                <w:lang w:val="en-GB"/>
              </w:rPr>
              <w:t xml:space="preserve">More information on Barclays can be found on our website: www.barclays.com </w:t>
            </w:r>
          </w:p>
        </w:tc>
        <w:tc>
          <w:tcPr>
            <w:tcW w:w="900" w:type="dxa"/>
            <w:tcBorders>
              <w:top w:val="nil"/>
              <w:left w:val="nil"/>
              <w:bottom w:val="nil"/>
              <w:right w:val="nil"/>
            </w:tcBorders>
            <w:shd w:val="clear" w:color="auto" w:fill="FFFFFF"/>
            <w:tcMar>
              <w:left w:w="36" w:type="dxa"/>
              <w:right w:w="36" w:type="dxa"/>
            </w:tcMar>
            <w:vAlign w:val="center"/>
          </w:tcPr>
          <w:p w:rsidR="00A12DCA" w:rsidRPr="00100BF5" w:rsidRDefault="00A12DCA">
            <w:pPr>
              <w:rPr>
                <w:sz w:val="16"/>
                <w:vertAlign w:val="superscript"/>
              </w:rPr>
            </w:pPr>
            <w:r w:rsidRPr="00100BF5">
              <w:rPr>
                <w:sz w:val="16"/>
              </w:rPr>
              <w:t xml:space="preserve"> </w:t>
            </w:r>
            <w:r w:rsidRPr="00100BF5">
              <w:rPr>
                <w:sz w:val="16"/>
                <w:vertAlign w:val="superscript"/>
              </w:rPr>
              <w:t xml:space="preserve"> </w:t>
            </w:r>
          </w:p>
        </w:tc>
      </w:tr>
    </w:tbl>
    <w:p w:rsidR="00A12DCA" w:rsidRPr="00100BF5" w:rsidRDefault="00A12DCA"/>
    <w:p w:rsidR="00A12DCA" w:rsidRPr="00100BF5" w:rsidRDefault="00A12DCA" w:rsidP="00A12DCA">
      <w:pPr>
        <w:pStyle w:val="HeadingLevel2-BarcRA29"/>
        <w:rPr>
          <w:color w:val="auto"/>
        </w:rPr>
      </w:pPr>
      <w:r w:rsidRPr="00100BF5">
        <w:rPr>
          <w:color w:val="auto"/>
        </w:rPr>
        <w:t>Registered Office</w:t>
      </w:r>
    </w:p>
    <w:p w:rsidR="00A12DCA" w:rsidRPr="00100BF5" w:rsidRDefault="00A12DCA" w:rsidP="00A12DCA">
      <w:pPr>
        <w:pStyle w:val="BodyText-BarcRA97"/>
      </w:pPr>
      <w:r w:rsidRPr="00100BF5">
        <w:t>1 Churchill Place, London, E14 5HP, United Kingdom. Tel: +44 (0) 20 7116 1000. Company number: 48839</w:t>
      </w:r>
    </w:p>
    <w:p w:rsidR="00A12DCA" w:rsidRPr="00100BF5" w:rsidRDefault="00A12DCA" w:rsidP="00A12DCA">
      <w:pPr>
        <w:pStyle w:val="HeadingLevel2-BarcRA29"/>
        <w:rPr>
          <w:color w:val="auto"/>
        </w:rPr>
      </w:pPr>
      <w:r w:rsidRPr="00100BF5">
        <w:rPr>
          <w:color w:val="auto"/>
        </w:rPr>
        <w:t xml:space="preserve">Registrar </w:t>
      </w:r>
    </w:p>
    <w:p w:rsidR="00A12DCA" w:rsidRPr="00100BF5" w:rsidRDefault="00A12DCA" w:rsidP="00A12DCA">
      <w:pPr>
        <w:pStyle w:val="BodyText-BarcRA97"/>
      </w:pPr>
      <w:r w:rsidRPr="00100BF5">
        <w:t xml:space="preserve">The Registrar to Barclays, Aspect House, Spencer Road, Lancing, West Sussex, BN99 6DA, United Kingdom. </w:t>
      </w:r>
    </w:p>
    <w:p w:rsidR="00A12DCA" w:rsidRPr="00100BF5" w:rsidRDefault="00A12DCA" w:rsidP="00A12DCA">
      <w:pPr>
        <w:pStyle w:val="BodyText-BarcRA97"/>
      </w:pPr>
      <w:r w:rsidRPr="00100BF5">
        <w:t>Tel: 0871 384 2055</w:t>
      </w:r>
      <w:r w:rsidRPr="00100BF5">
        <w:rPr>
          <w:vertAlign w:val="superscript"/>
        </w:rPr>
        <w:t>4</w:t>
      </w:r>
      <w:r w:rsidRPr="00100BF5">
        <w:t xml:space="preserve"> from the UK or +44 121 415 7004 from overseas.</w:t>
      </w:r>
    </w:p>
    <w:p w:rsidR="00A12DCA" w:rsidRPr="00100BF5" w:rsidRDefault="00A12DCA" w:rsidP="00A12DCA">
      <w:pPr>
        <w:pStyle w:val="HeadingLevel2-BarcRA29"/>
        <w:rPr>
          <w:color w:val="auto"/>
        </w:rPr>
      </w:pPr>
      <w:r w:rsidRPr="00100BF5">
        <w:rPr>
          <w:color w:val="auto"/>
        </w:rPr>
        <w:t>Listing</w:t>
      </w:r>
    </w:p>
    <w:p w:rsidR="00A12DCA" w:rsidRPr="00100BF5" w:rsidRDefault="00A12DCA" w:rsidP="00A12DCA">
      <w:pPr>
        <w:pStyle w:val="BodyText-BarcRA97"/>
      </w:pPr>
      <w:r w:rsidRPr="00100BF5">
        <w:t>The principal trading market for Barclays PLC ordinary shares is the London Stock Exchange. Trading on the New York Stock Exchange is in the form of ADSs under the ticker symbol 'BCS'. Each ADS represents four ordinary shares of 25p each and is evidenced by an ADR. The ADR depositary is JP Morgan Chase Bank, whose international telephone number is +1-651-453-2128, domestic telephone number is 1-800-990-1135 and address is JPMorgan Chase Bank, PO Box 64504, St. Paul, MN 55164-0504, USA.</w:t>
      </w:r>
    </w:p>
    <w:p w:rsidR="00A12DCA" w:rsidRPr="00100BF5" w:rsidRDefault="00A12DCA" w:rsidP="00A12DCA">
      <w:pPr>
        <w:pStyle w:val="HeadingLevel2-BarcRA29"/>
        <w:rPr>
          <w:color w:val="auto"/>
        </w:rPr>
      </w:pPr>
      <w:r w:rsidRPr="00100BF5">
        <w:rPr>
          <w:color w:val="auto"/>
        </w:rPr>
        <w:t>Dividend Reinvestment Plan</w:t>
      </w:r>
    </w:p>
    <w:p w:rsidR="00A12DCA" w:rsidRPr="00100BF5" w:rsidRDefault="00A12DCA" w:rsidP="00A12DCA">
      <w:pPr>
        <w:pStyle w:val="BodyText-BarcRA97"/>
      </w:pPr>
      <w:r w:rsidRPr="00100BF5">
        <w:t>Shareholders may have their dividends reinvested in Barclays shares by joining the Barclays Dividend Reinvestment Plan (DRIP). The DRIP is a straightforward and cost-effective way of using your dividends to build your shareholding in Barclays. For further details, including application information, please visit www.barclays.com or alternatively contact: The Plan Administrator to Barclays DRIP, Aspect House, Spencer Road, Lancing, West Sussex, BN99 6DA, United Kingdom, or by telephoning 0871 384 2055</w:t>
      </w:r>
      <w:r w:rsidRPr="00100BF5">
        <w:rPr>
          <w:vertAlign w:val="superscript"/>
        </w:rPr>
        <w:t>4</w:t>
      </w:r>
      <w:r w:rsidRPr="00100BF5">
        <w:t xml:space="preserve"> from the UK or +44 121 415 7004 from overseas.</w:t>
      </w:r>
    </w:p>
    <w:p w:rsidR="00A12DCA" w:rsidRPr="00100BF5" w:rsidRDefault="00A12DCA" w:rsidP="00A12DCA">
      <w:pPr>
        <w:pStyle w:val="BarclaysNoteText"/>
        <w:ind w:left="0" w:firstLine="0"/>
      </w:pPr>
    </w:p>
    <w:p w:rsidR="00C95235" w:rsidRPr="00100BF5" w:rsidRDefault="00C95235" w:rsidP="00A12DCA">
      <w:pPr>
        <w:pStyle w:val="BarclaysNoteText"/>
        <w:ind w:left="0" w:firstLine="0"/>
      </w:pPr>
    </w:p>
    <w:p w:rsidR="00C95235" w:rsidRPr="00100BF5" w:rsidRDefault="00C95235" w:rsidP="00A12DCA">
      <w:pPr>
        <w:pStyle w:val="BarclaysNoteText"/>
        <w:ind w:left="0" w:firstLine="0"/>
        <w:rPr>
          <w:sz w:val="2"/>
          <w:szCs w:val="2"/>
        </w:rPr>
      </w:pPr>
    </w:p>
    <w:p w:rsidR="003B473F" w:rsidRPr="00100BF5" w:rsidRDefault="003B473F" w:rsidP="00A12DCA">
      <w:pPr>
        <w:pStyle w:val="BarclaysNoteText"/>
        <w:ind w:left="0" w:firstLine="0"/>
        <w:rPr>
          <w:sz w:val="2"/>
          <w:szCs w:val="2"/>
        </w:rPr>
      </w:pPr>
    </w:p>
    <w:p w:rsidR="003B473F" w:rsidRPr="00100BF5" w:rsidRDefault="003B473F" w:rsidP="00A12DCA">
      <w:pPr>
        <w:pStyle w:val="BarclaysNoteText"/>
        <w:ind w:left="0" w:firstLine="0"/>
        <w:rPr>
          <w:sz w:val="2"/>
          <w:szCs w:val="2"/>
        </w:rPr>
      </w:pPr>
    </w:p>
    <w:p w:rsidR="003B473F" w:rsidRPr="00100BF5" w:rsidRDefault="003B473F" w:rsidP="00A12DCA">
      <w:pPr>
        <w:pStyle w:val="BarclaysNoteText"/>
        <w:ind w:left="0" w:firstLine="0"/>
        <w:rPr>
          <w:sz w:val="2"/>
          <w:szCs w:val="2"/>
        </w:rPr>
      </w:pPr>
    </w:p>
    <w:p w:rsidR="003B473F" w:rsidRPr="00100BF5" w:rsidRDefault="003B473F" w:rsidP="00A12DCA">
      <w:pPr>
        <w:pStyle w:val="BarclaysNoteText"/>
        <w:ind w:left="0" w:firstLine="0"/>
        <w:rPr>
          <w:sz w:val="2"/>
          <w:szCs w:val="2"/>
        </w:rPr>
      </w:pPr>
    </w:p>
    <w:p w:rsidR="00A12DCA" w:rsidRPr="00100BF5" w:rsidRDefault="00A12DCA" w:rsidP="00A12DCA">
      <w:pPr>
        <w:pStyle w:val="NoteandSourceText-BarcRA18"/>
        <w:ind w:left="284" w:hanging="284"/>
      </w:pPr>
      <w:r w:rsidRPr="00100BF5">
        <w:t xml:space="preserve"> Note that these announcement dates are provisional and subject to change.</w:t>
      </w:r>
    </w:p>
    <w:p w:rsidR="00A12DCA" w:rsidRPr="00100BF5" w:rsidRDefault="00A12DCA" w:rsidP="00A12DCA">
      <w:pPr>
        <w:pStyle w:val="NoteandSourceText-BarcRA18"/>
        <w:ind w:left="284" w:hanging="284"/>
      </w:pPr>
      <w:r w:rsidRPr="00100BF5">
        <w:t xml:space="preserve">The average rates shown above are derived from daily spot rates during the year used to convert foreign currency transactions into Sterling for accounting    purposes.  </w:t>
      </w:r>
    </w:p>
    <w:p w:rsidR="00A12DCA" w:rsidRPr="00100BF5" w:rsidRDefault="00A12DCA" w:rsidP="00A12DCA">
      <w:pPr>
        <w:pStyle w:val="NoteandSourceText-BarcRA18"/>
        <w:ind w:left="284" w:hanging="284"/>
      </w:pPr>
      <w:r w:rsidRPr="00100BF5">
        <w:t>The change is the impact to Sterling reported information.</w:t>
      </w:r>
    </w:p>
    <w:p w:rsidR="00A12DCA" w:rsidRPr="00100BF5" w:rsidRDefault="00A12DCA" w:rsidP="00A12DCA">
      <w:pPr>
        <w:pStyle w:val="NoteandSourceText-BarcRA18"/>
        <w:ind w:left="284" w:hanging="284"/>
      </w:pPr>
      <w:r w:rsidRPr="00100BF5">
        <w:t>Calls to this number are charged at 8p per minute if using a BT landline. Call charges may vary if using other providers.</w:t>
      </w:r>
    </w:p>
    <w:p w:rsidR="00A12DCA" w:rsidRPr="00100BF5" w:rsidRDefault="00A12DCA">
      <w:pPr>
        <w:sectPr w:rsidR="00A12DCA" w:rsidRPr="00100BF5" w:rsidSect="00E100EB">
          <w:headerReference w:type="default" r:id="rId33"/>
          <w:pgSz w:w="11905" w:h="16837"/>
          <w:pgMar w:top="851" w:right="1134" w:bottom="567" w:left="1134" w:header="851" w:footer="567" w:gutter="0"/>
          <w:cols w:space="708"/>
        </w:sectPr>
      </w:pPr>
    </w:p>
    <w:p w:rsidR="005F437E" w:rsidRPr="005F437E" w:rsidRDefault="005F437E" w:rsidP="005F437E">
      <w:pPr>
        <w:pStyle w:val="HeadingLevel1-BarcRA"/>
      </w:pPr>
      <w:r>
        <w:t>Index</w:t>
      </w:r>
    </w:p>
    <w:tbl>
      <w:tblPr>
        <w:tblW w:w="10323" w:type="dxa"/>
        <w:tblLook w:val="04A0" w:firstRow="1" w:lastRow="0" w:firstColumn="1" w:lastColumn="0" w:noHBand="0" w:noVBand="1"/>
      </w:tblPr>
      <w:tblGrid>
        <w:gridCol w:w="85"/>
        <w:gridCol w:w="3823"/>
        <w:gridCol w:w="796"/>
        <w:gridCol w:w="366"/>
        <w:gridCol w:w="3827"/>
        <w:gridCol w:w="434"/>
        <w:gridCol w:w="558"/>
        <w:gridCol w:w="434"/>
      </w:tblGrid>
      <w:tr w:rsidR="00AF72CF" w:rsidRPr="00100BF5" w:rsidTr="00A12DCA">
        <w:trPr>
          <w:gridBefore w:val="1"/>
          <w:gridAfter w:val="1"/>
          <w:wBefore w:w="85" w:type="dxa"/>
          <w:wAfter w:w="434" w:type="dxa"/>
          <w:trHeight w:val="243"/>
        </w:trPr>
        <w:tc>
          <w:tcPr>
            <w:tcW w:w="3823" w:type="dxa"/>
            <w:noWrap/>
            <w:vAlign w:val="center"/>
          </w:tcPr>
          <w:p w:rsidR="00AF72CF" w:rsidRPr="00100BF5" w:rsidRDefault="00AF72CF" w:rsidP="007421F1">
            <w:pPr>
              <w:pStyle w:val="Normal86"/>
              <w:spacing w:before="100" w:after="100"/>
              <w:rPr>
                <w:szCs w:val="18"/>
              </w:rPr>
            </w:pPr>
            <w:r w:rsidRPr="00100BF5">
              <w:rPr>
                <w:szCs w:val="18"/>
              </w:rPr>
              <w:t>Africa Retail and Business Banking</w:t>
            </w:r>
          </w:p>
        </w:tc>
        <w:tc>
          <w:tcPr>
            <w:tcW w:w="796" w:type="dxa"/>
            <w:vAlign w:val="center"/>
          </w:tcPr>
          <w:p w:rsidR="00AF72CF" w:rsidRPr="00100BF5" w:rsidRDefault="006F055D" w:rsidP="007421F1">
            <w:pPr>
              <w:pStyle w:val="Normal86"/>
              <w:spacing w:before="100" w:after="100"/>
              <w:jc w:val="right"/>
              <w:rPr>
                <w:szCs w:val="18"/>
              </w:rPr>
            </w:pPr>
            <w:r>
              <w:rPr>
                <w:szCs w:val="18"/>
              </w:rPr>
              <w:t>18</w:t>
            </w:r>
          </w:p>
        </w:tc>
        <w:tc>
          <w:tcPr>
            <w:tcW w:w="366" w:type="dxa"/>
            <w:noWrap/>
            <w:vAlign w:val="center"/>
          </w:tcPr>
          <w:p w:rsidR="00AF72CF" w:rsidRPr="00100BF5" w:rsidRDefault="00AF72CF" w:rsidP="007421F1">
            <w:pPr>
              <w:pStyle w:val="Normal86"/>
              <w:spacing w:before="100" w:after="100"/>
              <w:rPr>
                <w:szCs w:val="18"/>
              </w:rPr>
            </w:pPr>
          </w:p>
        </w:tc>
        <w:tc>
          <w:tcPr>
            <w:tcW w:w="3827" w:type="dxa"/>
            <w:noWrap/>
            <w:vAlign w:val="center"/>
          </w:tcPr>
          <w:p w:rsidR="00AF72CF" w:rsidRPr="00100BF5" w:rsidRDefault="00AF72CF" w:rsidP="007421F1">
            <w:pPr>
              <w:pStyle w:val="Normal86"/>
              <w:spacing w:before="100" w:after="100"/>
              <w:rPr>
                <w:szCs w:val="18"/>
              </w:rPr>
            </w:pPr>
            <w:r w:rsidRPr="00100BF5">
              <w:rPr>
                <w:szCs w:val="18"/>
              </w:rPr>
              <w:t>Liquidity pool</w:t>
            </w:r>
          </w:p>
        </w:tc>
        <w:tc>
          <w:tcPr>
            <w:tcW w:w="992" w:type="dxa"/>
            <w:gridSpan w:val="2"/>
            <w:vAlign w:val="center"/>
          </w:tcPr>
          <w:p w:rsidR="00AF72CF" w:rsidRPr="00100BF5" w:rsidRDefault="006F055D" w:rsidP="007421F1">
            <w:pPr>
              <w:pStyle w:val="Normal86"/>
              <w:spacing w:before="100" w:after="100"/>
              <w:jc w:val="right"/>
              <w:rPr>
                <w:szCs w:val="18"/>
              </w:rPr>
            </w:pPr>
            <w:r>
              <w:rPr>
                <w:szCs w:val="18"/>
              </w:rPr>
              <w:t>40</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Accounting policies</w:t>
            </w:r>
          </w:p>
        </w:tc>
        <w:tc>
          <w:tcPr>
            <w:tcW w:w="796" w:type="dxa"/>
            <w:vAlign w:val="center"/>
          </w:tcPr>
          <w:p w:rsidR="00F23C28" w:rsidRPr="00100BF5" w:rsidRDefault="00F23C28" w:rsidP="007421F1">
            <w:pPr>
              <w:pStyle w:val="Normal86"/>
              <w:spacing w:before="100" w:after="100"/>
              <w:jc w:val="right"/>
              <w:rPr>
                <w:szCs w:val="18"/>
              </w:rPr>
            </w:pPr>
            <w:r>
              <w:rPr>
                <w:szCs w:val="18"/>
              </w:rPr>
              <w:t>73</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Loans and advances to customers and banks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46</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Administration and general expenses</w:t>
            </w:r>
          </w:p>
        </w:tc>
        <w:tc>
          <w:tcPr>
            <w:tcW w:w="796" w:type="dxa"/>
            <w:vAlign w:val="center"/>
          </w:tcPr>
          <w:p w:rsidR="00F23C28" w:rsidRPr="00100BF5" w:rsidRDefault="00F23C28" w:rsidP="007421F1">
            <w:pPr>
              <w:pStyle w:val="Normal86"/>
              <w:spacing w:before="100" w:after="100"/>
              <w:jc w:val="right"/>
              <w:rPr>
                <w:szCs w:val="18"/>
              </w:rPr>
            </w:pPr>
            <w:r>
              <w:rPr>
                <w:szCs w:val="18"/>
              </w:rPr>
              <w:t>75</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Margins and balances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34</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 xml:space="preserve">Balance sheet </w:t>
            </w:r>
          </w:p>
        </w:tc>
        <w:tc>
          <w:tcPr>
            <w:tcW w:w="796" w:type="dxa"/>
            <w:vAlign w:val="center"/>
          </w:tcPr>
          <w:p w:rsidR="00F23C28" w:rsidRPr="00100BF5" w:rsidRDefault="00F23C28" w:rsidP="007421F1">
            <w:pPr>
              <w:pStyle w:val="Normal86"/>
              <w:spacing w:before="100" w:after="100"/>
              <w:jc w:val="right"/>
              <w:rPr>
                <w:szCs w:val="18"/>
              </w:rPr>
            </w:pPr>
            <w:r>
              <w:rPr>
                <w:szCs w:val="18"/>
              </w:rPr>
              <w:t>11</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Market risk</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70</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Balance sheet leverage</w:t>
            </w:r>
          </w:p>
        </w:tc>
        <w:tc>
          <w:tcPr>
            <w:tcW w:w="796" w:type="dxa"/>
            <w:vAlign w:val="center"/>
          </w:tcPr>
          <w:p w:rsidR="00F23C28" w:rsidRPr="00100BF5" w:rsidRDefault="00F23C28" w:rsidP="007421F1">
            <w:pPr>
              <w:pStyle w:val="Normal86"/>
              <w:spacing w:before="100" w:after="100"/>
              <w:jc w:val="right"/>
              <w:rPr>
                <w:szCs w:val="18"/>
              </w:rPr>
            </w:pPr>
            <w:r>
              <w:rPr>
                <w:szCs w:val="18"/>
              </w:rPr>
              <w:t>39</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Net interest income</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73</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Barclaycard</w:t>
            </w:r>
          </w:p>
        </w:tc>
        <w:tc>
          <w:tcPr>
            <w:tcW w:w="796" w:type="dxa"/>
            <w:vAlign w:val="center"/>
          </w:tcPr>
          <w:p w:rsidR="00F23C28" w:rsidRPr="00100BF5" w:rsidRDefault="00F23C28" w:rsidP="007421F1">
            <w:pPr>
              <w:pStyle w:val="Normal86"/>
              <w:spacing w:before="100" w:after="100"/>
              <w:jc w:val="right"/>
              <w:rPr>
                <w:szCs w:val="18"/>
              </w:rPr>
            </w:pPr>
            <w:r>
              <w:rPr>
                <w:szCs w:val="18"/>
              </w:rPr>
              <w:t>20</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Non-controlling interests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76</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Capital ratios</w:t>
            </w:r>
          </w:p>
        </w:tc>
        <w:tc>
          <w:tcPr>
            <w:tcW w:w="796" w:type="dxa"/>
            <w:vAlign w:val="center"/>
          </w:tcPr>
          <w:p w:rsidR="00F23C28" w:rsidRPr="00100BF5" w:rsidRDefault="00F23C28" w:rsidP="007421F1">
            <w:pPr>
              <w:pStyle w:val="Normal86"/>
              <w:spacing w:before="100" w:after="100"/>
              <w:jc w:val="right"/>
              <w:rPr>
                <w:szCs w:val="18"/>
              </w:rPr>
            </w:pPr>
            <w:r>
              <w:rPr>
                <w:szCs w:val="18"/>
              </w:rPr>
              <w:t>37</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Other reserves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81</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Capital resources</w:t>
            </w:r>
          </w:p>
        </w:tc>
        <w:tc>
          <w:tcPr>
            <w:tcW w:w="796" w:type="dxa"/>
            <w:vAlign w:val="center"/>
          </w:tcPr>
          <w:p w:rsidR="00F23C28" w:rsidRPr="00100BF5" w:rsidRDefault="00F23C28" w:rsidP="007421F1">
            <w:pPr>
              <w:pStyle w:val="Normal86"/>
              <w:spacing w:before="100" w:after="100"/>
              <w:jc w:val="right"/>
              <w:rPr>
                <w:szCs w:val="18"/>
              </w:rPr>
            </w:pPr>
            <w:r>
              <w:rPr>
                <w:szCs w:val="18"/>
              </w:rPr>
              <w:t>37</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Performance highlights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2</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 xml:space="preserve">Cash flow statement </w:t>
            </w:r>
          </w:p>
        </w:tc>
        <w:tc>
          <w:tcPr>
            <w:tcW w:w="796" w:type="dxa"/>
            <w:vAlign w:val="center"/>
          </w:tcPr>
          <w:p w:rsidR="00F23C28" w:rsidRPr="00100BF5" w:rsidRDefault="00F23C28" w:rsidP="007421F1">
            <w:pPr>
              <w:pStyle w:val="Normal86"/>
              <w:spacing w:before="100" w:after="100"/>
              <w:jc w:val="right"/>
              <w:rPr>
                <w:szCs w:val="18"/>
              </w:rPr>
            </w:pPr>
            <w:r>
              <w:rPr>
                <w:szCs w:val="18"/>
              </w:rPr>
              <w:t>13</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Principal risks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36</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Competition and regulatory matters</w:t>
            </w:r>
          </w:p>
        </w:tc>
        <w:tc>
          <w:tcPr>
            <w:tcW w:w="796" w:type="dxa"/>
            <w:vAlign w:val="center"/>
          </w:tcPr>
          <w:p w:rsidR="00F23C28" w:rsidRPr="00100BF5" w:rsidRDefault="00F23C28" w:rsidP="007421F1">
            <w:pPr>
              <w:pStyle w:val="Normal86"/>
              <w:spacing w:before="100" w:after="100"/>
              <w:jc w:val="right"/>
              <w:rPr>
                <w:szCs w:val="18"/>
              </w:rPr>
            </w:pPr>
            <w:r>
              <w:rPr>
                <w:szCs w:val="18"/>
              </w:rPr>
              <w:t>86</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Provisions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80</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 xml:space="preserve">Contingent liabilities and commitments </w:t>
            </w:r>
          </w:p>
        </w:tc>
        <w:tc>
          <w:tcPr>
            <w:tcW w:w="796" w:type="dxa"/>
            <w:vAlign w:val="center"/>
          </w:tcPr>
          <w:p w:rsidR="00F23C28" w:rsidRPr="00100BF5" w:rsidRDefault="00F23C28" w:rsidP="007421F1">
            <w:pPr>
              <w:pStyle w:val="Normal86"/>
              <w:spacing w:before="100" w:after="100"/>
              <w:jc w:val="right"/>
              <w:rPr>
                <w:szCs w:val="18"/>
              </w:rPr>
            </w:pPr>
            <w:r>
              <w:rPr>
                <w:szCs w:val="18"/>
              </w:rPr>
              <w:t>82</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Results by quarter</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8, 31</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Corporate Banking</w:t>
            </w:r>
          </w:p>
        </w:tc>
        <w:tc>
          <w:tcPr>
            <w:tcW w:w="796" w:type="dxa"/>
            <w:vAlign w:val="center"/>
          </w:tcPr>
          <w:p w:rsidR="00F23C28" w:rsidRPr="00100BF5" w:rsidRDefault="00F23C28" w:rsidP="007421F1">
            <w:pPr>
              <w:pStyle w:val="Normal86"/>
              <w:spacing w:before="100" w:after="100"/>
              <w:jc w:val="right"/>
              <w:rPr>
                <w:szCs w:val="18"/>
              </w:rPr>
            </w:pPr>
            <w:r>
              <w:rPr>
                <w:szCs w:val="18"/>
              </w:rPr>
              <w:t>24</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Results timetable</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91</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Country exposures (selected Eurozone)</w:t>
            </w:r>
          </w:p>
        </w:tc>
        <w:tc>
          <w:tcPr>
            <w:tcW w:w="796" w:type="dxa"/>
            <w:vAlign w:val="center"/>
          </w:tcPr>
          <w:p w:rsidR="00F23C28" w:rsidRPr="00100BF5" w:rsidRDefault="00F23C28" w:rsidP="007421F1">
            <w:pPr>
              <w:pStyle w:val="Normal86"/>
              <w:spacing w:before="100" w:after="100"/>
              <w:jc w:val="right"/>
              <w:rPr>
                <w:szCs w:val="18"/>
              </w:rPr>
            </w:pPr>
            <w:r>
              <w:rPr>
                <w:szCs w:val="18"/>
              </w:rPr>
              <w:t>58</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Retail credit risk</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51</w:t>
            </w:r>
          </w:p>
        </w:tc>
      </w:tr>
      <w:tr w:rsidR="00F23C28" w:rsidRPr="00100BF5" w:rsidTr="00A12DCA">
        <w:trPr>
          <w:gridBefore w:val="1"/>
          <w:gridAfter w:val="1"/>
          <w:wBefore w:w="85" w:type="dxa"/>
          <w:wAfter w:w="434" w:type="dxa"/>
          <w:trHeight w:val="243"/>
        </w:trPr>
        <w:tc>
          <w:tcPr>
            <w:tcW w:w="3823" w:type="dxa"/>
            <w:noWrap/>
            <w:vAlign w:val="center"/>
          </w:tcPr>
          <w:p w:rsidR="00F23C28" w:rsidRPr="00100BF5" w:rsidRDefault="00F23C28" w:rsidP="007421F1">
            <w:pPr>
              <w:pStyle w:val="Normal86"/>
              <w:spacing w:before="100" w:after="100"/>
              <w:rPr>
                <w:szCs w:val="18"/>
              </w:rPr>
            </w:pPr>
            <w:r w:rsidRPr="00100BF5">
              <w:rPr>
                <w:szCs w:val="18"/>
              </w:rPr>
              <w:t xml:space="preserve">Credit impairment charges and other credit </w:t>
            </w:r>
            <w:r w:rsidR="00AE56DA">
              <w:rPr>
                <w:szCs w:val="18"/>
              </w:rPr>
              <w:t>provisions</w:t>
            </w:r>
          </w:p>
        </w:tc>
        <w:tc>
          <w:tcPr>
            <w:tcW w:w="796" w:type="dxa"/>
            <w:vAlign w:val="center"/>
          </w:tcPr>
          <w:p w:rsidR="00F23C28" w:rsidRPr="00100BF5" w:rsidRDefault="00F23C28" w:rsidP="007421F1">
            <w:pPr>
              <w:pStyle w:val="Normal86"/>
              <w:spacing w:before="100" w:after="100"/>
              <w:jc w:val="right"/>
              <w:rPr>
                <w:szCs w:val="18"/>
              </w:rPr>
            </w:pPr>
            <w:r>
              <w:rPr>
                <w:szCs w:val="18"/>
              </w:rPr>
              <w:t>48</w:t>
            </w:r>
          </w:p>
        </w:tc>
        <w:tc>
          <w:tcPr>
            <w:tcW w:w="366" w:type="dxa"/>
            <w:noWrap/>
            <w:vAlign w:val="center"/>
          </w:tcPr>
          <w:p w:rsidR="00F23C28" w:rsidRPr="00100BF5" w:rsidRDefault="00F23C28" w:rsidP="007421F1">
            <w:pPr>
              <w:pStyle w:val="Normal86"/>
              <w:spacing w:before="100" w:after="100"/>
              <w:rPr>
                <w:szCs w:val="18"/>
              </w:rPr>
            </w:pPr>
          </w:p>
        </w:tc>
        <w:tc>
          <w:tcPr>
            <w:tcW w:w="3827" w:type="dxa"/>
            <w:noWrap/>
            <w:vAlign w:val="center"/>
          </w:tcPr>
          <w:p w:rsidR="00F23C28" w:rsidRPr="00100BF5" w:rsidRDefault="00F23C28" w:rsidP="007421F1">
            <w:pPr>
              <w:pStyle w:val="Normal86"/>
              <w:spacing w:before="100" w:after="100"/>
              <w:rPr>
                <w:szCs w:val="18"/>
              </w:rPr>
            </w:pPr>
            <w:r w:rsidRPr="00100BF5">
              <w:rPr>
                <w:szCs w:val="18"/>
              </w:rPr>
              <w:t>Retail forbearance programmes</w:t>
            </w:r>
          </w:p>
        </w:tc>
        <w:tc>
          <w:tcPr>
            <w:tcW w:w="992" w:type="dxa"/>
            <w:gridSpan w:val="2"/>
            <w:vAlign w:val="center"/>
          </w:tcPr>
          <w:p w:rsidR="00F23C28" w:rsidRPr="00100BF5" w:rsidRDefault="00F23C28" w:rsidP="007421F1">
            <w:pPr>
              <w:pStyle w:val="Normal86"/>
              <w:spacing w:before="100" w:after="100"/>
              <w:jc w:val="right"/>
              <w:rPr>
                <w:szCs w:val="18"/>
              </w:rPr>
            </w:pPr>
            <w:r>
              <w:rPr>
                <w:szCs w:val="18"/>
              </w:rPr>
              <w:t>55</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Credit market exposures</w:t>
            </w:r>
          </w:p>
        </w:tc>
        <w:tc>
          <w:tcPr>
            <w:tcW w:w="796" w:type="dxa"/>
            <w:vAlign w:val="center"/>
          </w:tcPr>
          <w:p w:rsidR="00AE56DA" w:rsidRPr="00100BF5" w:rsidRDefault="00AE56DA" w:rsidP="00EA521B">
            <w:pPr>
              <w:pStyle w:val="Normal86"/>
              <w:spacing w:before="100" w:after="100"/>
              <w:jc w:val="right"/>
              <w:rPr>
                <w:szCs w:val="18"/>
              </w:rPr>
            </w:pPr>
            <w:r>
              <w:rPr>
                <w:szCs w:val="18"/>
              </w:rPr>
              <w:t>69</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Retirement benefits</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81</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Credit risk</w:t>
            </w:r>
          </w:p>
        </w:tc>
        <w:tc>
          <w:tcPr>
            <w:tcW w:w="796" w:type="dxa"/>
            <w:vAlign w:val="center"/>
          </w:tcPr>
          <w:p w:rsidR="00AE56DA" w:rsidRPr="00100BF5" w:rsidRDefault="00AE56DA" w:rsidP="00EA521B">
            <w:pPr>
              <w:pStyle w:val="Normal86"/>
              <w:spacing w:before="100" w:after="100"/>
              <w:jc w:val="right"/>
              <w:rPr>
                <w:szCs w:val="18"/>
              </w:rPr>
            </w:pPr>
            <w:r>
              <w:rPr>
                <w:szCs w:val="18"/>
              </w:rPr>
              <w:t>45</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Returns and equity by business</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33</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Credit risk loans</w:t>
            </w:r>
          </w:p>
        </w:tc>
        <w:tc>
          <w:tcPr>
            <w:tcW w:w="796" w:type="dxa"/>
            <w:vAlign w:val="center"/>
          </w:tcPr>
          <w:p w:rsidR="00AE56DA" w:rsidRPr="00100BF5" w:rsidRDefault="00AE56DA" w:rsidP="00EA521B">
            <w:pPr>
              <w:pStyle w:val="Normal86"/>
              <w:spacing w:before="100" w:after="100"/>
              <w:jc w:val="right"/>
              <w:rPr>
                <w:szCs w:val="18"/>
              </w:rPr>
            </w:pPr>
            <w:r>
              <w:rPr>
                <w:szCs w:val="18"/>
              </w:rPr>
              <w:t>49</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Risk weighted assets</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38</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Derivative financial instruments</w:t>
            </w:r>
          </w:p>
        </w:tc>
        <w:tc>
          <w:tcPr>
            <w:tcW w:w="796" w:type="dxa"/>
            <w:vAlign w:val="center"/>
          </w:tcPr>
          <w:p w:rsidR="00AE56DA" w:rsidRPr="00100BF5" w:rsidRDefault="00AE56DA" w:rsidP="00EA521B">
            <w:pPr>
              <w:pStyle w:val="Normal86"/>
              <w:spacing w:before="100" w:after="100"/>
              <w:jc w:val="right"/>
              <w:rPr>
                <w:szCs w:val="18"/>
              </w:rPr>
            </w:pPr>
            <w:r>
              <w:rPr>
                <w:szCs w:val="18"/>
              </w:rPr>
              <w:t>77</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Share capital</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81</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Dividends on ordinary shares</w:t>
            </w:r>
          </w:p>
        </w:tc>
        <w:tc>
          <w:tcPr>
            <w:tcW w:w="796" w:type="dxa"/>
            <w:vAlign w:val="center"/>
          </w:tcPr>
          <w:p w:rsidR="00AE56DA" w:rsidRPr="00100BF5" w:rsidRDefault="00AE56DA" w:rsidP="00EA521B">
            <w:pPr>
              <w:pStyle w:val="Normal86"/>
              <w:spacing w:before="100" w:after="100"/>
              <w:jc w:val="right"/>
              <w:rPr>
                <w:szCs w:val="18"/>
              </w:rPr>
            </w:pPr>
            <w:r>
              <w:rPr>
                <w:szCs w:val="18"/>
              </w:rPr>
              <w:t>76</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Share price data</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91</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Earnings per share</w:t>
            </w:r>
          </w:p>
        </w:tc>
        <w:tc>
          <w:tcPr>
            <w:tcW w:w="796" w:type="dxa"/>
            <w:vAlign w:val="center"/>
          </w:tcPr>
          <w:p w:rsidR="00AE56DA" w:rsidRPr="00100BF5" w:rsidRDefault="00AE56DA" w:rsidP="00EA521B">
            <w:pPr>
              <w:pStyle w:val="Normal86"/>
              <w:spacing w:before="100" w:after="100"/>
              <w:jc w:val="right"/>
              <w:rPr>
                <w:szCs w:val="18"/>
              </w:rPr>
            </w:pPr>
            <w:r>
              <w:rPr>
                <w:szCs w:val="18"/>
              </w:rPr>
              <w:t>76</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Staff costs</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74</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Europe Retail and Business Banking</w:t>
            </w:r>
          </w:p>
        </w:tc>
        <w:tc>
          <w:tcPr>
            <w:tcW w:w="796" w:type="dxa"/>
            <w:vAlign w:val="center"/>
          </w:tcPr>
          <w:p w:rsidR="00AE56DA" w:rsidRPr="00100BF5" w:rsidRDefault="00AE56DA" w:rsidP="00EA521B">
            <w:pPr>
              <w:pStyle w:val="Normal86"/>
              <w:spacing w:before="100" w:after="100"/>
              <w:jc w:val="right"/>
              <w:rPr>
                <w:szCs w:val="18"/>
              </w:rPr>
            </w:pPr>
            <w:r>
              <w:rPr>
                <w:szCs w:val="18"/>
              </w:rPr>
              <w:t>16</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 xml:space="preserve">Statement of </w:t>
            </w:r>
            <w:r>
              <w:rPr>
                <w:szCs w:val="18"/>
              </w:rPr>
              <w:t xml:space="preserve">profit or loss and other </w:t>
            </w:r>
            <w:r w:rsidRPr="00100BF5">
              <w:rPr>
                <w:szCs w:val="18"/>
              </w:rPr>
              <w:t>comprehensive income</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10</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Financial instruments held at fair value</w:t>
            </w:r>
          </w:p>
        </w:tc>
        <w:tc>
          <w:tcPr>
            <w:tcW w:w="796" w:type="dxa"/>
            <w:vAlign w:val="center"/>
          </w:tcPr>
          <w:p w:rsidR="00AE56DA" w:rsidRPr="00100BF5" w:rsidRDefault="00AE56DA" w:rsidP="00EA521B">
            <w:pPr>
              <w:pStyle w:val="Normal86"/>
              <w:spacing w:before="100" w:after="100"/>
              <w:jc w:val="right"/>
              <w:rPr>
                <w:szCs w:val="18"/>
              </w:rPr>
            </w:pPr>
            <w:r>
              <w:rPr>
                <w:szCs w:val="18"/>
              </w:rPr>
              <w:t>78</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Statement of changes in equity</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12</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Finance Director’s review</w:t>
            </w:r>
          </w:p>
        </w:tc>
        <w:tc>
          <w:tcPr>
            <w:tcW w:w="796" w:type="dxa"/>
            <w:vAlign w:val="center"/>
          </w:tcPr>
          <w:p w:rsidR="00AE56DA" w:rsidRPr="00100BF5" w:rsidRDefault="00AE56DA" w:rsidP="00EA521B">
            <w:pPr>
              <w:pStyle w:val="Normal86"/>
              <w:spacing w:before="100" w:after="100"/>
              <w:jc w:val="right"/>
              <w:rPr>
                <w:szCs w:val="18"/>
              </w:rPr>
            </w:pPr>
            <w:r>
              <w:rPr>
                <w:szCs w:val="18"/>
              </w:rPr>
              <w:t>5</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Taxation</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75</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 xml:space="preserve">Funding </w:t>
            </w:r>
            <w:r>
              <w:rPr>
                <w:szCs w:val="18"/>
              </w:rPr>
              <w:t>and liquidity</w:t>
            </w:r>
          </w:p>
        </w:tc>
        <w:tc>
          <w:tcPr>
            <w:tcW w:w="796" w:type="dxa"/>
            <w:vAlign w:val="center"/>
          </w:tcPr>
          <w:p w:rsidR="00AE56DA" w:rsidRPr="00100BF5" w:rsidRDefault="00AE56DA" w:rsidP="00EA521B">
            <w:pPr>
              <w:pStyle w:val="Normal86"/>
              <w:spacing w:before="100" w:after="100"/>
              <w:jc w:val="right"/>
              <w:rPr>
                <w:szCs w:val="18"/>
              </w:rPr>
            </w:pPr>
            <w:r>
              <w:rPr>
                <w:szCs w:val="18"/>
              </w:rPr>
              <w:t>40</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Tier 1 capital ratio</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37</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Head Office and Other Operations</w:t>
            </w:r>
          </w:p>
        </w:tc>
        <w:tc>
          <w:tcPr>
            <w:tcW w:w="796" w:type="dxa"/>
            <w:vAlign w:val="center"/>
          </w:tcPr>
          <w:p w:rsidR="00AE56DA" w:rsidRPr="00100BF5" w:rsidRDefault="00AE56DA" w:rsidP="00EA521B">
            <w:pPr>
              <w:pStyle w:val="Normal86"/>
              <w:spacing w:before="100" w:after="100"/>
              <w:jc w:val="right"/>
              <w:rPr>
                <w:szCs w:val="18"/>
              </w:rPr>
            </w:pPr>
            <w:r>
              <w:rPr>
                <w:szCs w:val="18"/>
              </w:rPr>
              <w:t>30</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Total assets</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38, 45</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 xml:space="preserve">Income statement </w:t>
            </w:r>
          </w:p>
        </w:tc>
        <w:tc>
          <w:tcPr>
            <w:tcW w:w="796" w:type="dxa"/>
            <w:vAlign w:val="center"/>
          </w:tcPr>
          <w:p w:rsidR="00AE56DA" w:rsidRPr="00100BF5" w:rsidRDefault="00AE56DA" w:rsidP="00EA521B">
            <w:pPr>
              <w:pStyle w:val="Normal86"/>
              <w:spacing w:before="100" w:after="100"/>
              <w:jc w:val="right"/>
              <w:rPr>
                <w:szCs w:val="18"/>
              </w:rPr>
            </w:pPr>
            <w:r>
              <w:rPr>
                <w:szCs w:val="18"/>
              </w:rPr>
              <w:t>9</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 xml:space="preserve">UK Retail and Business Banking </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14</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Investment Bank</w:t>
            </w:r>
          </w:p>
        </w:tc>
        <w:tc>
          <w:tcPr>
            <w:tcW w:w="796" w:type="dxa"/>
            <w:vAlign w:val="center"/>
          </w:tcPr>
          <w:p w:rsidR="00AE56DA" w:rsidRPr="00100BF5" w:rsidRDefault="00AE56DA" w:rsidP="00EA521B">
            <w:pPr>
              <w:pStyle w:val="Normal86"/>
              <w:spacing w:before="100" w:after="100"/>
              <w:jc w:val="right"/>
              <w:rPr>
                <w:szCs w:val="18"/>
              </w:rPr>
            </w:pPr>
            <w:r>
              <w:rPr>
                <w:szCs w:val="18"/>
              </w:rPr>
              <w:t>22</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Wealth and Investment Management</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28</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EA521B">
            <w:pPr>
              <w:pStyle w:val="Normal86"/>
              <w:spacing w:before="100" w:after="100"/>
              <w:rPr>
                <w:szCs w:val="18"/>
              </w:rPr>
            </w:pPr>
            <w:r w:rsidRPr="00100BF5">
              <w:rPr>
                <w:szCs w:val="18"/>
              </w:rPr>
              <w:t>Legal proceedings</w:t>
            </w:r>
          </w:p>
        </w:tc>
        <w:tc>
          <w:tcPr>
            <w:tcW w:w="796" w:type="dxa"/>
            <w:vAlign w:val="center"/>
          </w:tcPr>
          <w:p w:rsidR="00AE56DA" w:rsidRPr="00100BF5" w:rsidRDefault="00AE56DA" w:rsidP="00EA521B">
            <w:pPr>
              <w:pStyle w:val="Normal86"/>
              <w:spacing w:before="100" w:after="100"/>
              <w:jc w:val="right"/>
              <w:rPr>
                <w:szCs w:val="18"/>
              </w:rPr>
            </w:pPr>
            <w:r>
              <w:rPr>
                <w:szCs w:val="18"/>
              </w:rPr>
              <w:t>83</w:t>
            </w: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r w:rsidRPr="00100BF5">
              <w:rPr>
                <w:szCs w:val="18"/>
              </w:rPr>
              <w:t>Wholesale credit risk</w:t>
            </w:r>
          </w:p>
        </w:tc>
        <w:tc>
          <w:tcPr>
            <w:tcW w:w="992" w:type="dxa"/>
            <w:gridSpan w:val="2"/>
            <w:vAlign w:val="center"/>
          </w:tcPr>
          <w:p w:rsidR="00AE56DA" w:rsidRPr="00100BF5" w:rsidRDefault="00AE56DA" w:rsidP="007421F1">
            <w:pPr>
              <w:pStyle w:val="Normal86"/>
              <w:spacing w:before="100" w:after="100"/>
              <w:jc w:val="right"/>
              <w:rPr>
                <w:szCs w:val="18"/>
              </w:rPr>
            </w:pPr>
            <w:r>
              <w:rPr>
                <w:szCs w:val="18"/>
              </w:rPr>
              <w:t>56</w:t>
            </w:r>
          </w:p>
        </w:tc>
      </w:tr>
      <w:tr w:rsidR="00AE56DA" w:rsidRPr="00100BF5" w:rsidTr="00A12DCA">
        <w:trPr>
          <w:gridBefore w:val="1"/>
          <w:gridAfter w:val="1"/>
          <w:wBefore w:w="85" w:type="dxa"/>
          <w:wAfter w:w="434" w:type="dxa"/>
          <w:trHeight w:val="243"/>
        </w:trPr>
        <w:tc>
          <w:tcPr>
            <w:tcW w:w="3823" w:type="dxa"/>
            <w:noWrap/>
            <w:vAlign w:val="center"/>
          </w:tcPr>
          <w:p w:rsidR="00AE56DA" w:rsidRPr="00100BF5" w:rsidRDefault="00AE56DA" w:rsidP="007421F1">
            <w:pPr>
              <w:pStyle w:val="Normal86"/>
              <w:spacing w:before="100" w:after="100"/>
              <w:rPr>
                <w:szCs w:val="18"/>
              </w:rPr>
            </w:pPr>
          </w:p>
        </w:tc>
        <w:tc>
          <w:tcPr>
            <w:tcW w:w="796" w:type="dxa"/>
            <w:vAlign w:val="center"/>
          </w:tcPr>
          <w:p w:rsidR="00AE56DA" w:rsidRPr="00100BF5" w:rsidRDefault="00AE56DA" w:rsidP="007421F1">
            <w:pPr>
              <w:pStyle w:val="Normal86"/>
              <w:spacing w:before="100" w:after="100"/>
              <w:jc w:val="right"/>
              <w:rPr>
                <w:szCs w:val="18"/>
              </w:rPr>
            </w:pPr>
          </w:p>
        </w:tc>
        <w:tc>
          <w:tcPr>
            <w:tcW w:w="366" w:type="dxa"/>
            <w:noWrap/>
            <w:vAlign w:val="center"/>
          </w:tcPr>
          <w:p w:rsidR="00AE56DA" w:rsidRPr="00100BF5" w:rsidRDefault="00AE56DA" w:rsidP="007421F1">
            <w:pPr>
              <w:pStyle w:val="Normal86"/>
              <w:spacing w:before="100" w:after="100"/>
              <w:rPr>
                <w:szCs w:val="18"/>
              </w:rPr>
            </w:pPr>
          </w:p>
        </w:tc>
        <w:tc>
          <w:tcPr>
            <w:tcW w:w="3827" w:type="dxa"/>
            <w:noWrap/>
            <w:vAlign w:val="center"/>
          </w:tcPr>
          <w:p w:rsidR="00AE56DA" w:rsidRPr="00100BF5" w:rsidRDefault="00AE56DA" w:rsidP="007421F1">
            <w:pPr>
              <w:pStyle w:val="Normal86"/>
              <w:spacing w:before="100" w:after="100"/>
              <w:rPr>
                <w:szCs w:val="18"/>
              </w:rPr>
            </w:pPr>
          </w:p>
        </w:tc>
        <w:tc>
          <w:tcPr>
            <w:tcW w:w="992" w:type="dxa"/>
            <w:gridSpan w:val="2"/>
            <w:vAlign w:val="center"/>
          </w:tcPr>
          <w:p w:rsidR="00AE56DA" w:rsidRPr="00100BF5" w:rsidRDefault="00AE56DA" w:rsidP="007421F1">
            <w:pPr>
              <w:pStyle w:val="Normal86"/>
              <w:spacing w:before="100" w:after="100"/>
              <w:jc w:val="right"/>
              <w:rPr>
                <w:szCs w:val="18"/>
              </w:rPr>
            </w:pPr>
          </w:p>
        </w:tc>
      </w:tr>
      <w:tr w:rsidR="00AE56DA" w:rsidRPr="00100BF5" w:rsidTr="00A12DCA">
        <w:trPr>
          <w:trHeight w:val="243"/>
        </w:trPr>
        <w:tc>
          <w:tcPr>
            <w:tcW w:w="9331" w:type="dxa"/>
            <w:gridSpan w:val="6"/>
            <w:noWrap/>
            <w:vAlign w:val="bottom"/>
          </w:tcPr>
          <w:p w:rsidR="00AE56DA" w:rsidRPr="00100BF5" w:rsidRDefault="00AE56DA">
            <w:pPr>
              <w:pStyle w:val="Normal620"/>
              <w:rPr>
                <w:szCs w:val="18"/>
              </w:rPr>
            </w:pPr>
          </w:p>
          <w:p w:rsidR="00AE56DA" w:rsidRPr="00100BF5" w:rsidRDefault="00AE56DA">
            <w:pPr>
              <w:pStyle w:val="Normal620"/>
              <w:jc w:val="both"/>
              <w:rPr>
                <w:szCs w:val="18"/>
              </w:rPr>
            </w:pPr>
            <w:r w:rsidRPr="00100BF5">
              <w:rPr>
                <w:szCs w:val="18"/>
              </w:rPr>
              <w:t>The glossary of terms can be found on:</w:t>
            </w:r>
          </w:p>
          <w:p w:rsidR="00AE56DA" w:rsidRPr="00100BF5" w:rsidRDefault="00AE56DA" w:rsidP="00AF72CF">
            <w:pPr>
              <w:rPr>
                <w:sz w:val="20"/>
                <w:szCs w:val="20"/>
              </w:rPr>
            </w:pPr>
            <w:hyperlink r:id="rId34" w:anchor="institutional-investors" w:history="1">
              <w:r w:rsidRPr="00100BF5">
                <w:rPr>
                  <w:rFonts w:eastAsia="Times New Roman" w:cs="Times New Roman"/>
                  <w:sz w:val="18"/>
                  <w:szCs w:val="18"/>
                  <w:lang w:val="en-GB"/>
                </w:rPr>
                <w:t>http://group.barclays.com/about-barclays/investor-relations#institutional-investors</w:t>
              </w:r>
            </w:hyperlink>
          </w:p>
          <w:p w:rsidR="00AE56DA" w:rsidRPr="00100BF5" w:rsidRDefault="00AE56DA">
            <w:pPr>
              <w:pStyle w:val="Normal620"/>
              <w:jc w:val="both"/>
              <w:rPr>
                <w:szCs w:val="18"/>
              </w:rPr>
            </w:pPr>
            <w:r w:rsidRPr="00100BF5">
              <w:rPr>
                <w:szCs w:val="18"/>
              </w:rPr>
              <w:t xml:space="preserve"> </w:t>
            </w:r>
          </w:p>
        </w:tc>
        <w:tc>
          <w:tcPr>
            <w:tcW w:w="992" w:type="dxa"/>
            <w:gridSpan w:val="2"/>
          </w:tcPr>
          <w:p w:rsidR="00AE56DA" w:rsidRPr="00100BF5" w:rsidRDefault="00AE56DA">
            <w:pPr>
              <w:pStyle w:val="Normal620"/>
              <w:spacing w:before="10" w:after="10"/>
              <w:jc w:val="right"/>
              <w:rPr>
                <w:szCs w:val="18"/>
              </w:rPr>
            </w:pPr>
          </w:p>
        </w:tc>
      </w:tr>
    </w:tbl>
    <w:p w:rsidR="00A12DCA" w:rsidRDefault="00A12DCA">
      <w:pPr>
        <w:pStyle w:val="MyLastParagraph"/>
      </w:pPr>
    </w:p>
    <w:sectPr w:rsidR="00A12DCA" w:rsidSect="00E100EB">
      <w:headerReference w:type="default" r:id="rId35"/>
      <w:pgSz w:w="11905" w:h="16837"/>
      <w:pgMar w:top="851" w:right="1134" w:bottom="567" w:left="1134" w:header="85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7C" w:rsidRDefault="00B34B7C">
      <w:r>
        <w:separator/>
      </w:r>
    </w:p>
  </w:endnote>
  <w:endnote w:type="continuationSeparator" w:id="0">
    <w:p w:rsidR="00B34B7C" w:rsidRDefault="00B3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rclays Serif">
    <w:altName w:val="Nyala"/>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xpert Sans Regular">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xpertSans-Bold">
    <w:charset w:val="00"/>
    <w:family w:val="auto"/>
    <w:pitch w:val="default"/>
  </w:font>
  <w:font w:name="Barclays Sans">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932C16" w:rsidRDefault="008C3313" w:rsidP="008C3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932C16" w:rsidRDefault="008C3313" w:rsidP="008C33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7C" w:rsidRDefault="00B34B7C">
      <w:r>
        <w:separator/>
      </w:r>
    </w:p>
  </w:footnote>
  <w:footnote w:type="continuationSeparator" w:id="0">
    <w:p w:rsidR="00B34B7C" w:rsidRDefault="00B3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932C16" w:rsidRDefault="008C3313" w:rsidP="008C331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932C16" w:rsidRDefault="008C3313" w:rsidP="008C331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932C16" w:rsidRDefault="008C3313" w:rsidP="008C33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932C16" w:rsidRDefault="008C3313" w:rsidP="008C33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13" w:rsidRPr="005F437E" w:rsidRDefault="008C3313" w:rsidP="005F4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4DAA854"/>
    <w:lvl w:ilvl="0">
      <w:start w:val="1"/>
      <w:numFmt w:val="bullet"/>
      <w:pStyle w:val="Level1Bullet-BarcRA"/>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
    <w:nsid w:val="00000002"/>
    <w:multiLevelType w:val="hybridMultilevel"/>
    <w:tmpl w:val="B4DAA854"/>
    <w:lvl w:ilvl="0">
      <w:start w:val="1"/>
      <w:numFmt w:val="bullet"/>
      <w:pStyle w:val="Level1Bullet-BarcRA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2">
    <w:nsid w:val="00000003"/>
    <w:multiLevelType w:val="hybridMultilevel"/>
    <w:tmpl w:val="52E8F4A2"/>
    <w:lvl w:ilvl="0" w:tplc="FFFFFFFF">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FFFFFFF">
      <w:start w:val="1"/>
      <w:numFmt w:val="bullet"/>
      <w:lvlText w:val="o"/>
      <w:lvlJc w:val="left"/>
      <w:pPr>
        <w:tabs>
          <w:tab w:val="num" w:pos="306"/>
        </w:tabs>
        <w:ind w:left="306" w:hanging="360"/>
      </w:pPr>
      <w:rPr>
        <w:rFonts w:ascii="Courier New" w:hAnsi="Courier New" w:hint="default"/>
      </w:rPr>
    </w:lvl>
    <w:lvl w:ilvl="2" w:tplc="FFFFFFFF">
      <w:numFmt w:val="bullet"/>
      <w:pStyle w:val="Level2Bullet-BarcRA"/>
      <w:lvlText w:val="–"/>
      <w:lvlJc w:val="left"/>
      <w:pPr>
        <w:tabs>
          <w:tab w:val="num" w:pos="1401"/>
        </w:tabs>
        <w:ind w:left="1401" w:hanging="735"/>
      </w:pPr>
      <w:rPr>
        <w:rFonts w:ascii="Arial" w:eastAsia="Times New Roman" w:hAnsi="Arial" w:hint="default"/>
      </w:rPr>
    </w:lvl>
    <w:lvl w:ilvl="3" w:tplc="AF1EA194">
      <w:numFmt w:val="bullet"/>
      <w:lvlText w:val="-"/>
      <w:lvlJc w:val="left"/>
      <w:pPr>
        <w:ind w:left="1746" w:hanging="360"/>
      </w:pPr>
      <w:rPr>
        <w:rFonts w:ascii="Expert Sans Regular" w:eastAsia="Expert Sans Regular" w:hAnsi="Expert Sans Regular" w:cs="Expert Sans Regular"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3">
    <w:nsid w:val="00000004"/>
    <w:multiLevelType w:val="hybridMultilevel"/>
    <w:tmpl w:val="B4DAA854"/>
    <w:lvl w:ilvl="0">
      <w:start w:val="1"/>
      <w:numFmt w:val="bullet"/>
      <w:pStyle w:val="Level1Bullet-BarcRA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hybridMultilevel"/>
    <w:tmpl w:val="B4DAA854"/>
    <w:lvl w:ilvl="0">
      <w:start w:val="1"/>
      <w:numFmt w:val="bullet"/>
      <w:pStyle w:val="Level1Bullet-BarcRA1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hybridMultilevel"/>
    <w:tmpl w:val="67106A94"/>
    <w:lvl w:ilvl="0">
      <w:start w:val="1"/>
      <w:numFmt w:val="decimal"/>
      <w:lvlText w:val="%1"/>
      <w:lvlJc w:val="left"/>
      <w:pPr>
        <w:ind w:left="720" w:hanging="360"/>
      </w:pPr>
      <w:rPr>
        <w:rFonts w:hint="default"/>
        <w:i/>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07"/>
    <w:multiLevelType w:val="hybridMultilevel"/>
    <w:tmpl w:val="B4DAA854"/>
    <w:lvl w:ilvl="0">
      <w:start w:val="1"/>
      <w:numFmt w:val="bullet"/>
      <w:pStyle w:val="Level1Bullet-BarcRA0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hybridMultilevel"/>
    <w:tmpl w:val="77AC5F1C"/>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2"/>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hybridMultilevel"/>
    <w:tmpl w:val="BEA4467C"/>
    <w:lvl w:ilvl="0">
      <w:start w:val="1"/>
      <w:numFmt w:val="bullet"/>
      <w:pStyle w:val="Level1Bullet-BarcRA0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hybridMultilevel"/>
    <w:tmpl w:val="B4DAA854"/>
    <w:lvl w:ilvl="0">
      <w:start w:val="1"/>
      <w:numFmt w:val="bullet"/>
      <w:pStyle w:val="Level1Bullet-BarcRA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0">
    <w:nsid w:val="0000000B"/>
    <w:multiLevelType w:val="hybridMultilevel"/>
    <w:tmpl w:val="B4DAA854"/>
    <w:lvl w:ilvl="0">
      <w:start w:val="1"/>
      <w:numFmt w:val="bullet"/>
      <w:pStyle w:val="Level1Bullet-BarcRA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1">
    <w:nsid w:val="0000000C"/>
    <w:multiLevelType w:val="hybridMultilevel"/>
    <w:tmpl w:val="B4DAA854"/>
    <w:lvl w:ilvl="0">
      <w:start w:val="1"/>
      <w:numFmt w:val="bullet"/>
      <w:pStyle w:val="Level1Bullet-BarcRA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hybridMultilevel"/>
    <w:tmpl w:val="B4DAA854"/>
    <w:lvl w:ilvl="0">
      <w:start w:val="1"/>
      <w:numFmt w:val="bullet"/>
      <w:pStyle w:val="Level1Bullet-BarcRA1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hybridMultilevel"/>
    <w:tmpl w:val="B4DAA854"/>
    <w:lvl w:ilvl="0">
      <w:start w:val="1"/>
      <w:numFmt w:val="bullet"/>
      <w:pStyle w:val="Level1Bullet-BarcRA4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hybridMultilevel"/>
    <w:tmpl w:val="B4DAA854"/>
    <w:lvl w:ilvl="0">
      <w:start w:val="1"/>
      <w:numFmt w:val="bullet"/>
      <w:pStyle w:val="Level1Bullet-BarcRA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0"/>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hybridMultilevel"/>
    <w:tmpl w:val="B4DAA854"/>
    <w:lvl w:ilvl="0">
      <w:start w:val="1"/>
      <w:numFmt w:val="bullet"/>
      <w:pStyle w:val="Level1Bullet-BarcRA11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hybridMultilevel"/>
    <w:tmpl w:val="B4DAA854"/>
    <w:lvl w:ilvl="0">
      <w:start w:val="1"/>
      <w:numFmt w:val="bullet"/>
      <w:pStyle w:val="Level1Bullet-BarcRA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8">
    <w:nsid w:val="00000013"/>
    <w:multiLevelType w:val="hybridMultilevel"/>
    <w:tmpl w:val="B4DAA854"/>
    <w:lvl w:ilvl="0">
      <w:start w:val="1"/>
      <w:numFmt w:val="bullet"/>
      <w:pStyle w:val="Level1Bullet-BarcRA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4"/>
    <w:multiLevelType w:val="hybridMultilevel"/>
    <w:tmpl w:val="D6E6B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0000015"/>
    <w:multiLevelType w:val="hybridMultilevel"/>
    <w:tmpl w:val="B3A09E0C"/>
    <w:lvl w:ilvl="0">
      <w:start w:val="1"/>
      <w:numFmt w:val="decimal"/>
      <w:lvlText w:val="%1"/>
      <w:lvlJc w:val="left"/>
      <w:pPr>
        <w:ind w:left="1065" w:hanging="705"/>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0000016"/>
    <w:multiLevelType w:val="hybridMultilevel"/>
    <w:tmpl w:val="DCC0405C"/>
    <w:lvl w:ilvl="0">
      <w:start w:val="1"/>
      <w:numFmt w:val="bullet"/>
      <w:pStyle w:val="Level1Bullet-BarcRA2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7"/>
    <w:multiLevelType w:val="hybridMultilevel"/>
    <w:tmpl w:val="E7C6264A"/>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1"/>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23">
    <w:nsid w:val="00000018"/>
    <w:multiLevelType w:val="hybridMultilevel"/>
    <w:tmpl w:val="B4DAA854"/>
    <w:lvl w:ilvl="0">
      <w:start w:val="1"/>
      <w:numFmt w:val="bullet"/>
      <w:pStyle w:val="Level1Bullet-BarcRA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24">
    <w:nsid w:val="00000019"/>
    <w:multiLevelType w:val="hybridMultilevel"/>
    <w:tmpl w:val="B4DAA854"/>
    <w:lvl w:ilvl="0">
      <w:start w:val="1"/>
      <w:numFmt w:val="bullet"/>
      <w:pStyle w:val="Level1Bullet-BarcRA20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1A"/>
    <w:multiLevelType w:val="hybridMultilevel"/>
    <w:tmpl w:val="B242450A"/>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30"/>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0000001B"/>
    <w:multiLevelType w:val="hybridMultilevel"/>
    <w:tmpl w:val="B4DAA854"/>
    <w:lvl w:ilvl="0">
      <w:start w:val="1"/>
      <w:numFmt w:val="bullet"/>
      <w:pStyle w:val="Level1Bullet-BarcRA3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0000001C"/>
    <w:multiLevelType w:val="hybridMultilevel"/>
    <w:tmpl w:val="04BE5B3E"/>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100"/>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000001D"/>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300"/>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0000001E"/>
    <w:multiLevelType w:val="hybridMultilevel"/>
    <w:tmpl w:val="B4DAA854"/>
    <w:lvl w:ilvl="0">
      <w:start w:val="1"/>
      <w:numFmt w:val="bullet"/>
      <w:pStyle w:val="Level1Bullet-BarcRA3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1F"/>
    <w:multiLevelType w:val="hybridMultilevel"/>
    <w:tmpl w:val="B4DAA854"/>
    <w:lvl w:ilvl="0">
      <w:start w:val="1"/>
      <w:numFmt w:val="bullet"/>
      <w:pStyle w:val="Level1Bullet-BarcRA4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0000020"/>
    <w:multiLevelType w:val="hybridMultilevel"/>
    <w:tmpl w:val="04BE5B3E"/>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20"/>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1"/>
    <w:multiLevelType w:val="hybridMultilevel"/>
    <w:tmpl w:val="C84214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0000022"/>
    <w:multiLevelType w:val="hybridMultilevel"/>
    <w:tmpl w:val="B4DAA854"/>
    <w:lvl w:ilvl="0">
      <w:start w:val="1"/>
      <w:numFmt w:val="bullet"/>
      <w:pStyle w:val="Level1Bullet-BarcRA4000"/>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00000023"/>
    <w:multiLevelType w:val="hybridMultilevel"/>
    <w:tmpl w:val="DDA6B7A2"/>
    <w:lvl w:ilvl="0">
      <w:start w:val="1"/>
      <w:numFmt w:val="bullet"/>
      <w:pStyle w:val="Level1Bullet-BarcRA4001"/>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00000024"/>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200"/>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5"/>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301"/>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6"/>
    <w:multiLevelType w:val="hybridMultilevel"/>
    <w:tmpl w:val="2A94FDDA"/>
    <w:lvl w:ilvl="0">
      <w:start w:val="1"/>
      <w:numFmt w:val="decimal"/>
      <w:lvlText w:val="%1"/>
      <w:lvlJc w:val="left"/>
      <w:pPr>
        <w:ind w:left="720"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0000027"/>
    <w:multiLevelType w:val="hybridMultilevel"/>
    <w:tmpl w:val="B4DAA854"/>
    <w:lvl w:ilvl="0">
      <w:start w:val="1"/>
      <w:numFmt w:val="bullet"/>
      <w:pStyle w:val="Level1Bullet-BarcRA203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8"/>
    <w:multiLevelType w:val="hybridMultilevel"/>
    <w:tmpl w:val="19A4091A"/>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pStyle w:val="Level2Bullet-BarcRA302"/>
      <w:lvlText w:val="–"/>
      <w:lvlJc w:val="left"/>
      <w:pPr>
        <w:tabs>
          <w:tab w:val="num" w:pos="1401"/>
        </w:tabs>
        <w:ind w:left="1401" w:hanging="735"/>
      </w:pPr>
      <w:rPr>
        <w:rFonts w:ascii="Arial" w:eastAsia="Times New Roman" w:hAnsi="Aria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9"/>
    <w:multiLevelType w:val="hybridMultilevel"/>
    <w:tmpl w:val="B4DAA854"/>
    <w:lvl w:ilvl="0">
      <w:start w:val="1"/>
      <w:numFmt w:val="bullet"/>
      <w:pStyle w:val="Level1Bullet-BarcRA7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A"/>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3"/>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42">
    <w:nsid w:val="0000002B"/>
    <w:multiLevelType w:val="hybridMultilevel"/>
    <w:tmpl w:val="B4DAA854"/>
    <w:lvl w:ilvl="0">
      <w:start w:val="1"/>
      <w:numFmt w:val="bullet"/>
      <w:pStyle w:val="Level1Bullet-BarcRA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43">
    <w:nsid w:val="0000002C"/>
    <w:multiLevelType w:val="hybridMultilevel"/>
    <w:tmpl w:val="D28CF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000002D"/>
    <w:multiLevelType w:val="hybridMultilevel"/>
    <w:tmpl w:val="8048DD68"/>
    <w:lvl w:ilvl="0">
      <w:start w:val="1"/>
      <w:numFmt w:val="bullet"/>
      <w:pStyle w:val="Level1Bullet-BarcRA9"/>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0000002E"/>
    <w:multiLevelType w:val="hybridMultilevel"/>
    <w:tmpl w:val="8F04F040"/>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4"/>
      <w:lvlText w:val="–"/>
      <w:lvlJc w:val="left"/>
      <w:pPr>
        <w:tabs>
          <w:tab w:val="num" w:pos="1401"/>
        </w:tabs>
        <w:ind w:left="1401" w:hanging="735"/>
      </w:pPr>
      <w:rPr>
        <w:rFonts w:ascii="Arial" w:eastAsia="Times New Roman" w:hAnsi="Arial" w:hint="default"/>
      </w:rPr>
    </w:lvl>
    <w:lvl w:ilvl="3">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46">
    <w:nsid w:val="0000002F"/>
    <w:multiLevelType w:val="hybridMultilevel"/>
    <w:tmpl w:val="B4DAA854"/>
    <w:lvl w:ilvl="0">
      <w:start w:val="1"/>
      <w:numFmt w:val="bullet"/>
      <w:pStyle w:val="Level1Bullet-BarcRA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47">
    <w:nsid w:val="00000030"/>
    <w:multiLevelType w:val="hybridMultilevel"/>
    <w:tmpl w:val="B4DAA854"/>
    <w:lvl w:ilvl="0">
      <w:start w:val="1"/>
      <w:numFmt w:val="bullet"/>
      <w:pStyle w:val="Level1Bullet-BarcRA8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48">
    <w:nsid w:val="00000031"/>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40"/>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49">
    <w:nsid w:val="00000032"/>
    <w:multiLevelType w:val="hybridMultilevel"/>
    <w:tmpl w:val="B4DAA854"/>
    <w:lvl w:ilvl="0">
      <w:start w:val="1"/>
      <w:numFmt w:val="bullet"/>
      <w:pStyle w:val="Level1Bullet-BarcRA20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00000033"/>
    <w:multiLevelType w:val="hybridMultilevel"/>
    <w:tmpl w:val="B4DAA854"/>
    <w:lvl w:ilvl="0">
      <w:start w:val="1"/>
      <w:numFmt w:val="bullet"/>
      <w:pStyle w:val="Level1Bullet-BarcRA203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00000034"/>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5"/>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52">
    <w:nsid w:val="00000035"/>
    <w:multiLevelType w:val="hybridMultilevel"/>
    <w:tmpl w:val="B4DAA854"/>
    <w:lvl w:ilvl="0">
      <w:start w:val="1"/>
      <w:numFmt w:val="bullet"/>
      <w:pStyle w:val="Level1Bullet-BarcRA1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53">
    <w:nsid w:val="00000036"/>
    <w:multiLevelType w:val="hybridMultilevel"/>
    <w:tmpl w:val="B4DAA854"/>
    <w:lvl w:ilvl="0">
      <w:start w:val="1"/>
      <w:numFmt w:val="bullet"/>
      <w:pStyle w:val="Level1Bullet-BarcRA203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037"/>
    <w:multiLevelType w:val="hybridMultilevel"/>
    <w:tmpl w:val="B4DAA854"/>
    <w:lvl w:ilvl="0">
      <w:start w:val="1"/>
      <w:numFmt w:val="bullet"/>
      <w:pStyle w:val="Level1Bullet-BarcRA1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55">
    <w:nsid w:val="00000038"/>
    <w:multiLevelType w:val="hybridMultilevel"/>
    <w:tmpl w:val="B4DAA854"/>
    <w:lvl w:ilvl="0">
      <w:start w:val="1"/>
      <w:numFmt w:val="bullet"/>
      <w:pStyle w:val="Level1Bullet-BarcRA1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00000039"/>
    <w:multiLevelType w:val="hybridMultilevel"/>
    <w:tmpl w:val="3F46D7DE"/>
    <w:lvl w:ilvl="0">
      <w:start w:val="1"/>
      <w:numFmt w:val="decimal"/>
      <w:pStyle w:val="NoteandSourceText-BarcR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0000003A"/>
    <w:multiLevelType w:val="hybridMultilevel"/>
    <w:tmpl w:val="B4DAA854"/>
    <w:lvl w:ilvl="0">
      <w:start w:val="1"/>
      <w:numFmt w:val="bullet"/>
      <w:pStyle w:val="Level1Bullet-BarcRA1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58">
    <w:nsid w:val="0000003B"/>
    <w:multiLevelType w:val="hybridMultilevel"/>
    <w:tmpl w:val="3F46D7DE"/>
    <w:lvl w:ilvl="0">
      <w:start w:val="1"/>
      <w:numFmt w:val="decimal"/>
      <w:pStyle w:val="NoteandSourceText-BarcRA0"/>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000003D"/>
    <w:multiLevelType w:val="hybridMultilevel"/>
    <w:tmpl w:val="000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00000042"/>
    <w:multiLevelType w:val="hybridMultilevel"/>
    <w:tmpl w:val="518E1F4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00000043"/>
    <w:multiLevelType w:val="hybridMultilevel"/>
    <w:tmpl w:val="B4DAA854"/>
    <w:lvl w:ilvl="0">
      <w:start w:val="1"/>
      <w:numFmt w:val="bullet"/>
      <w:pStyle w:val="Level1Bullet-BarcRA1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62">
    <w:nsid w:val="00000044"/>
    <w:multiLevelType w:val="hybridMultilevel"/>
    <w:tmpl w:val="3F46D7DE"/>
    <w:lvl w:ilvl="0">
      <w:start w:val="1"/>
      <w:numFmt w:val="decimal"/>
      <w:pStyle w:val="NoteandSourceText-BarcRA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00000045"/>
    <w:multiLevelType w:val="hybridMultilevel"/>
    <w:tmpl w:val="B4DAA854"/>
    <w:lvl w:ilvl="0">
      <w:start w:val="1"/>
      <w:numFmt w:val="bullet"/>
      <w:pStyle w:val="Level1Bullet-BarcRA1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64">
    <w:nsid w:val="00000046"/>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6"/>
      <w:lvlText w:val="–"/>
      <w:lvlJc w:val="left"/>
      <w:pPr>
        <w:tabs>
          <w:tab w:val="num" w:pos="1161"/>
        </w:tabs>
        <w:ind w:left="116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65">
    <w:nsid w:val="00000047"/>
    <w:multiLevelType w:val="hybridMultilevel"/>
    <w:tmpl w:val="AA3AECAC"/>
    <w:lvl w:ilvl="0">
      <w:start w:val="1"/>
      <w:numFmt w:val="decimal"/>
      <w:pStyle w:val="NoteandSourceText-BarcRA2"/>
      <w:lvlText w:val="%1"/>
      <w:lvlJc w:val="left"/>
      <w:pPr>
        <w:ind w:left="720" w:hanging="360"/>
      </w:pPr>
      <w:rPr>
        <w:rFonts w:ascii="Expert Sans Regular" w:eastAsia="Times New Roman" w:hAnsi="Expert Sans Regular"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00000048"/>
    <w:multiLevelType w:val="hybridMultilevel"/>
    <w:tmpl w:val="B4DAA854"/>
    <w:lvl w:ilvl="0">
      <w:start w:val="1"/>
      <w:numFmt w:val="bullet"/>
      <w:pStyle w:val="Level1Bullet-BarcRA1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67">
    <w:nsid w:val="00000049"/>
    <w:multiLevelType w:val="hybridMultilevel"/>
    <w:tmpl w:val="3F46D7DE"/>
    <w:lvl w:ilvl="0">
      <w:start w:val="1"/>
      <w:numFmt w:val="decimal"/>
      <w:pStyle w:val="NoteandSourceText-BarcRA20"/>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000004A"/>
    <w:multiLevelType w:val="hybridMultilevel"/>
    <w:tmpl w:val="B4DAA854"/>
    <w:lvl w:ilvl="0">
      <w:start w:val="1"/>
      <w:numFmt w:val="bullet"/>
      <w:pStyle w:val="Level1Bullet-BarcRA7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0000004B"/>
    <w:multiLevelType w:val="hybridMultilevel"/>
    <w:tmpl w:val="B4DAA854"/>
    <w:lvl w:ilvl="0">
      <w:start w:val="1"/>
      <w:numFmt w:val="bullet"/>
      <w:pStyle w:val="Level1Bullet-BarcRA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0000004C"/>
    <w:multiLevelType w:val="hybridMultilevel"/>
    <w:tmpl w:val="B4DAA854"/>
    <w:lvl w:ilvl="0">
      <w:start w:val="1"/>
      <w:numFmt w:val="bullet"/>
      <w:pStyle w:val="Level1Bullet-BarcRA1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71">
    <w:nsid w:val="0000004D"/>
    <w:multiLevelType w:val="hybridMultilevel"/>
    <w:tmpl w:val="B4DAA854"/>
    <w:lvl w:ilvl="0">
      <w:start w:val="1"/>
      <w:numFmt w:val="bullet"/>
      <w:pStyle w:val="Level1Bullet-BarcRA19"/>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72">
    <w:nsid w:val="0000004E"/>
    <w:multiLevelType w:val="hybridMultilevel"/>
    <w:tmpl w:val="B4DAA854"/>
    <w:lvl w:ilvl="0">
      <w:start w:val="1"/>
      <w:numFmt w:val="bullet"/>
      <w:pStyle w:val="Level1Bullet-BarcRA1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0000004F"/>
    <w:multiLevelType w:val="hybridMultilevel"/>
    <w:tmpl w:val="AA3AECAC"/>
    <w:lvl w:ilvl="0">
      <w:start w:val="1"/>
      <w:numFmt w:val="decimal"/>
      <w:pStyle w:val="NoteandSourceText-BarcRA3"/>
      <w:lvlText w:val="%1"/>
      <w:lvlJc w:val="left"/>
      <w:pPr>
        <w:ind w:left="720" w:hanging="360"/>
      </w:pPr>
      <w:rPr>
        <w:rFonts w:ascii="Expert Sans Regular" w:eastAsia="Times New Roman" w:hAnsi="Expert Sans Regular"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00000050"/>
    <w:multiLevelType w:val="hybridMultilevel"/>
    <w:tmpl w:val="3F46D7DE"/>
    <w:lvl w:ilvl="0">
      <w:start w:val="1"/>
      <w:numFmt w:val="decimal"/>
      <w:pStyle w:val="NoteandSourceText-BarcRA4"/>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00000051"/>
    <w:multiLevelType w:val="hybridMultilevel"/>
    <w:tmpl w:val="3F46D7DE"/>
    <w:lvl w:ilvl="0">
      <w:start w:val="1"/>
      <w:numFmt w:val="decimal"/>
      <w:pStyle w:val="NoteandSourceText-BarcRA5"/>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00000055"/>
    <w:multiLevelType w:val="hybridMultilevel"/>
    <w:tmpl w:val="2130AA6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00000056"/>
    <w:multiLevelType w:val="hybridMultilevel"/>
    <w:tmpl w:val="B4DAA854"/>
    <w:lvl w:ilvl="0">
      <w:start w:val="1"/>
      <w:numFmt w:val="bullet"/>
      <w:pStyle w:val="Level1Bullet-BarcRA190"/>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nsid w:val="00000057"/>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7"/>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79">
    <w:nsid w:val="00000058"/>
    <w:multiLevelType w:val="hybridMultilevel"/>
    <w:tmpl w:val="B4DAA854"/>
    <w:lvl w:ilvl="0">
      <w:start w:val="1"/>
      <w:numFmt w:val="bullet"/>
      <w:pStyle w:val="Level1Bullet-BarcRA2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80">
    <w:nsid w:val="00000059"/>
    <w:multiLevelType w:val="hybridMultilevel"/>
    <w:tmpl w:val="B4DAA854"/>
    <w:lvl w:ilvl="0">
      <w:start w:val="1"/>
      <w:numFmt w:val="bullet"/>
      <w:pStyle w:val="Level1Bullet-BarcRA2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81">
    <w:nsid w:val="0000005A"/>
    <w:multiLevelType w:val="hybridMultilevel"/>
    <w:tmpl w:val="3F46D7DE"/>
    <w:lvl w:ilvl="0">
      <w:start w:val="1"/>
      <w:numFmt w:val="decimal"/>
      <w:pStyle w:val="NoteandSourceText-BarcRA6"/>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000005B"/>
    <w:multiLevelType w:val="hybridMultilevel"/>
    <w:tmpl w:val="B4DAA854"/>
    <w:lvl w:ilvl="0">
      <w:start w:val="1"/>
      <w:numFmt w:val="bullet"/>
      <w:pStyle w:val="Level1Bullet-BarcRA191"/>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nsid w:val="0000005C"/>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8"/>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84">
    <w:nsid w:val="0000005D"/>
    <w:multiLevelType w:val="hybridMultilevel"/>
    <w:tmpl w:val="B4DAA854"/>
    <w:lvl w:ilvl="0">
      <w:start w:val="1"/>
      <w:numFmt w:val="bullet"/>
      <w:pStyle w:val="Level1Bullet-BarcRA2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85">
    <w:nsid w:val="0000005E"/>
    <w:multiLevelType w:val="hybridMultilevel"/>
    <w:tmpl w:val="B4DAA854"/>
    <w:lvl w:ilvl="0">
      <w:start w:val="1"/>
      <w:numFmt w:val="bullet"/>
      <w:pStyle w:val="Level1Bullet-BarcRA2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86">
    <w:nsid w:val="0000005F"/>
    <w:multiLevelType w:val="hybridMultilevel"/>
    <w:tmpl w:val="B4DAA854"/>
    <w:lvl w:ilvl="0">
      <w:start w:val="1"/>
      <w:numFmt w:val="bullet"/>
      <w:pStyle w:val="Level1Bullet-BarcRA11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00000060"/>
    <w:multiLevelType w:val="hybridMultilevel"/>
    <w:tmpl w:val="3F46D7DE"/>
    <w:lvl w:ilvl="0">
      <w:start w:val="1"/>
      <w:numFmt w:val="decimal"/>
      <w:pStyle w:val="NoteandSourceText-BarcRA7"/>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00000066"/>
    <w:multiLevelType w:val="hybridMultilevel"/>
    <w:tmpl w:val="B4DAA854"/>
    <w:lvl w:ilvl="0">
      <w:start w:val="1"/>
      <w:numFmt w:val="bullet"/>
      <w:pStyle w:val="Level1Bullet-BarcRA6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00000067"/>
    <w:multiLevelType w:val="hybridMultilevel"/>
    <w:tmpl w:val="3F46D7DE"/>
    <w:lvl w:ilvl="0">
      <w:start w:val="1"/>
      <w:numFmt w:val="decimal"/>
      <w:pStyle w:val="NoteandSourceText-BarcRA8"/>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00000068"/>
    <w:multiLevelType w:val="hybridMultilevel"/>
    <w:tmpl w:val="B4DAA854"/>
    <w:lvl w:ilvl="0">
      <w:start w:val="1"/>
      <w:numFmt w:val="bullet"/>
      <w:pStyle w:val="Level1Bullet-BarcRA2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91">
    <w:nsid w:val="00000069"/>
    <w:multiLevelType w:val="hybridMultilevel"/>
    <w:tmpl w:val="3F46D7DE"/>
    <w:lvl w:ilvl="0">
      <w:start w:val="1"/>
      <w:numFmt w:val="decimal"/>
      <w:pStyle w:val="NoteandSourceText-BarcRA9"/>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0000006A"/>
    <w:multiLevelType w:val="hybridMultilevel"/>
    <w:tmpl w:val="B4DAA854"/>
    <w:lvl w:ilvl="0">
      <w:start w:val="1"/>
      <w:numFmt w:val="bullet"/>
      <w:pStyle w:val="Level1Bullet-BarcRA2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93">
    <w:nsid w:val="0000006C"/>
    <w:multiLevelType w:val="hybridMultilevel"/>
    <w:tmpl w:val="B4DAA854"/>
    <w:lvl w:ilvl="0">
      <w:start w:val="1"/>
      <w:numFmt w:val="bullet"/>
      <w:pStyle w:val="Level1Bullet-BarcRA2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94">
    <w:nsid w:val="0000006D"/>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9"/>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95">
    <w:nsid w:val="0000006E"/>
    <w:multiLevelType w:val="hybridMultilevel"/>
    <w:tmpl w:val="B4DAA854"/>
    <w:lvl w:ilvl="0">
      <w:start w:val="1"/>
      <w:numFmt w:val="bullet"/>
      <w:pStyle w:val="Level1Bullet-BarcRA2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96">
    <w:nsid w:val="0000006F"/>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10"/>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97">
    <w:nsid w:val="00000070"/>
    <w:multiLevelType w:val="hybridMultilevel"/>
    <w:tmpl w:val="B4DAA854"/>
    <w:lvl w:ilvl="0">
      <w:start w:val="1"/>
      <w:numFmt w:val="bullet"/>
      <w:pStyle w:val="Level1Bullet-BarcRA29"/>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00000071"/>
    <w:multiLevelType w:val="hybridMultilevel"/>
    <w:tmpl w:val="E870A954"/>
    <w:lvl w:ilvl="0">
      <w:start w:val="1"/>
      <w:numFmt w:val="decimal"/>
      <w:pStyle w:val="NoteandSourceText-BarcRA10"/>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00000072"/>
    <w:multiLevelType w:val="hybridMultilevel"/>
    <w:tmpl w:val="B4DAA854"/>
    <w:lvl w:ilvl="0">
      <w:start w:val="1"/>
      <w:numFmt w:val="bullet"/>
      <w:pStyle w:val="Level1Bullet-BarcRA0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00000073"/>
    <w:multiLevelType w:val="hybridMultilevel"/>
    <w:tmpl w:val="D78CABEE"/>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11"/>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01">
    <w:nsid w:val="00000074"/>
    <w:multiLevelType w:val="hybridMultilevel"/>
    <w:tmpl w:val="B4DAA854"/>
    <w:lvl w:ilvl="0">
      <w:start w:val="1"/>
      <w:numFmt w:val="bullet"/>
      <w:pStyle w:val="Level1Bullet-BarcRA2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02">
    <w:nsid w:val="00000075"/>
    <w:multiLevelType w:val="hybridMultilevel"/>
    <w:tmpl w:val="3F46D7DE"/>
    <w:lvl w:ilvl="0">
      <w:start w:val="1"/>
      <w:numFmt w:val="decimal"/>
      <w:pStyle w:val="NoteandSourceText-BarcRA1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00000076"/>
    <w:multiLevelType w:val="hybridMultilevel"/>
    <w:tmpl w:val="B4DAA854"/>
    <w:lvl w:ilvl="0">
      <w:start w:val="1"/>
      <w:numFmt w:val="bullet"/>
      <w:pStyle w:val="Level1Bullet-BarcRA3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04">
    <w:nsid w:val="00000077"/>
    <w:multiLevelType w:val="hybridMultilevel"/>
    <w:tmpl w:val="F704E454"/>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12"/>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05">
    <w:nsid w:val="00000078"/>
    <w:multiLevelType w:val="hybridMultilevel"/>
    <w:tmpl w:val="3F46D7DE"/>
    <w:lvl w:ilvl="0">
      <w:start w:val="1"/>
      <w:numFmt w:val="decimal"/>
      <w:pStyle w:val="NoteandSourceText-BarcRA1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00000079"/>
    <w:multiLevelType w:val="hybridMultilevel"/>
    <w:tmpl w:val="B4DAA854"/>
    <w:lvl w:ilvl="0">
      <w:start w:val="1"/>
      <w:numFmt w:val="bullet"/>
      <w:pStyle w:val="Level1Bullet-BarcRA3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07">
    <w:nsid w:val="0000007A"/>
    <w:multiLevelType w:val="hybridMultilevel"/>
    <w:tmpl w:val="52F04E64"/>
    <w:lvl w:ilvl="0" w:tplc="FFFFFFFF">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FFFFFFF">
      <w:start w:val="1"/>
      <w:numFmt w:val="bullet"/>
      <w:lvlText w:val="o"/>
      <w:lvlJc w:val="left"/>
      <w:pPr>
        <w:tabs>
          <w:tab w:val="num" w:pos="306"/>
        </w:tabs>
        <w:ind w:left="306" w:hanging="360"/>
      </w:pPr>
      <w:rPr>
        <w:rFonts w:ascii="Courier New" w:hAnsi="Courier New" w:hint="default"/>
      </w:rPr>
    </w:lvl>
    <w:lvl w:ilvl="2" w:tplc="FFFFFFFF">
      <w:numFmt w:val="bullet"/>
      <w:pStyle w:val="Level2Bullet-BarcRA13"/>
      <w:lvlText w:val="–"/>
      <w:lvlJc w:val="left"/>
      <w:pPr>
        <w:tabs>
          <w:tab w:val="num" w:pos="1401"/>
        </w:tabs>
        <w:ind w:left="1401" w:hanging="735"/>
      </w:pPr>
      <w:rPr>
        <w:rFonts w:ascii="Arial" w:eastAsia="Times New Roman" w:hAnsi="Arial" w:hint="default"/>
      </w:rPr>
    </w:lvl>
    <w:lvl w:ilvl="3" w:tplc="FFFFFFFF" w:tentative="1">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108">
    <w:nsid w:val="0000007B"/>
    <w:multiLevelType w:val="hybridMultilevel"/>
    <w:tmpl w:val="3F46D7DE"/>
    <w:lvl w:ilvl="0">
      <w:start w:val="1"/>
      <w:numFmt w:val="decimal"/>
      <w:pStyle w:val="NoteandSourceText-BarcRA13"/>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0000007C"/>
    <w:multiLevelType w:val="hybridMultilevel"/>
    <w:tmpl w:val="B4DAA854"/>
    <w:lvl w:ilvl="0">
      <w:start w:val="1"/>
      <w:numFmt w:val="bullet"/>
      <w:pStyle w:val="Level1Bullet-BarcRA3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10">
    <w:nsid w:val="0000007D"/>
    <w:multiLevelType w:val="hybridMultilevel"/>
    <w:tmpl w:val="B2E8E736"/>
    <w:lvl w:ilvl="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pStyle w:val="Level2Bullet-BarcRA14"/>
      <w:lvlText w:val="–"/>
      <w:lvlJc w:val="left"/>
      <w:pPr>
        <w:tabs>
          <w:tab w:val="num" w:pos="1401"/>
        </w:tabs>
        <w:ind w:left="1401" w:hanging="735"/>
      </w:pPr>
      <w:rPr>
        <w:rFonts w:ascii="Arial" w:eastAsia="Times New Roman" w:hAnsi="Arial"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11">
    <w:nsid w:val="0000007E"/>
    <w:multiLevelType w:val="hybridMultilevel"/>
    <w:tmpl w:val="3F46D7DE"/>
    <w:lvl w:ilvl="0">
      <w:start w:val="1"/>
      <w:numFmt w:val="decimal"/>
      <w:pStyle w:val="NoteandSourceText-BarcRA1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0000007F"/>
    <w:multiLevelType w:val="hybridMultilevel"/>
    <w:tmpl w:val="B4DAA854"/>
    <w:lvl w:ilvl="0">
      <w:start w:val="1"/>
      <w:numFmt w:val="bullet"/>
      <w:pStyle w:val="Level1Bullet-BarcRA29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nsid w:val="00000080"/>
    <w:multiLevelType w:val="hybridMultilevel"/>
    <w:tmpl w:val="3F46D7DE"/>
    <w:lvl w:ilvl="0">
      <w:start w:val="1"/>
      <w:numFmt w:val="decimal"/>
      <w:pStyle w:val="NoteandSourceText-BarcRA15"/>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00000081"/>
    <w:multiLevelType w:val="hybridMultilevel"/>
    <w:tmpl w:val="B4DAA854"/>
    <w:lvl w:ilvl="0">
      <w:start w:val="1"/>
      <w:numFmt w:val="bullet"/>
      <w:pStyle w:val="Level1Bullet-BarcRA3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nsid w:val="00000082"/>
    <w:multiLevelType w:val="hybridMultilevel"/>
    <w:tmpl w:val="B4DAA854"/>
    <w:lvl w:ilvl="0">
      <w:start w:val="1"/>
      <w:numFmt w:val="bullet"/>
      <w:pStyle w:val="Level1Bullet-BarcRA29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00000083"/>
    <w:multiLevelType w:val="hybridMultilevel"/>
    <w:tmpl w:val="B4DAA854"/>
    <w:lvl w:ilvl="0">
      <w:start w:val="1"/>
      <w:numFmt w:val="bullet"/>
      <w:pStyle w:val="Level1Bullet-BarcRA2000"/>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nsid w:val="00000084"/>
    <w:multiLevelType w:val="hybridMultilevel"/>
    <w:tmpl w:val="B4DAA854"/>
    <w:lvl w:ilvl="0">
      <w:start w:val="1"/>
      <w:numFmt w:val="bullet"/>
      <w:pStyle w:val="Level1Bullet-BarcRA20000"/>
      <w:lvlText w:val=""/>
      <w:lvlJc w:val="left"/>
      <w:pPr>
        <w:tabs>
          <w:tab w:val="num" w:pos="284"/>
        </w:tabs>
        <w:ind w:left="284" w:hanging="284"/>
      </w:pPr>
      <w:rPr>
        <w:rFonts w:ascii="Wingdings 2" w:hAnsi="Wingdings 2" w:hint="default"/>
        <w:b w:val="0"/>
        <w:i w:val="0"/>
        <w:color w:val="auto"/>
        <w:spacing w:val="0"/>
        <w:w w:val="100"/>
        <w:position w:val="0"/>
        <w:sz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nsid w:val="00000085"/>
    <w:multiLevelType w:val="hybridMultilevel"/>
    <w:tmpl w:val="B4DAA854"/>
    <w:lvl w:ilvl="0">
      <w:start w:val="1"/>
      <w:numFmt w:val="bullet"/>
      <w:pStyle w:val="Level1Bullet-BarcRA3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19">
    <w:nsid w:val="00000086"/>
    <w:multiLevelType w:val="hybridMultilevel"/>
    <w:tmpl w:val="B4DAA854"/>
    <w:lvl w:ilvl="0">
      <w:start w:val="1"/>
      <w:numFmt w:val="bullet"/>
      <w:pStyle w:val="Level1Bullet-BarcRA13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nsid w:val="00000087"/>
    <w:multiLevelType w:val="hybridMultilevel"/>
    <w:tmpl w:val="4C98BF5E"/>
    <w:lvl w:ilvl="0">
      <w:numFmt w:val="bullet"/>
      <w:pStyle w:val="Level2Bullet-BarcRA90"/>
      <w:lvlText w:val="–"/>
      <w:lvlJc w:val="left"/>
      <w:pPr>
        <w:tabs>
          <w:tab w:val="num" w:pos="1968"/>
        </w:tabs>
        <w:ind w:left="1968" w:hanging="735"/>
      </w:pPr>
      <w:rPr>
        <w:rFonts w:ascii="Arial" w:eastAsia="Times New Roman"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nsid w:val="00000088"/>
    <w:multiLevelType w:val="hybridMultilevel"/>
    <w:tmpl w:val="B4DAA854"/>
    <w:lvl w:ilvl="0">
      <w:start w:val="1"/>
      <w:numFmt w:val="bullet"/>
      <w:pStyle w:val="Level1Bullet-BarcRA3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22">
    <w:nsid w:val="00000089"/>
    <w:multiLevelType w:val="hybridMultilevel"/>
    <w:tmpl w:val="B4DAA854"/>
    <w:lvl w:ilvl="0">
      <w:start w:val="1"/>
      <w:numFmt w:val="bullet"/>
      <w:pStyle w:val="Level1Bullet-BarcRA3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23">
    <w:nsid w:val="0000008A"/>
    <w:multiLevelType w:val="hybridMultilevel"/>
    <w:tmpl w:val="B4DAA854"/>
    <w:lvl w:ilvl="0">
      <w:start w:val="1"/>
      <w:numFmt w:val="bullet"/>
      <w:pStyle w:val="Level1Bullet-BarcRA3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24">
    <w:nsid w:val="0000008B"/>
    <w:multiLevelType w:val="hybridMultilevel"/>
    <w:tmpl w:val="B4DAA854"/>
    <w:lvl w:ilvl="0">
      <w:start w:val="1"/>
      <w:numFmt w:val="bullet"/>
      <w:pStyle w:val="Level1Bullet-BarcRA3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25">
    <w:nsid w:val="0000008C"/>
    <w:multiLevelType w:val="hybridMultilevel"/>
    <w:tmpl w:val="B4DAA854"/>
    <w:lvl w:ilvl="0">
      <w:start w:val="1"/>
      <w:numFmt w:val="bullet"/>
      <w:pStyle w:val="Level1Bullet-BarcRA39"/>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cs="Times New Roman"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0000008E"/>
    <w:multiLevelType w:val="hybridMultilevel"/>
    <w:tmpl w:val="3F46D7DE"/>
    <w:lvl w:ilvl="0">
      <w:start w:val="1"/>
      <w:numFmt w:val="decimal"/>
      <w:pStyle w:val="NoteandSourceText-BarcRA130"/>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nsid w:val="0000008F"/>
    <w:multiLevelType w:val="hybridMultilevel"/>
    <w:tmpl w:val="6A8AC2E4"/>
    <w:lvl w:ilvl="0">
      <w:start w:val="1"/>
      <w:numFmt w:val="decimal"/>
      <w:pStyle w:val="NoteandSourceText-BarcRA16"/>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00000090"/>
    <w:multiLevelType w:val="hybridMultilevel"/>
    <w:tmpl w:val="6A8AC2E4"/>
    <w:lvl w:ilvl="0">
      <w:start w:val="1"/>
      <w:numFmt w:val="decimal"/>
      <w:pStyle w:val="NoteandSourceText-BarcRA150"/>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nsid w:val="00000091"/>
    <w:multiLevelType w:val="hybridMultilevel"/>
    <w:tmpl w:val="FF7004A6"/>
    <w:lvl w:ilvl="0">
      <w:start w:val="1"/>
      <w:numFmt w:val="bullet"/>
      <w:pStyle w:val="Level1Bullet-BarcRA4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30">
    <w:nsid w:val="00000093"/>
    <w:multiLevelType w:val="hybridMultilevel"/>
    <w:tmpl w:val="B4DAA854"/>
    <w:lvl w:ilvl="0">
      <w:start w:val="1"/>
      <w:numFmt w:val="bullet"/>
      <w:pStyle w:val="Level1Bullet-BarcRA4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start w:val="1"/>
      <w:numFmt w:val="bullet"/>
      <w:lvlText w:val="o"/>
      <w:lvlJc w:val="left"/>
      <w:pPr>
        <w:tabs>
          <w:tab w:val="num" w:pos="306"/>
        </w:tabs>
        <w:ind w:left="306" w:hanging="360"/>
      </w:pPr>
      <w:rPr>
        <w:rFonts w:ascii="Courier New" w:hAnsi="Courier New" w:hint="default"/>
      </w:rPr>
    </w:lvl>
    <w:lvl w:ilvl="2">
      <w:numFmt w:val="bullet"/>
      <w:lvlText w:val="-"/>
      <w:lvlJc w:val="left"/>
      <w:pPr>
        <w:tabs>
          <w:tab w:val="num" w:pos="1401"/>
        </w:tabs>
        <w:ind w:left="1401" w:hanging="735"/>
      </w:pPr>
      <w:rPr>
        <w:rFonts w:ascii="Barclays Serif" w:eastAsia="Times New Roman" w:hAnsi="Barclays Serif" w:cs="Times New Roman"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131">
    <w:nsid w:val="00000094"/>
    <w:multiLevelType w:val="hybridMultilevel"/>
    <w:tmpl w:val="3F46D7DE"/>
    <w:lvl w:ilvl="0">
      <w:start w:val="1"/>
      <w:numFmt w:val="decimal"/>
      <w:pStyle w:val="NoteandSourceText-BarcRA17"/>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00000095"/>
    <w:multiLevelType w:val="hybridMultilevel"/>
    <w:tmpl w:val="3F46D7DE"/>
    <w:lvl w:ilvl="0">
      <w:start w:val="1"/>
      <w:numFmt w:val="decimal"/>
      <w:pStyle w:val="NoteandSourceText-BarcRA18"/>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09C91CF8"/>
    <w:multiLevelType w:val="hybridMultilevel"/>
    <w:tmpl w:val="12F6D6FC"/>
    <w:lvl w:ilvl="0" w:tplc="FFFFFFFF">
      <w:start w:val="1"/>
      <w:numFmt w:val="decimal"/>
      <w:lvlText w:val="%1"/>
      <w:lvlJc w:val="left"/>
      <w:pPr>
        <w:ind w:left="720" w:hanging="360"/>
      </w:pPr>
      <w:rPr>
        <w:rFonts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nsid w:val="0C0B3811"/>
    <w:multiLevelType w:val="hybridMultilevel"/>
    <w:tmpl w:val="0F8CBB6E"/>
    <w:lvl w:ilvl="0" w:tplc="B19AD774">
      <w:start w:val="1"/>
      <w:numFmt w:val="decimal"/>
      <w:lvlText w:val="%1"/>
      <w:lvlJc w:val="left"/>
      <w:pPr>
        <w:ind w:left="720" w:hanging="360"/>
      </w:pPr>
      <w:rPr>
        <w:rFonts w:hint="default"/>
        <w:b w:val="0"/>
        <w:i/>
        <w:color w:val="auto"/>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4409590F"/>
    <w:multiLevelType w:val="hybridMultilevel"/>
    <w:tmpl w:val="67106A94"/>
    <w:lvl w:ilvl="0" w:tplc="AFE8E776">
      <w:start w:val="1"/>
      <w:numFmt w:val="decimal"/>
      <w:lvlText w:val="%1"/>
      <w:lvlJc w:val="left"/>
      <w:pPr>
        <w:ind w:left="720" w:hanging="360"/>
      </w:pPr>
      <w:rPr>
        <w:rFonts w:hint="default"/>
        <w:i/>
        <w:sz w:val="14"/>
        <w:szCs w:val="14"/>
      </w:rPr>
    </w:lvl>
    <w:lvl w:ilvl="1" w:tplc="173CC16C" w:tentative="1">
      <w:start w:val="1"/>
      <w:numFmt w:val="lowerLetter"/>
      <w:lvlText w:val="%2."/>
      <w:lvlJc w:val="left"/>
      <w:pPr>
        <w:ind w:left="1440" w:hanging="360"/>
      </w:pPr>
    </w:lvl>
    <w:lvl w:ilvl="2" w:tplc="F15CE12E" w:tentative="1">
      <w:start w:val="1"/>
      <w:numFmt w:val="lowerRoman"/>
      <w:lvlText w:val="%3."/>
      <w:lvlJc w:val="right"/>
      <w:pPr>
        <w:ind w:left="2160" w:hanging="180"/>
      </w:pPr>
    </w:lvl>
    <w:lvl w:ilvl="3" w:tplc="34F27B62" w:tentative="1">
      <w:start w:val="1"/>
      <w:numFmt w:val="decimal"/>
      <w:lvlText w:val="%4."/>
      <w:lvlJc w:val="left"/>
      <w:pPr>
        <w:ind w:left="2880" w:hanging="360"/>
      </w:pPr>
    </w:lvl>
    <w:lvl w:ilvl="4" w:tplc="C3AC3688" w:tentative="1">
      <w:start w:val="1"/>
      <w:numFmt w:val="lowerLetter"/>
      <w:lvlText w:val="%5."/>
      <w:lvlJc w:val="left"/>
      <w:pPr>
        <w:ind w:left="3600" w:hanging="360"/>
      </w:pPr>
    </w:lvl>
    <w:lvl w:ilvl="5" w:tplc="88362A74" w:tentative="1">
      <w:start w:val="1"/>
      <w:numFmt w:val="lowerRoman"/>
      <w:lvlText w:val="%6."/>
      <w:lvlJc w:val="right"/>
      <w:pPr>
        <w:ind w:left="4320" w:hanging="180"/>
      </w:pPr>
    </w:lvl>
    <w:lvl w:ilvl="6" w:tplc="11E4CA74" w:tentative="1">
      <w:start w:val="1"/>
      <w:numFmt w:val="decimal"/>
      <w:lvlText w:val="%7."/>
      <w:lvlJc w:val="left"/>
      <w:pPr>
        <w:ind w:left="5040" w:hanging="360"/>
      </w:pPr>
    </w:lvl>
    <w:lvl w:ilvl="7" w:tplc="3C587284" w:tentative="1">
      <w:start w:val="1"/>
      <w:numFmt w:val="lowerLetter"/>
      <w:lvlText w:val="%8."/>
      <w:lvlJc w:val="left"/>
      <w:pPr>
        <w:ind w:left="5760" w:hanging="360"/>
      </w:pPr>
    </w:lvl>
    <w:lvl w:ilvl="8" w:tplc="BFA25F18" w:tentative="1">
      <w:start w:val="1"/>
      <w:numFmt w:val="lowerRoman"/>
      <w:lvlText w:val="%9."/>
      <w:lvlJc w:val="right"/>
      <w:pPr>
        <w:ind w:left="6480" w:hanging="180"/>
      </w:pPr>
    </w:lvl>
  </w:abstractNum>
  <w:abstractNum w:abstractNumId="136">
    <w:nsid w:val="44897E06"/>
    <w:multiLevelType w:val="hybridMultilevel"/>
    <w:tmpl w:val="67106A94"/>
    <w:lvl w:ilvl="0" w:tplc="AFE8E776">
      <w:start w:val="1"/>
      <w:numFmt w:val="decimal"/>
      <w:lvlText w:val="%1"/>
      <w:lvlJc w:val="left"/>
      <w:pPr>
        <w:ind w:left="720" w:hanging="360"/>
      </w:pPr>
      <w:rPr>
        <w:rFonts w:hint="default"/>
        <w:i/>
        <w:sz w:val="14"/>
        <w:szCs w:val="14"/>
      </w:rPr>
    </w:lvl>
    <w:lvl w:ilvl="1" w:tplc="173CC16C" w:tentative="1">
      <w:start w:val="1"/>
      <w:numFmt w:val="lowerLetter"/>
      <w:lvlText w:val="%2."/>
      <w:lvlJc w:val="left"/>
      <w:pPr>
        <w:ind w:left="1440" w:hanging="360"/>
      </w:pPr>
    </w:lvl>
    <w:lvl w:ilvl="2" w:tplc="F15CE12E" w:tentative="1">
      <w:start w:val="1"/>
      <w:numFmt w:val="lowerRoman"/>
      <w:lvlText w:val="%3."/>
      <w:lvlJc w:val="right"/>
      <w:pPr>
        <w:ind w:left="2160" w:hanging="180"/>
      </w:pPr>
    </w:lvl>
    <w:lvl w:ilvl="3" w:tplc="34F27B62" w:tentative="1">
      <w:start w:val="1"/>
      <w:numFmt w:val="decimal"/>
      <w:lvlText w:val="%4."/>
      <w:lvlJc w:val="left"/>
      <w:pPr>
        <w:ind w:left="2880" w:hanging="360"/>
      </w:pPr>
    </w:lvl>
    <w:lvl w:ilvl="4" w:tplc="C3AC3688" w:tentative="1">
      <w:start w:val="1"/>
      <w:numFmt w:val="lowerLetter"/>
      <w:lvlText w:val="%5."/>
      <w:lvlJc w:val="left"/>
      <w:pPr>
        <w:ind w:left="3600" w:hanging="360"/>
      </w:pPr>
    </w:lvl>
    <w:lvl w:ilvl="5" w:tplc="88362A74" w:tentative="1">
      <w:start w:val="1"/>
      <w:numFmt w:val="lowerRoman"/>
      <w:lvlText w:val="%6."/>
      <w:lvlJc w:val="right"/>
      <w:pPr>
        <w:ind w:left="4320" w:hanging="180"/>
      </w:pPr>
    </w:lvl>
    <w:lvl w:ilvl="6" w:tplc="11E4CA74" w:tentative="1">
      <w:start w:val="1"/>
      <w:numFmt w:val="decimal"/>
      <w:lvlText w:val="%7."/>
      <w:lvlJc w:val="left"/>
      <w:pPr>
        <w:ind w:left="5040" w:hanging="360"/>
      </w:pPr>
    </w:lvl>
    <w:lvl w:ilvl="7" w:tplc="3C587284" w:tentative="1">
      <w:start w:val="1"/>
      <w:numFmt w:val="lowerLetter"/>
      <w:lvlText w:val="%8."/>
      <w:lvlJc w:val="left"/>
      <w:pPr>
        <w:ind w:left="5760" w:hanging="360"/>
      </w:pPr>
    </w:lvl>
    <w:lvl w:ilvl="8" w:tplc="BFA25F18" w:tentative="1">
      <w:start w:val="1"/>
      <w:numFmt w:val="lowerRoman"/>
      <w:lvlText w:val="%9."/>
      <w:lvlJc w:val="right"/>
      <w:pPr>
        <w:ind w:left="6480" w:hanging="180"/>
      </w:pPr>
    </w:lvl>
  </w:abstractNum>
  <w:abstractNum w:abstractNumId="137">
    <w:nsid w:val="53344532"/>
    <w:multiLevelType w:val="hybridMultilevel"/>
    <w:tmpl w:val="2A94FDDA"/>
    <w:lvl w:ilvl="0" w:tplc="BB089140">
      <w:start w:val="1"/>
      <w:numFmt w:val="decimal"/>
      <w:lvlText w:val="%1"/>
      <w:lvlJc w:val="left"/>
      <w:pPr>
        <w:ind w:left="720" w:hanging="360"/>
      </w:pPr>
      <w:rPr>
        <w:rFonts w:hint="default"/>
        <w:sz w:val="14"/>
        <w:szCs w:val="14"/>
      </w:rPr>
    </w:lvl>
    <w:lvl w:ilvl="1" w:tplc="C382C97E" w:tentative="1">
      <w:start w:val="1"/>
      <w:numFmt w:val="lowerLetter"/>
      <w:lvlText w:val="%2."/>
      <w:lvlJc w:val="left"/>
      <w:pPr>
        <w:ind w:left="1440" w:hanging="360"/>
      </w:pPr>
    </w:lvl>
    <w:lvl w:ilvl="2" w:tplc="5A62CD92" w:tentative="1">
      <w:start w:val="1"/>
      <w:numFmt w:val="lowerRoman"/>
      <w:lvlText w:val="%3."/>
      <w:lvlJc w:val="right"/>
      <w:pPr>
        <w:ind w:left="2160" w:hanging="180"/>
      </w:pPr>
    </w:lvl>
    <w:lvl w:ilvl="3" w:tplc="F12CC9BA" w:tentative="1">
      <w:start w:val="1"/>
      <w:numFmt w:val="decimal"/>
      <w:lvlText w:val="%4."/>
      <w:lvlJc w:val="left"/>
      <w:pPr>
        <w:ind w:left="2880" w:hanging="360"/>
      </w:pPr>
    </w:lvl>
    <w:lvl w:ilvl="4" w:tplc="98428B06" w:tentative="1">
      <w:start w:val="1"/>
      <w:numFmt w:val="lowerLetter"/>
      <w:lvlText w:val="%5."/>
      <w:lvlJc w:val="left"/>
      <w:pPr>
        <w:ind w:left="3600" w:hanging="360"/>
      </w:pPr>
    </w:lvl>
    <w:lvl w:ilvl="5" w:tplc="E4B24158" w:tentative="1">
      <w:start w:val="1"/>
      <w:numFmt w:val="lowerRoman"/>
      <w:lvlText w:val="%6."/>
      <w:lvlJc w:val="right"/>
      <w:pPr>
        <w:ind w:left="4320" w:hanging="180"/>
      </w:pPr>
    </w:lvl>
    <w:lvl w:ilvl="6" w:tplc="54F6B946" w:tentative="1">
      <w:start w:val="1"/>
      <w:numFmt w:val="decimal"/>
      <w:lvlText w:val="%7."/>
      <w:lvlJc w:val="left"/>
      <w:pPr>
        <w:ind w:left="5040" w:hanging="360"/>
      </w:pPr>
    </w:lvl>
    <w:lvl w:ilvl="7" w:tplc="5942AE00" w:tentative="1">
      <w:start w:val="1"/>
      <w:numFmt w:val="lowerLetter"/>
      <w:lvlText w:val="%8."/>
      <w:lvlJc w:val="left"/>
      <w:pPr>
        <w:ind w:left="5760" w:hanging="360"/>
      </w:pPr>
    </w:lvl>
    <w:lvl w:ilvl="8" w:tplc="BD7CE682" w:tentative="1">
      <w:start w:val="1"/>
      <w:numFmt w:val="lowerRoman"/>
      <w:lvlText w:val="%9."/>
      <w:lvlJc w:val="right"/>
      <w:pPr>
        <w:ind w:left="6480" w:hanging="180"/>
      </w:pPr>
    </w:lvl>
  </w:abstractNum>
  <w:abstractNum w:abstractNumId="138">
    <w:nsid w:val="6CF00FA5"/>
    <w:multiLevelType w:val="hybridMultilevel"/>
    <w:tmpl w:val="D28CFBA0"/>
    <w:lvl w:ilvl="0" w:tplc="A56834FE">
      <w:start w:val="1"/>
      <w:numFmt w:val="decimal"/>
      <w:lvlText w:val="%1"/>
      <w:lvlJc w:val="left"/>
      <w:pPr>
        <w:ind w:left="720" w:hanging="360"/>
      </w:pPr>
      <w:rPr>
        <w:rFonts w:hint="default"/>
      </w:rPr>
    </w:lvl>
    <w:lvl w:ilvl="1" w:tplc="3C281E3C" w:tentative="1">
      <w:start w:val="1"/>
      <w:numFmt w:val="lowerLetter"/>
      <w:lvlText w:val="%2."/>
      <w:lvlJc w:val="left"/>
      <w:pPr>
        <w:ind w:left="1440" w:hanging="360"/>
      </w:pPr>
    </w:lvl>
    <w:lvl w:ilvl="2" w:tplc="3356CFDA" w:tentative="1">
      <w:start w:val="1"/>
      <w:numFmt w:val="lowerRoman"/>
      <w:lvlText w:val="%3."/>
      <w:lvlJc w:val="right"/>
      <w:pPr>
        <w:ind w:left="2160" w:hanging="180"/>
      </w:pPr>
    </w:lvl>
    <w:lvl w:ilvl="3" w:tplc="709C8A90" w:tentative="1">
      <w:start w:val="1"/>
      <w:numFmt w:val="decimal"/>
      <w:lvlText w:val="%4."/>
      <w:lvlJc w:val="left"/>
      <w:pPr>
        <w:ind w:left="2880" w:hanging="360"/>
      </w:pPr>
    </w:lvl>
    <w:lvl w:ilvl="4" w:tplc="3762FAC8" w:tentative="1">
      <w:start w:val="1"/>
      <w:numFmt w:val="lowerLetter"/>
      <w:lvlText w:val="%5."/>
      <w:lvlJc w:val="left"/>
      <w:pPr>
        <w:ind w:left="3600" w:hanging="360"/>
      </w:pPr>
    </w:lvl>
    <w:lvl w:ilvl="5" w:tplc="6A40751E" w:tentative="1">
      <w:start w:val="1"/>
      <w:numFmt w:val="lowerRoman"/>
      <w:lvlText w:val="%6."/>
      <w:lvlJc w:val="right"/>
      <w:pPr>
        <w:ind w:left="4320" w:hanging="180"/>
      </w:pPr>
    </w:lvl>
    <w:lvl w:ilvl="6" w:tplc="A14EAF32" w:tentative="1">
      <w:start w:val="1"/>
      <w:numFmt w:val="decimal"/>
      <w:lvlText w:val="%7."/>
      <w:lvlJc w:val="left"/>
      <w:pPr>
        <w:ind w:left="5040" w:hanging="360"/>
      </w:pPr>
    </w:lvl>
    <w:lvl w:ilvl="7" w:tplc="A63AA83E" w:tentative="1">
      <w:start w:val="1"/>
      <w:numFmt w:val="lowerLetter"/>
      <w:lvlText w:val="%8."/>
      <w:lvlJc w:val="left"/>
      <w:pPr>
        <w:ind w:left="5760" w:hanging="360"/>
      </w:pPr>
    </w:lvl>
    <w:lvl w:ilvl="8" w:tplc="E2DA5360" w:tentative="1">
      <w:start w:val="1"/>
      <w:numFmt w:val="lowerRoman"/>
      <w:lvlText w:val="%9."/>
      <w:lvlJc w:val="right"/>
      <w:pPr>
        <w:ind w:left="6480" w:hanging="180"/>
      </w:pPr>
    </w:lvl>
  </w:abstractNum>
  <w:abstractNum w:abstractNumId="139">
    <w:nsid w:val="72A61B25"/>
    <w:multiLevelType w:val="hybridMultilevel"/>
    <w:tmpl w:val="D28CFBA0"/>
    <w:lvl w:ilvl="0" w:tplc="40624176">
      <w:start w:val="1"/>
      <w:numFmt w:val="decimal"/>
      <w:lvlText w:val="%1"/>
      <w:lvlJc w:val="left"/>
      <w:pPr>
        <w:ind w:left="720" w:hanging="360"/>
      </w:pPr>
      <w:rPr>
        <w:rFonts w:hint="default"/>
      </w:rPr>
    </w:lvl>
    <w:lvl w:ilvl="1" w:tplc="B2921BE8" w:tentative="1">
      <w:start w:val="1"/>
      <w:numFmt w:val="lowerLetter"/>
      <w:lvlText w:val="%2."/>
      <w:lvlJc w:val="left"/>
      <w:pPr>
        <w:ind w:left="1440" w:hanging="360"/>
      </w:pPr>
    </w:lvl>
    <w:lvl w:ilvl="2" w:tplc="E86287FC" w:tentative="1">
      <w:start w:val="1"/>
      <w:numFmt w:val="lowerRoman"/>
      <w:lvlText w:val="%3."/>
      <w:lvlJc w:val="right"/>
      <w:pPr>
        <w:ind w:left="2160" w:hanging="180"/>
      </w:pPr>
    </w:lvl>
    <w:lvl w:ilvl="3" w:tplc="4482C162" w:tentative="1">
      <w:start w:val="1"/>
      <w:numFmt w:val="decimal"/>
      <w:lvlText w:val="%4."/>
      <w:lvlJc w:val="left"/>
      <w:pPr>
        <w:ind w:left="2880" w:hanging="360"/>
      </w:pPr>
    </w:lvl>
    <w:lvl w:ilvl="4" w:tplc="3CB8E3F2" w:tentative="1">
      <w:start w:val="1"/>
      <w:numFmt w:val="lowerLetter"/>
      <w:lvlText w:val="%5."/>
      <w:lvlJc w:val="left"/>
      <w:pPr>
        <w:ind w:left="3600" w:hanging="360"/>
      </w:pPr>
    </w:lvl>
    <w:lvl w:ilvl="5" w:tplc="7E82C720" w:tentative="1">
      <w:start w:val="1"/>
      <w:numFmt w:val="lowerRoman"/>
      <w:lvlText w:val="%6."/>
      <w:lvlJc w:val="right"/>
      <w:pPr>
        <w:ind w:left="4320" w:hanging="180"/>
      </w:pPr>
    </w:lvl>
    <w:lvl w:ilvl="6" w:tplc="B1BE710E" w:tentative="1">
      <w:start w:val="1"/>
      <w:numFmt w:val="decimal"/>
      <w:lvlText w:val="%7."/>
      <w:lvlJc w:val="left"/>
      <w:pPr>
        <w:ind w:left="5040" w:hanging="360"/>
      </w:pPr>
    </w:lvl>
    <w:lvl w:ilvl="7" w:tplc="A7FAB2E6" w:tentative="1">
      <w:start w:val="1"/>
      <w:numFmt w:val="lowerLetter"/>
      <w:lvlText w:val="%8."/>
      <w:lvlJc w:val="left"/>
      <w:pPr>
        <w:ind w:left="5760" w:hanging="360"/>
      </w:pPr>
    </w:lvl>
    <w:lvl w:ilvl="8" w:tplc="CF604EB6"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3"/>
  </w:num>
  <w:num w:numId="2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42"/>
  </w:num>
  <w:num w:numId="45">
    <w:abstractNumId w:val="43"/>
  </w:num>
  <w:num w:numId="46">
    <w:abstractNumId w:val="44"/>
    <w:lvlOverride w:ilvl="0"/>
    <w:lvlOverride w:ilvl="1">
      <w:startOverride w:val="1"/>
    </w:lvlOverride>
    <w:lvlOverride w:ilvl="2"/>
    <w:lvlOverride w:ilvl="3"/>
    <w:lvlOverride w:ilvl="4"/>
    <w:lvlOverride w:ilvl="5"/>
    <w:lvlOverride w:ilvl="6"/>
    <w:lvlOverride w:ilvl="7"/>
    <w:lvlOverride w:ilvl="8"/>
  </w:num>
  <w:num w:numId="47">
    <w:abstractNumId w:val="45"/>
  </w:num>
  <w:num w:numId="48">
    <w:abstractNumId w:val="46"/>
  </w:num>
  <w:num w:numId="49">
    <w:abstractNumId w:val="47"/>
  </w:num>
  <w:num w:numId="50">
    <w:abstractNumId w:val="48"/>
  </w:num>
  <w:num w:numId="51">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52"/>
  </w:num>
  <w:num w:numId="55">
    <w:abstractNumId w:val="5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5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57"/>
  </w:num>
  <w:num w:numId="60">
    <w:abstractNumId w:val="58"/>
  </w:num>
  <w:num w:numId="61">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num>
  <w:num w:numId="64">
    <w:abstractNumId w:val="62"/>
  </w:num>
  <w:num w:numId="65">
    <w:abstractNumId w:val="63"/>
  </w:num>
  <w:num w:numId="66">
    <w:abstractNumId w:val="64"/>
  </w:num>
  <w:num w:numId="67">
    <w:abstractNumId w:val="65"/>
  </w:num>
  <w:num w:numId="68">
    <w:abstractNumId w:val="66"/>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num>
  <w:num w:numId="73">
    <w:abstractNumId w:val="71"/>
  </w:num>
  <w:num w:numId="74">
    <w:abstractNumId w:val="7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num>
  <w:num w:numId="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5"/>
  </w:num>
  <w:num w:numId="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8"/>
  </w:num>
  <w:num w:numId="81">
    <w:abstractNumId w:val="79"/>
  </w:num>
  <w:num w:numId="82">
    <w:abstractNumId w:val="80"/>
  </w:num>
  <w:num w:numId="83">
    <w:abstractNumId w:val="81"/>
  </w:num>
  <w:num w:numId="84">
    <w:abstractNumId w:val="8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num>
  <w:num w:numId="86">
    <w:abstractNumId w:val="84"/>
  </w:num>
  <w:num w:numId="87">
    <w:abstractNumId w:val="85"/>
  </w:num>
  <w:num w:numId="88">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9"/>
  </w:num>
  <w:num w:numId="92">
    <w:abstractNumId w:val="90"/>
  </w:num>
  <w:num w:numId="93">
    <w:abstractNumId w:val="91"/>
  </w:num>
  <w:num w:numId="94">
    <w:abstractNumId w:val="92"/>
  </w:num>
  <w:num w:numId="95">
    <w:abstractNumId w:val="93"/>
  </w:num>
  <w:num w:numId="96">
    <w:abstractNumId w:val="94"/>
  </w:num>
  <w:num w:numId="97">
    <w:abstractNumId w:val="95"/>
  </w:num>
  <w:num w:numId="98">
    <w:abstractNumId w:val="96"/>
  </w:num>
  <w:num w:numId="99">
    <w:abstractNumId w:val="9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8"/>
  </w:num>
  <w:num w:numId="101">
    <w:abstractNumId w:val="98"/>
    <w:lvlOverride w:ilvl="0">
      <w:startOverride w:val="1"/>
    </w:lvlOverride>
  </w:num>
  <w:num w:numId="102">
    <w:abstractNumId w:val="9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3"/>
  </w:num>
  <w:num w:numId="117">
    <w:abstractNumId w:val="1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8"/>
  </w:num>
  <w:num w:numId="122">
    <w:abstractNumId w:val="1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1"/>
  </w:num>
  <w:num w:numId="125">
    <w:abstractNumId w:val="122"/>
  </w:num>
  <w:num w:numId="126">
    <w:abstractNumId w:val="123"/>
  </w:num>
  <w:num w:numId="127">
    <w:abstractNumId w:val="124"/>
  </w:num>
  <w:num w:numId="128">
    <w:abstractNumId w:val="1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7"/>
  </w:num>
  <w:num w:numId="13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9"/>
  </w:num>
  <w:num w:numId="133">
    <w:abstractNumId w:val="130"/>
  </w:num>
  <w:num w:numId="134">
    <w:abstractNumId w:val="131"/>
  </w:num>
  <w:num w:numId="135">
    <w:abstractNumId w:val="132"/>
  </w:num>
  <w:num w:numId="136">
    <w:abstractNumId w:val="58"/>
    <w:lvlOverride w:ilvl="0">
      <w:startOverride w:val="1"/>
    </w:lvlOverride>
  </w:num>
  <w:num w:numId="137">
    <w:abstractNumId w:val="108"/>
    <w:lvlOverride w:ilvl="0">
      <w:startOverride w:val="1"/>
    </w:lvlOverride>
  </w:num>
  <w:num w:numId="138">
    <w:abstractNumId w:val="131"/>
    <w:lvlOverride w:ilvl="0">
      <w:startOverride w:val="1"/>
    </w:lvlOverride>
  </w:num>
  <w:num w:numId="139">
    <w:abstractNumId w:val="137"/>
  </w:num>
  <w:num w:numId="140">
    <w:abstractNumId w:val="138"/>
  </w:num>
  <w:num w:numId="141">
    <w:abstractNumId w:val="139"/>
  </w:num>
  <w:num w:numId="142">
    <w:abstractNumId w:val="134"/>
  </w:num>
  <w:num w:numId="1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5"/>
  </w:num>
  <w:num w:numId="145">
    <w:abstractNumId w:val="136"/>
  </w:num>
  <w:num w:numId="146">
    <w:abstractNumId w:val="13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13051"/>
    <w:rsid w:val="00017DE6"/>
    <w:rsid w:val="00035AA3"/>
    <w:rsid w:val="00035FB4"/>
    <w:rsid w:val="00040D32"/>
    <w:rsid w:val="0004226D"/>
    <w:rsid w:val="00042691"/>
    <w:rsid w:val="00050022"/>
    <w:rsid w:val="0007055C"/>
    <w:rsid w:val="0008033F"/>
    <w:rsid w:val="000810BB"/>
    <w:rsid w:val="000A4DF8"/>
    <w:rsid w:val="000B7208"/>
    <w:rsid w:val="000C0E25"/>
    <w:rsid w:val="000C354E"/>
    <w:rsid w:val="000C3F6A"/>
    <w:rsid w:val="000D0C69"/>
    <w:rsid w:val="000D2AE5"/>
    <w:rsid w:val="000E2427"/>
    <w:rsid w:val="000F3AC9"/>
    <w:rsid w:val="000F7979"/>
    <w:rsid w:val="00100182"/>
    <w:rsid w:val="00100BF5"/>
    <w:rsid w:val="00103E51"/>
    <w:rsid w:val="00112209"/>
    <w:rsid w:val="00145386"/>
    <w:rsid w:val="001573DF"/>
    <w:rsid w:val="00162723"/>
    <w:rsid w:val="00167BA9"/>
    <w:rsid w:val="00175856"/>
    <w:rsid w:val="00181771"/>
    <w:rsid w:val="00190943"/>
    <w:rsid w:val="001912EA"/>
    <w:rsid w:val="00192AB3"/>
    <w:rsid w:val="00192C13"/>
    <w:rsid w:val="0019307E"/>
    <w:rsid w:val="001963CF"/>
    <w:rsid w:val="001973AB"/>
    <w:rsid w:val="00197647"/>
    <w:rsid w:val="001A0AD2"/>
    <w:rsid w:val="001A1BB5"/>
    <w:rsid w:val="001A3DB1"/>
    <w:rsid w:val="001A45A4"/>
    <w:rsid w:val="001A77E4"/>
    <w:rsid w:val="001C3625"/>
    <w:rsid w:val="001C4568"/>
    <w:rsid w:val="001E40F5"/>
    <w:rsid w:val="001F0BC8"/>
    <w:rsid w:val="002102E7"/>
    <w:rsid w:val="00215421"/>
    <w:rsid w:val="00217B6A"/>
    <w:rsid w:val="002244AC"/>
    <w:rsid w:val="002254D5"/>
    <w:rsid w:val="00226CD4"/>
    <w:rsid w:val="00230C09"/>
    <w:rsid w:val="002461E7"/>
    <w:rsid w:val="0025509D"/>
    <w:rsid w:val="00260C2F"/>
    <w:rsid w:val="00265EF6"/>
    <w:rsid w:val="0027520A"/>
    <w:rsid w:val="00295281"/>
    <w:rsid w:val="002A0D5B"/>
    <w:rsid w:val="002C2B45"/>
    <w:rsid w:val="002D090C"/>
    <w:rsid w:val="002D3FD0"/>
    <w:rsid w:val="002F07F9"/>
    <w:rsid w:val="002F14BD"/>
    <w:rsid w:val="002F2498"/>
    <w:rsid w:val="00314118"/>
    <w:rsid w:val="00326956"/>
    <w:rsid w:val="003311B6"/>
    <w:rsid w:val="00347CDE"/>
    <w:rsid w:val="00351861"/>
    <w:rsid w:val="00360E83"/>
    <w:rsid w:val="0036327D"/>
    <w:rsid w:val="0036376E"/>
    <w:rsid w:val="00376317"/>
    <w:rsid w:val="003843FA"/>
    <w:rsid w:val="00386C40"/>
    <w:rsid w:val="003A0B36"/>
    <w:rsid w:val="003B083F"/>
    <w:rsid w:val="003B1B94"/>
    <w:rsid w:val="003B473F"/>
    <w:rsid w:val="003B479C"/>
    <w:rsid w:val="003C2979"/>
    <w:rsid w:val="003C7F05"/>
    <w:rsid w:val="003D3258"/>
    <w:rsid w:val="003D6EF4"/>
    <w:rsid w:val="003E33F8"/>
    <w:rsid w:val="003F6114"/>
    <w:rsid w:val="0040783C"/>
    <w:rsid w:val="004226EF"/>
    <w:rsid w:val="004265F3"/>
    <w:rsid w:val="00432270"/>
    <w:rsid w:val="00443D2A"/>
    <w:rsid w:val="00450A2A"/>
    <w:rsid w:val="004553E8"/>
    <w:rsid w:val="00474F55"/>
    <w:rsid w:val="00483803"/>
    <w:rsid w:val="00494936"/>
    <w:rsid w:val="004962C8"/>
    <w:rsid w:val="004A429D"/>
    <w:rsid w:val="004B2B00"/>
    <w:rsid w:val="004C6C11"/>
    <w:rsid w:val="004D2A7A"/>
    <w:rsid w:val="004E2636"/>
    <w:rsid w:val="004E27F1"/>
    <w:rsid w:val="004E438F"/>
    <w:rsid w:val="004F7C32"/>
    <w:rsid w:val="00503BE9"/>
    <w:rsid w:val="005040A2"/>
    <w:rsid w:val="00522A46"/>
    <w:rsid w:val="00523374"/>
    <w:rsid w:val="0052473E"/>
    <w:rsid w:val="0053171D"/>
    <w:rsid w:val="00533015"/>
    <w:rsid w:val="005340E8"/>
    <w:rsid w:val="00541389"/>
    <w:rsid w:val="005443D7"/>
    <w:rsid w:val="00554012"/>
    <w:rsid w:val="0056165E"/>
    <w:rsid w:val="00573A79"/>
    <w:rsid w:val="005833AC"/>
    <w:rsid w:val="00585291"/>
    <w:rsid w:val="005877FF"/>
    <w:rsid w:val="00593046"/>
    <w:rsid w:val="00595EC4"/>
    <w:rsid w:val="005B5532"/>
    <w:rsid w:val="005C6D73"/>
    <w:rsid w:val="005E15A7"/>
    <w:rsid w:val="005E735C"/>
    <w:rsid w:val="005F1542"/>
    <w:rsid w:val="005F437E"/>
    <w:rsid w:val="00603422"/>
    <w:rsid w:val="006078B2"/>
    <w:rsid w:val="00615370"/>
    <w:rsid w:val="00620D21"/>
    <w:rsid w:val="006215B0"/>
    <w:rsid w:val="006232B1"/>
    <w:rsid w:val="00632095"/>
    <w:rsid w:val="00640224"/>
    <w:rsid w:val="00651A81"/>
    <w:rsid w:val="00661953"/>
    <w:rsid w:val="0066494C"/>
    <w:rsid w:val="0067611F"/>
    <w:rsid w:val="00690A92"/>
    <w:rsid w:val="006918CE"/>
    <w:rsid w:val="006926BB"/>
    <w:rsid w:val="006949F6"/>
    <w:rsid w:val="006A49F3"/>
    <w:rsid w:val="006A504D"/>
    <w:rsid w:val="006A554C"/>
    <w:rsid w:val="006C090D"/>
    <w:rsid w:val="006C17EA"/>
    <w:rsid w:val="006C1A97"/>
    <w:rsid w:val="006D0086"/>
    <w:rsid w:val="006E32B6"/>
    <w:rsid w:val="006F055D"/>
    <w:rsid w:val="006F1C20"/>
    <w:rsid w:val="006F7A09"/>
    <w:rsid w:val="00711051"/>
    <w:rsid w:val="00713318"/>
    <w:rsid w:val="00714F8A"/>
    <w:rsid w:val="00716B4F"/>
    <w:rsid w:val="007216E7"/>
    <w:rsid w:val="00733066"/>
    <w:rsid w:val="007332DF"/>
    <w:rsid w:val="007421F1"/>
    <w:rsid w:val="00763FA1"/>
    <w:rsid w:val="00764510"/>
    <w:rsid w:val="00766739"/>
    <w:rsid w:val="007671BC"/>
    <w:rsid w:val="0076751C"/>
    <w:rsid w:val="00770396"/>
    <w:rsid w:val="0079534F"/>
    <w:rsid w:val="007A2656"/>
    <w:rsid w:val="007A2FF8"/>
    <w:rsid w:val="007A53C8"/>
    <w:rsid w:val="007C49A8"/>
    <w:rsid w:val="007D2B7A"/>
    <w:rsid w:val="007F5897"/>
    <w:rsid w:val="00807610"/>
    <w:rsid w:val="0081359F"/>
    <w:rsid w:val="008247A6"/>
    <w:rsid w:val="00834F33"/>
    <w:rsid w:val="008441F8"/>
    <w:rsid w:val="00870ABB"/>
    <w:rsid w:val="00875BCD"/>
    <w:rsid w:val="00882E4A"/>
    <w:rsid w:val="00885859"/>
    <w:rsid w:val="008859B4"/>
    <w:rsid w:val="00886D94"/>
    <w:rsid w:val="008912C9"/>
    <w:rsid w:val="00897827"/>
    <w:rsid w:val="008A10A2"/>
    <w:rsid w:val="008A3040"/>
    <w:rsid w:val="008A5B21"/>
    <w:rsid w:val="008A780C"/>
    <w:rsid w:val="008B1464"/>
    <w:rsid w:val="008B50A4"/>
    <w:rsid w:val="008B6FF6"/>
    <w:rsid w:val="008C1856"/>
    <w:rsid w:val="008C3313"/>
    <w:rsid w:val="008C4EF9"/>
    <w:rsid w:val="008D15D2"/>
    <w:rsid w:val="008D2AEC"/>
    <w:rsid w:val="008D451E"/>
    <w:rsid w:val="008D7F32"/>
    <w:rsid w:val="008E1809"/>
    <w:rsid w:val="008F327E"/>
    <w:rsid w:val="00902EC8"/>
    <w:rsid w:val="00911600"/>
    <w:rsid w:val="00930EE9"/>
    <w:rsid w:val="00931FB3"/>
    <w:rsid w:val="00934035"/>
    <w:rsid w:val="00940F25"/>
    <w:rsid w:val="00941458"/>
    <w:rsid w:val="00943379"/>
    <w:rsid w:val="00943E91"/>
    <w:rsid w:val="00943F29"/>
    <w:rsid w:val="0095469A"/>
    <w:rsid w:val="00964760"/>
    <w:rsid w:val="009666B3"/>
    <w:rsid w:val="0098086E"/>
    <w:rsid w:val="00981030"/>
    <w:rsid w:val="009922A3"/>
    <w:rsid w:val="00993BB2"/>
    <w:rsid w:val="009B18A9"/>
    <w:rsid w:val="009C5A7D"/>
    <w:rsid w:val="009C7B67"/>
    <w:rsid w:val="009D1A3E"/>
    <w:rsid w:val="009D2B95"/>
    <w:rsid w:val="009D3500"/>
    <w:rsid w:val="009D7AE3"/>
    <w:rsid w:val="009E4DEE"/>
    <w:rsid w:val="00A011D1"/>
    <w:rsid w:val="00A10A37"/>
    <w:rsid w:val="00A124F9"/>
    <w:rsid w:val="00A12DCA"/>
    <w:rsid w:val="00A12F15"/>
    <w:rsid w:val="00A40504"/>
    <w:rsid w:val="00A44737"/>
    <w:rsid w:val="00A47EAA"/>
    <w:rsid w:val="00A641DD"/>
    <w:rsid w:val="00A81991"/>
    <w:rsid w:val="00A82944"/>
    <w:rsid w:val="00A8702A"/>
    <w:rsid w:val="00A90A55"/>
    <w:rsid w:val="00AB0472"/>
    <w:rsid w:val="00AB314B"/>
    <w:rsid w:val="00AB6D5F"/>
    <w:rsid w:val="00AB70EA"/>
    <w:rsid w:val="00AC40BE"/>
    <w:rsid w:val="00AE56DA"/>
    <w:rsid w:val="00AE7061"/>
    <w:rsid w:val="00AF0B6D"/>
    <w:rsid w:val="00AF43F2"/>
    <w:rsid w:val="00AF72CF"/>
    <w:rsid w:val="00B05D0A"/>
    <w:rsid w:val="00B34AE3"/>
    <w:rsid w:val="00B34B7C"/>
    <w:rsid w:val="00B3540D"/>
    <w:rsid w:val="00B36768"/>
    <w:rsid w:val="00B45002"/>
    <w:rsid w:val="00B54FAF"/>
    <w:rsid w:val="00B62539"/>
    <w:rsid w:val="00B673C0"/>
    <w:rsid w:val="00B9457D"/>
    <w:rsid w:val="00BA49ED"/>
    <w:rsid w:val="00BB0CD3"/>
    <w:rsid w:val="00BC1024"/>
    <w:rsid w:val="00BD2D3E"/>
    <w:rsid w:val="00BD3100"/>
    <w:rsid w:val="00BE2E36"/>
    <w:rsid w:val="00BF4F37"/>
    <w:rsid w:val="00C02DB6"/>
    <w:rsid w:val="00C03540"/>
    <w:rsid w:val="00C060DB"/>
    <w:rsid w:val="00C119D2"/>
    <w:rsid w:val="00C22915"/>
    <w:rsid w:val="00C31504"/>
    <w:rsid w:val="00C4191E"/>
    <w:rsid w:val="00C4647B"/>
    <w:rsid w:val="00C773A6"/>
    <w:rsid w:val="00C95235"/>
    <w:rsid w:val="00CA0778"/>
    <w:rsid w:val="00CC1371"/>
    <w:rsid w:val="00CC4AD1"/>
    <w:rsid w:val="00CC6B26"/>
    <w:rsid w:val="00CE28ED"/>
    <w:rsid w:val="00CE3912"/>
    <w:rsid w:val="00CF29F5"/>
    <w:rsid w:val="00D03D13"/>
    <w:rsid w:val="00D123CC"/>
    <w:rsid w:val="00D21CEE"/>
    <w:rsid w:val="00D40FBE"/>
    <w:rsid w:val="00D518EE"/>
    <w:rsid w:val="00D54056"/>
    <w:rsid w:val="00D6381B"/>
    <w:rsid w:val="00D6745F"/>
    <w:rsid w:val="00D7318C"/>
    <w:rsid w:val="00D74E97"/>
    <w:rsid w:val="00D74F19"/>
    <w:rsid w:val="00D75845"/>
    <w:rsid w:val="00D84886"/>
    <w:rsid w:val="00D84AF1"/>
    <w:rsid w:val="00D84E58"/>
    <w:rsid w:val="00DA0D4F"/>
    <w:rsid w:val="00DA2D7D"/>
    <w:rsid w:val="00DA7226"/>
    <w:rsid w:val="00DB43C2"/>
    <w:rsid w:val="00DC421C"/>
    <w:rsid w:val="00DD5B29"/>
    <w:rsid w:val="00DD5BD2"/>
    <w:rsid w:val="00DD6AC8"/>
    <w:rsid w:val="00DD6B51"/>
    <w:rsid w:val="00DE40FD"/>
    <w:rsid w:val="00DF0442"/>
    <w:rsid w:val="00DF1938"/>
    <w:rsid w:val="00DF28C6"/>
    <w:rsid w:val="00DF3B20"/>
    <w:rsid w:val="00DF7B97"/>
    <w:rsid w:val="00E100EB"/>
    <w:rsid w:val="00E107FB"/>
    <w:rsid w:val="00E13E76"/>
    <w:rsid w:val="00E15EE9"/>
    <w:rsid w:val="00E42B49"/>
    <w:rsid w:val="00E45B5D"/>
    <w:rsid w:val="00E50439"/>
    <w:rsid w:val="00E50D5B"/>
    <w:rsid w:val="00E51420"/>
    <w:rsid w:val="00E56E68"/>
    <w:rsid w:val="00E7130A"/>
    <w:rsid w:val="00E732A4"/>
    <w:rsid w:val="00E75094"/>
    <w:rsid w:val="00E83C76"/>
    <w:rsid w:val="00E85823"/>
    <w:rsid w:val="00E8590D"/>
    <w:rsid w:val="00E940CE"/>
    <w:rsid w:val="00E94A8E"/>
    <w:rsid w:val="00E95226"/>
    <w:rsid w:val="00EA003F"/>
    <w:rsid w:val="00EA010D"/>
    <w:rsid w:val="00EA521B"/>
    <w:rsid w:val="00EA5632"/>
    <w:rsid w:val="00EB0484"/>
    <w:rsid w:val="00EB15FE"/>
    <w:rsid w:val="00EC08AB"/>
    <w:rsid w:val="00EE0959"/>
    <w:rsid w:val="00EE7BAA"/>
    <w:rsid w:val="00EF2108"/>
    <w:rsid w:val="00EF5141"/>
    <w:rsid w:val="00EF71AA"/>
    <w:rsid w:val="00F00A12"/>
    <w:rsid w:val="00F034B0"/>
    <w:rsid w:val="00F06DA9"/>
    <w:rsid w:val="00F23C28"/>
    <w:rsid w:val="00F26CB3"/>
    <w:rsid w:val="00F43884"/>
    <w:rsid w:val="00F60632"/>
    <w:rsid w:val="00F60E6C"/>
    <w:rsid w:val="00F615AC"/>
    <w:rsid w:val="00F714F8"/>
    <w:rsid w:val="00F77666"/>
    <w:rsid w:val="00F81576"/>
    <w:rsid w:val="00F81DBD"/>
    <w:rsid w:val="00F82A69"/>
    <w:rsid w:val="00F965B7"/>
    <w:rsid w:val="00F96707"/>
    <w:rsid w:val="00FA11E2"/>
    <w:rsid w:val="00FA4577"/>
    <w:rsid w:val="00FB0640"/>
    <w:rsid w:val="00FB505A"/>
    <w:rsid w:val="00FC3138"/>
    <w:rsid w:val="00FD02BB"/>
    <w:rsid w:val="00FD570E"/>
    <w:rsid w:val="00FF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Expert Sans Regular" w:eastAsia="Expert Sans Regular" w:hAnsi="Expert Sans Regular" w:cs="Expert Sans Regular"/>
      <w:sz w:val="2"/>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BarcRA">
    <w:name w:val="Body Text - Barc RA"/>
    <w:link w:val="BodyText-BarcRAChar"/>
    <w:qFormat/>
    <w:rsid w:val="005D52ED"/>
    <w:pPr>
      <w:spacing w:before="180" w:after="180"/>
      <w:jc w:val="both"/>
    </w:pPr>
    <w:rPr>
      <w:rFonts w:ascii="Expert Sans Regular" w:hAnsi="Expert Sans Regular"/>
      <w:sz w:val="18"/>
      <w:lang w:eastAsia="en-US"/>
    </w:rPr>
  </w:style>
  <w:style w:type="character" w:customStyle="1" w:styleId="BodyText-BarcRAChar">
    <w:name w:val="Body Text - Barc RA Char"/>
    <w:basedOn w:val="DefaultParagraphFont"/>
    <w:link w:val="BodyText-BarcRA"/>
    <w:rsid w:val="005D52ED"/>
    <w:rPr>
      <w:rFonts w:ascii="Expert Sans Regular" w:hAnsi="Expert Sans Regular"/>
      <w:sz w:val="18"/>
      <w:lang w:val="en-GB" w:eastAsia="en-US" w:bidi="ar-SA"/>
    </w:rPr>
  </w:style>
  <w:style w:type="paragraph" w:customStyle="1" w:styleId="Normal0">
    <w:name w:val="Normal_0"/>
    <w:qFormat/>
    <w:rsid w:val="009705AC"/>
    <w:rPr>
      <w:rFonts w:ascii="Expert Sans Regular" w:hAnsi="Expert Sans Regular"/>
      <w:sz w:val="18"/>
      <w:szCs w:val="24"/>
      <w:lang w:eastAsia="en-US"/>
    </w:rPr>
  </w:style>
  <w:style w:type="paragraph" w:customStyle="1" w:styleId="MyLastParagraph">
    <w:name w:val="MyLastParagraph"/>
    <w:rPr>
      <w:sz w:val="4"/>
    </w:rPr>
  </w:style>
  <w:style w:type="paragraph" w:customStyle="1" w:styleId="Normal1">
    <w:name w:val="Normal_1"/>
    <w:qFormat/>
    <w:rsid w:val="009705AC"/>
    <w:rPr>
      <w:rFonts w:ascii="Expert Sans Regular" w:hAnsi="Expert Sans Regular"/>
      <w:sz w:val="18"/>
      <w:szCs w:val="24"/>
      <w:lang w:eastAsia="en-US"/>
    </w:rPr>
  </w:style>
  <w:style w:type="paragraph" w:customStyle="1" w:styleId="BodyText-BarcRA0">
    <w:name w:val="Body Text - Barc RA_0"/>
    <w:link w:val="BodyText-BarcRAChar0"/>
    <w:qFormat/>
    <w:rsid w:val="005D52ED"/>
    <w:pPr>
      <w:spacing w:before="180" w:after="180"/>
      <w:jc w:val="both"/>
    </w:pPr>
    <w:rPr>
      <w:rFonts w:ascii="Expert Sans Regular" w:hAnsi="Expert Sans Regular"/>
      <w:sz w:val="18"/>
      <w:lang w:eastAsia="en-US"/>
    </w:rPr>
  </w:style>
  <w:style w:type="character" w:customStyle="1" w:styleId="BodyText-BarcRAChar0">
    <w:name w:val="Body Text - Barc RA Char_0"/>
    <w:basedOn w:val="DefaultParagraphFont"/>
    <w:link w:val="BodyText-BarcRA0"/>
    <w:rsid w:val="005D52ED"/>
    <w:rPr>
      <w:rFonts w:ascii="Expert Sans Regular" w:hAnsi="Expert Sans Regular"/>
      <w:sz w:val="18"/>
      <w:lang w:val="en-GB" w:eastAsia="en-US" w:bidi="ar-SA"/>
    </w:rPr>
  </w:style>
  <w:style w:type="paragraph" w:customStyle="1" w:styleId="DocumentTitle-BarcRA">
    <w:name w:val="Document Title - Barc RA"/>
    <w:basedOn w:val="Normal1"/>
    <w:rsid w:val="00492E08"/>
    <w:pPr>
      <w:jc w:val="center"/>
    </w:pPr>
    <w:rPr>
      <w:b/>
      <w:bCs/>
      <w:sz w:val="48"/>
      <w:szCs w:val="20"/>
    </w:rPr>
  </w:style>
  <w:style w:type="paragraph" w:customStyle="1" w:styleId="DocumentTitleDetails-BarcRA">
    <w:name w:val="Document Title Details - Barc RA"/>
    <w:basedOn w:val="Normal1"/>
    <w:rsid w:val="00492E08"/>
    <w:pPr>
      <w:jc w:val="center"/>
    </w:pPr>
    <w:rPr>
      <w:sz w:val="24"/>
      <w:szCs w:val="20"/>
    </w:rPr>
  </w:style>
  <w:style w:type="paragraph" w:customStyle="1" w:styleId="BarclaysBodyText">
    <w:name w:val="Barclays Body Text"/>
    <w:link w:val="BarclaysBodyTextChar"/>
    <w:rsid w:val="00D056A7"/>
    <w:pPr>
      <w:spacing w:before="180" w:after="180"/>
      <w:jc w:val="both"/>
    </w:pPr>
    <w:rPr>
      <w:rFonts w:ascii="Barclays Serif" w:hAnsi="Barclays Serif"/>
      <w:sz w:val="18"/>
      <w:lang w:eastAsia="en-US"/>
    </w:rPr>
  </w:style>
  <w:style w:type="character" w:customStyle="1" w:styleId="BarclaysBodyTextChar">
    <w:name w:val="Barclays Body Text Char"/>
    <w:basedOn w:val="DefaultParagraphFont"/>
    <w:link w:val="BarclaysBodyText"/>
    <w:locked/>
    <w:rsid w:val="00D056A7"/>
    <w:rPr>
      <w:rFonts w:ascii="Barclays Serif" w:hAnsi="Barclays Serif"/>
      <w:sz w:val="18"/>
      <w:lang w:val="en-GB" w:eastAsia="en-US" w:bidi="ar-SA"/>
    </w:rPr>
  </w:style>
  <w:style w:type="paragraph" w:customStyle="1" w:styleId="Level1Bullet-BarcRA">
    <w:name w:val="Level 1 Bullet - Barc RA"/>
    <w:basedOn w:val="BodyText-BarcRA0"/>
    <w:link w:val="Level1Bullet-BarcRAChar"/>
    <w:qFormat/>
    <w:rsid w:val="00A85CEE"/>
    <w:pPr>
      <w:numPr>
        <w:numId w:val="1"/>
      </w:numPr>
    </w:pPr>
    <w:rPr>
      <w:lang w:val="la-Latn"/>
    </w:rPr>
  </w:style>
  <w:style w:type="character" w:customStyle="1" w:styleId="Level1Bullet-BarcRAChar">
    <w:name w:val="Level 1 Bullet - Barc RA Char"/>
    <w:basedOn w:val="BodyText-BarcRAChar0"/>
    <w:link w:val="Level1Bullet-BarcRA"/>
    <w:rsid w:val="00A85CEE"/>
    <w:rPr>
      <w:rFonts w:ascii="Expert Sans Regular" w:hAnsi="Expert Sans Regular"/>
      <w:sz w:val="18"/>
      <w:lang w:val="la-Latn" w:eastAsia="en-US" w:bidi="ar-SA"/>
    </w:rPr>
  </w:style>
  <w:style w:type="paragraph" w:customStyle="1" w:styleId="BodyText-BarcRA1">
    <w:name w:val="Body Text - Barc RA_1"/>
    <w:qFormat/>
    <w:rsid w:val="00F60A0D"/>
    <w:pPr>
      <w:spacing w:before="180" w:after="180"/>
      <w:jc w:val="both"/>
    </w:pPr>
    <w:rPr>
      <w:rFonts w:ascii="Expert Sans Regular" w:hAnsi="Expert Sans Regular"/>
      <w:sz w:val="18"/>
      <w:lang w:eastAsia="en-US"/>
    </w:rPr>
  </w:style>
  <w:style w:type="paragraph" w:customStyle="1" w:styleId="Normal2">
    <w:name w:val="Normal_2"/>
    <w:qFormat/>
    <w:rsid w:val="00F60A0D"/>
    <w:rPr>
      <w:rFonts w:ascii="Expert Sans Regular" w:hAnsi="Expert Sans Regular"/>
      <w:sz w:val="18"/>
      <w:szCs w:val="24"/>
      <w:lang w:eastAsia="en-US"/>
    </w:rPr>
  </w:style>
  <w:style w:type="paragraph" w:customStyle="1" w:styleId="HeadingLevel1-BarcRA">
    <w:name w:val="Heading Level 1 - Barc RA"/>
    <w:basedOn w:val="BodyText-BarcRA2"/>
    <w:next w:val="BodyText-BarcRA2"/>
    <w:link w:val="HeadingLevel1-BarcRAChar"/>
    <w:rsid w:val="002611B5"/>
    <w:pPr>
      <w:spacing w:before="0"/>
    </w:pPr>
    <w:rPr>
      <w:b/>
      <w:bCs/>
      <w:color w:val="000000"/>
      <w:sz w:val="24"/>
      <w:lang w:val="la-Latn"/>
    </w:rPr>
  </w:style>
  <w:style w:type="paragraph" w:customStyle="1" w:styleId="BodyText-BarcRA2">
    <w:name w:val="Body Text - Barc RA_2"/>
    <w:link w:val="BodyText-BarcRAChar1"/>
    <w:qFormat/>
    <w:rsid w:val="005D52ED"/>
    <w:pPr>
      <w:spacing w:before="180" w:after="180"/>
      <w:jc w:val="both"/>
    </w:pPr>
    <w:rPr>
      <w:rFonts w:ascii="Expert Sans Regular" w:hAnsi="Expert Sans Regular"/>
      <w:sz w:val="18"/>
      <w:lang w:eastAsia="en-US"/>
    </w:rPr>
  </w:style>
  <w:style w:type="character" w:customStyle="1" w:styleId="BodyText-BarcRAChar1">
    <w:name w:val="Body Text - Barc RA Char_1"/>
    <w:basedOn w:val="DefaultParagraphFont"/>
    <w:link w:val="BodyText-BarcRA2"/>
    <w:rsid w:val="005D52ED"/>
    <w:rPr>
      <w:rFonts w:ascii="Expert Sans Regular" w:hAnsi="Expert Sans Regular"/>
      <w:sz w:val="18"/>
      <w:lang w:val="en-GB" w:eastAsia="en-US" w:bidi="ar-SA"/>
    </w:rPr>
  </w:style>
  <w:style w:type="character" w:customStyle="1" w:styleId="HeadingLevel1-BarcRAChar">
    <w:name w:val="Heading Level 1 - Barc RA Char"/>
    <w:basedOn w:val="DefaultParagraphFont"/>
    <w:link w:val="HeadingLevel1-BarcRA"/>
    <w:rsid w:val="009705AC"/>
    <w:rPr>
      <w:rFonts w:ascii="Expert Sans Regular" w:hAnsi="Expert Sans Regular"/>
      <w:b/>
      <w:bCs/>
      <w:color w:val="000000"/>
      <w:sz w:val="24"/>
      <w:lang w:val="la-Latn"/>
    </w:rPr>
  </w:style>
  <w:style w:type="paragraph" w:customStyle="1" w:styleId="HeaderSpacerwithLine-BarcRA">
    <w:name w:val="Header Spacer with Line - Barc RA"/>
    <w:basedOn w:val="BodyText-BarcRA2"/>
    <w:link w:val="HeaderSpacerwithLine-BarcRAChar"/>
    <w:rsid w:val="00016DD8"/>
    <w:pPr>
      <w:pBdr>
        <w:top w:val="single" w:sz="4" w:space="1" w:color="auto"/>
      </w:pBdr>
      <w:spacing w:before="0" w:after="0"/>
    </w:pPr>
    <w:rPr>
      <w:sz w:val="10"/>
      <w:szCs w:val="10"/>
    </w:rPr>
  </w:style>
  <w:style w:type="character" w:customStyle="1" w:styleId="HeaderSpacerwithLine-BarcRAChar">
    <w:name w:val="Header Spacer with Line - Barc RA Char"/>
    <w:basedOn w:val="BodyText-BarcRAChar1"/>
    <w:link w:val="HeaderSpacerwithLine-BarcRA"/>
    <w:rsid w:val="000E2451"/>
    <w:rPr>
      <w:rFonts w:ascii="Expert Sans Regular" w:hAnsi="Expert Sans Regular"/>
      <w:sz w:val="10"/>
      <w:szCs w:val="10"/>
      <w:lang w:val="en-GB" w:eastAsia="en-US" w:bidi="ar-SA"/>
    </w:rPr>
  </w:style>
  <w:style w:type="paragraph" w:customStyle="1" w:styleId="Level1Bullet-BarcRA0">
    <w:name w:val="Level 1 Bullet - Barc RA_0"/>
    <w:basedOn w:val="BodyText-BarcRA2"/>
    <w:link w:val="Level1Bullet-BarcRAChar0"/>
    <w:qFormat/>
    <w:rsid w:val="00A85CEE"/>
    <w:pPr>
      <w:numPr>
        <w:numId w:val="2"/>
      </w:numPr>
    </w:pPr>
    <w:rPr>
      <w:lang w:val="la-Latn"/>
    </w:rPr>
  </w:style>
  <w:style w:type="character" w:customStyle="1" w:styleId="Level1Bullet-BarcRAChar0">
    <w:name w:val="Level 1 Bullet - Barc RA Char_0"/>
    <w:basedOn w:val="BodyText-BarcRAChar1"/>
    <w:link w:val="Level1Bullet-BarcRA0"/>
    <w:rsid w:val="00A85CEE"/>
    <w:rPr>
      <w:rFonts w:ascii="Expert Sans Regular" w:hAnsi="Expert Sans Regular"/>
      <w:sz w:val="18"/>
      <w:lang w:val="la-Latn" w:eastAsia="en-US" w:bidi="ar-SA"/>
    </w:rPr>
  </w:style>
  <w:style w:type="paragraph" w:customStyle="1" w:styleId="Level2Bullet-BarcRA">
    <w:name w:val="Level 2 Bullet - Barc RA"/>
    <w:basedOn w:val="Level1Bullet-BarcRA0"/>
    <w:qFormat/>
    <w:rsid w:val="007049EF"/>
    <w:pPr>
      <w:numPr>
        <w:ilvl w:val="2"/>
        <w:numId w:val="3"/>
      </w:numPr>
      <w:tabs>
        <w:tab w:val="left" w:pos="567"/>
      </w:tabs>
    </w:pPr>
  </w:style>
  <w:style w:type="paragraph" w:customStyle="1" w:styleId="TableFormat-BarcRA">
    <w:name w:val="Table Format - Barc RA"/>
    <w:basedOn w:val="BodyText-BarcRA2"/>
    <w:qFormat/>
    <w:rsid w:val="006D068D"/>
    <w:pPr>
      <w:spacing w:before="15" w:after="15"/>
      <w:jc w:val="left"/>
    </w:pPr>
    <w:rPr>
      <w:sz w:val="16"/>
      <w:lang w:eastAsia="en-GB"/>
    </w:rPr>
  </w:style>
  <w:style w:type="paragraph" w:customStyle="1" w:styleId="Special1-BarcRA">
    <w:name w:val="Special 1 - Barc RA"/>
    <w:basedOn w:val="BodyText-BarcRA2"/>
    <w:rsid w:val="00B87FAE"/>
    <w:pPr>
      <w:jc w:val="center"/>
    </w:pPr>
    <w:rPr>
      <w:sz w:val="12"/>
    </w:rPr>
  </w:style>
  <w:style w:type="paragraph" w:customStyle="1" w:styleId="HeadingLevel1-BarcRA0">
    <w:name w:val="Heading Level 1 - Barc RA_0"/>
    <w:basedOn w:val="BodyText-BarcRA3"/>
    <w:next w:val="BodyText-BarcRA3"/>
    <w:rsid w:val="00B168CB"/>
    <w:pPr>
      <w:spacing w:before="0"/>
    </w:pPr>
    <w:rPr>
      <w:b/>
      <w:bCs/>
      <w:color w:val="000000"/>
      <w:sz w:val="24"/>
      <w:lang w:val="la-Latn"/>
    </w:rPr>
  </w:style>
  <w:style w:type="paragraph" w:customStyle="1" w:styleId="BodyText-BarcRA3">
    <w:name w:val="Body Text - Barc RA_3"/>
    <w:link w:val="BodyText-BarcRAChar2"/>
    <w:qFormat/>
    <w:rsid w:val="00B168CB"/>
    <w:pPr>
      <w:spacing w:before="180" w:after="180"/>
      <w:jc w:val="both"/>
    </w:pPr>
    <w:rPr>
      <w:rFonts w:ascii="Expert Sans Regular" w:hAnsi="Expert Sans Regular"/>
      <w:sz w:val="18"/>
      <w:lang w:eastAsia="en-US"/>
    </w:rPr>
  </w:style>
  <w:style w:type="character" w:customStyle="1" w:styleId="BodyText-BarcRAChar2">
    <w:name w:val="Body Text - Barc RA Char_2"/>
    <w:basedOn w:val="DefaultParagraphFont"/>
    <w:link w:val="BodyText-BarcRA3"/>
    <w:rsid w:val="0048648E"/>
    <w:rPr>
      <w:rFonts w:ascii="Expert Sans Regular" w:hAnsi="Expert Sans Regular"/>
      <w:sz w:val="18"/>
      <w:lang w:val="en-GB" w:eastAsia="en-US" w:bidi="ar-SA"/>
    </w:rPr>
  </w:style>
  <w:style w:type="paragraph" w:customStyle="1" w:styleId="HeaderSpacerwithLine-BarcRA0">
    <w:name w:val="Header Spacer with Line - Barc RA_0"/>
    <w:basedOn w:val="BodyText-BarcRA3"/>
    <w:rsid w:val="00B168CB"/>
    <w:pPr>
      <w:pBdr>
        <w:top w:val="single" w:sz="4" w:space="1" w:color="auto"/>
      </w:pBdr>
      <w:spacing w:before="0" w:after="0"/>
    </w:pPr>
    <w:rPr>
      <w:sz w:val="10"/>
      <w:szCs w:val="10"/>
    </w:rPr>
  </w:style>
  <w:style w:type="paragraph" w:customStyle="1" w:styleId="ForwardCommentary-BarcRA">
    <w:name w:val="Forward Commentary - Barc RA"/>
    <w:basedOn w:val="BodyText-BarcRA3"/>
    <w:rsid w:val="00B168CB"/>
    <w:rPr>
      <w:sz w:val="16"/>
    </w:rPr>
  </w:style>
  <w:style w:type="paragraph" w:customStyle="1" w:styleId="BodyText-BarcRA30">
    <w:name w:val="Body Text - Barc RA_3_0"/>
    <w:link w:val="BodyText-BarcRAChar20"/>
    <w:qFormat/>
    <w:rsid w:val="00D01859"/>
    <w:pPr>
      <w:spacing w:before="180" w:after="180"/>
      <w:jc w:val="both"/>
    </w:pPr>
    <w:rPr>
      <w:rFonts w:ascii="Expert Sans Regular" w:hAnsi="Expert Sans Regular"/>
      <w:sz w:val="18"/>
      <w:lang w:eastAsia="en-US"/>
    </w:rPr>
  </w:style>
  <w:style w:type="character" w:customStyle="1" w:styleId="BodyText-BarcRAChar20">
    <w:name w:val="Body Text - Barc RA Char_2_0"/>
    <w:basedOn w:val="DefaultParagraphFont"/>
    <w:link w:val="BodyText-BarcRA30"/>
    <w:rsid w:val="00D01859"/>
    <w:rPr>
      <w:rFonts w:ascii="Expert Sans Regular" w:hAnsi="Expert Sans Regular"/>
      <w:sz w:val="18"/>
      <w:lang w:val="en-GB" w:eastAsia="en-US" w:bidi="ar-SA"/>
    </w:rPr>
  </w:style>
  <w:style w:type="paragraph" w:customStyle="1" w:styleId="Normal3">
    <w:name w:val="Normal_3"/>
    <w:qFormat/>
    <w:rsid w:val="00C2739D"/>
    <w:rPr>
      <w:rFonts w:ascii="Expert Sans Regular" w:hAnsi="Expert Sans Regular"/>
      <w:sz w:val="18"/>
      <w:szCs w:val="24"/>
      <w:lang w:eastAsia="en-US"/>
    </w:rPr>
  </w:style>
  <w:style w:type="paragraph" w:customStyle="1" w:styleId="HeadingLevel1-BarcRA1">
    <w:name w:val="Heading Level 1 - Barc RA_1"/>
    <w:basedOn w:val="Normal4"/>
    <w:next w:val="Normal4"/>
    <w:rsid w:val="00951185"/>
    <w:pPr>
      <w:spacing w:after="180"/>
      <w:jc w:val="both"/>
    </w:pPr>
    <w:rPr>
      <w:rFonts w:ascii="Expert Sans Regular" w:hAnsi="Expert Sans Regular"/>
      <w:b/>
      <w:bCs/>
      <w:color w:val="000000"/>
      <w:szCs w:val="20"/>
      <w:lang w:val="la-Latn" w:eastAsia="en-US"/>
    </w:rPr>
  </w:style>
  <w:style w:type="paragraph" w:customStyle="1" w:styleId="Normal4">
    <w:name w:val="Normal_4"/>
    <w:qFormat/>
    <w:rsid w:val="00772C0C"/>
    <w:rPr>
      <w:sz w:val="24"/>
      <w:szCs w:val="24"/>
    </w:rPr>
  </w:style>
  <w:style w:type="paragraph" w:customStyle="1" w:styleId="HeaderSpacerwithLine-BarcRA1">
    <w:name w:val="Header Spacer with Line - Barc RA_1"/>
    <w:basedOn w:val="Normal4"/>
    <w:rsid w:val="00951185"/>
    <w:pPr>
      <w:pBdr>
        <w:top w:val="single" w:sz="4" w:space="1" w:color="auto"/>
      </w:pBdr>
      <w:jc w:val="both"/>
    </w:pPr>
    <w:rPr>
      <w:rFonts w:ascii="Expert Sans Regular" w:hAnsi="Expert Sans Regular"/>
      <w:sz w:val="10"/>
      <w:szCs w:val="10"/>
      <w:lang w:eastAsia="en-US"/>
    </w:rPr>
  </w:style>
  <w:style w:type="paragraph" w:customStyle="1" w:styleId="BodyText-BarcRA4">
    <w:name w:val="Body Text - Barc RA_4"/>
    <w:qFormat/>
    <w:rsid w:val="007A0707"/>
    <w:pPr>
      <w:spacing w:before="180" w:after="180"/>
      <w:jc w:val="both"/>
    </w:pPr>
    <w:rPr>
      <w:rFonts w:ascii="Expert Sans Regular" w:hAnsi="Expert Sans Regular"/>
      <w:sz w:val="18"/>
      <w:lang w:eastAsia="en-US"/>
    </w:rPr>
  </w:style>
  <w:style w:type="paragraph" w:customStyle="1" w:styleId="Normal5">
    <w:name w:val="Normal_5"/>
    <w:qFormat/>
    <w:rsid w:val="007A0707"/>
    <w:rPr>
      <w:rFonts w:ascii="Expert Sans Regular" w:hAnsi="Expert Sans Regular"/>
      <w:sz w:val="18"/>
      <w:szCs w:val="24"/>
      <w:lang w:eastAsia="en-US"/>
    </w:rPr>
  </w:style>
  <w:style w:type="paragraph" w:customStyle="1" w:styleId="Normal6">
    <w:name w:val="Normal_6"/>
    <w:qFormat/>
    <w:rsid w:val="00435B3F"/>
    <w:rPr>
      <w:rFonts w:ascii="Expert Sans Regular" w:hAnsi="Expert Sans Regular"/>
      <w:sz w:val="18"/>
      <w:szCs w:val="24"/>
      <w:lang w:eastAsia="en-US"/>
    </w:rPr>
  </w:style>
  <w:style w:type="paragraph" w:customStyle="1" w:styleId="Normal60">
    <w:name w:val="Normal_6_0"/>
    <w:qFormat/>
    <w:rsid w:val="00235AA0"/>
    <w:rPr>
      <w:rFonts w:ascii="Expert Sans Regular" w:hAnsi="Expert Sans Regular"/>
      <w:sz w:val="18"/>
      <w:szCs w:val="24"/>
      <w:lang w:eastAsia="en-US"/>
    </w:rPr>
  </w:style>
  <w:style w:type="paragraph" w:customStyle="1" w:styleId="Level1Bullet-BarcRA1">
    <w:name w:val="Level 1 Bullet - Barc RA_1"/>
    <w:basedOn w:val="Normal6"/>
    <w:rsid w:val="007B7155"/>
    <w:pPr>
      <w:numPr>
        <w:numId w:val="4"/>
      </w:numPr>
      <w:spacing w:before="180" w:after="180"/>
      <w:jc w:val="both"/>
    </w:pPr>
    <w:rPr>
      <w:szCs w:val="20"/>
      <w:lang w:val="la-Latn"/>
    </w:rPr>
  </w:style>
  <w:style w:type="paragraph" w:customStyle="1" w:styleId="Level1Bullet-BarcRA11">
    <w:name w:val="Level 1 Bullet - Barc RA_11"/>
    <w:basedOn w:val="Normal6"/>
    <w:rsid w:val="007B7155"/>
    <w:pPr>
      <w:numPr>
        <w:numId w:val="5"/>
      </w:numPr>
      <w:spacing w:before="180" w:after="180"/>
      <w:jc w:val="both"/>
    </w:pPr>
    <w:rPr>
      <w:rFonts w:eastAsia="Calibri"/>
      <w:szCs w:val="18"/>
      <w:lang w:eastAsia="en-GB"/>
    </w:rPr>
  </w:style>
  <w:style w:type="paragraph" w:customStyle="1" w:styleId="Normal7">
    <w:name w:val="Normal_7"/>
    <w:qFormat/>
    <w:rsid w:val="00772C0C"/>
    <w:rPr>
      <w:sz w:val="24"/>
      <w:szCs w:val="24"/>
    </w:rPr>
  </w:style>
  <w:style w:type="paragraph" w:customStyle="1" w:styleId="HeadingLevel1-BarcRA2">
    <w:name w:val="Heading Level 1 - Barc RA_2"/>
    <w:basedOn w:val="BodyText-BarcRA5"/>
    <w:next w:val="BodyText-BarcRA5"/>
    <w:rsid w:val="005530F1"/>
    <w:pPr>
      <w:spacing w:before="0"/>
    </w:pPr>
    <w:rPr>
      <w:b/>
      <w:bCs/>
      <w:color w:val="000000"/>
      <w:sz w:val="24"/>
      <w:lang w:val="la-Latn"/>
    </w:rPr>
  </w:style>
  <w:style w:type="paragraph" w:customStyle="1" w:styleId="BodyText-BarcRA5">
    <w:name w:val="Body Text - Barc RA_5"/>
    <w:qFormat/>
    <w:rsid w:val="005530F1"/>
    <w:pPr>
      <w:spacing w:before="180" w:after="180"/>
      <w:jc w:val="both"/>
    </w:pPr>
    <w:rPr>
      <w:rFonts w:ascii="Expert Sans Regular" w:hAnsi="Expert Sans Regular"/>
      <w:sz w:val="18"/>
      <w:lang w:eastAsia="en-US"/>
    </w:rPr>
  </w:style>
  <w:style w:type="paragraph" w:customStyle="1" w:styleId="HeaderSpacerwithLine-BarcRA2">
    <w:name w:val="Header Spacer with Line - Barc RA_2"/>
    <w:basedOn w:val="BodyText-BarcRA5"/>
    <w:rsid w:val="005530F1"/>
    <w:pPr>
      <w:pBdr>
        <w:top w:val="single" w:sz="4" w:space="1" w:color="auto"/>
      </w:pBdr>
      <w:spacing w:before="0" w:after="0"/>
    </w:pPr>
    <w:rPr>
      <w:sz w:val="10"/>
      <w:szCs w:val="10"/>
    </w:rPr>
  </w:style>
  <w:style w:type="paragraph" w:customStyle="1" w:styleId="HeadingLevel1-BarcRA20">
    <w:name w:val="Heading Level 1 - Barc RA_2_0"/>
    <w:basedOn w:val="Normal40"/>
    <w:next w:val="Normal40"/>
    <w:rsid w:val="004F59CD"/>
    <w:pPr>
      <w:spacing w:after="180"/>
      <w:jc w:val="both"/>
    </w:pPr>
    <w:rPr>
      <w:b/>
      <w:bCs/>
      <w:color w:val="000000"/>
      <w:sz w:val="24"/>
      <w:szCs w:val="20"/>
      <w:lang w:val="la-Latn"/>
    </w:rPr>
  </w:style>
  <w:style w:type="paragraph" w:customStyle="1" w:styleId="Normal40">
    <w:name w:val="Normal_4_0"/>
    <w:qFormat/>
    <w:rsid w:val="004F59CD"/>
    <w:rPr>
      <w:rFonts w:ascii="Expert Sans Regular" w:hAnsi="Expert Sans Regular"/>
      <w:sz w:val="18"/>
      <w:szCs w:val="24"/>
      <w:lang w:eastAsia="en-US"/>
    </w:rPr>
  </w:style>
  <w:style w:type="paragraph" w:customStyle="1" w:styleId="Normal400">
    <w:name w:val="Normal_4_0_0"/>
    <w:qFormat/>
    <w:rsid w:val="00DB4F91"/>
    <w:rPr>
      <w:rFonts w:ascii="Expert Sans Regular" w:hAnsi="Expert Sans Regular"/>
      <w:sz w:val="18"/>
      <w:szCs w:val="24"/>
      <w:lang w:eastAsia="en-US"/>
    </w:rPr>
  </w:style>
  <w:style w:type="paragraph" w:customStyle="1" w:styleId="BodyText-BarcRA6">
    <w:name w:val="Body Text - Barc RA_6"/>
    <w:link w:val="BodyText-BarcRAChar3"/>
    <w:qFormat/>
    <w:rsid w:val="003244D3"/>
    <w:pPr>
      <w:spacing w:before="180" w:after="180"/>
      <w:jc w:val="both"/>
    </w:pPr>
    <w:rPr>
      <w:rFonts w:ascii="Expert Sans Regular" w:eastAsia="Expert Sans Regular" w:hAnsi="Expert Sans Regular" w:cs="Expert Sans Regular"/>
      <w:sz w:val="18"/>
      <w:szCs w:val="18"/>
      <w:lang w:eastAsia="en-US"/>
    </w:rPr>
  </w:style>
  <w:style w:type="character" w:customStyle="1" w:styleId="BodyText-BarcRAChar3">
    <w:name w:val="Body Text - Barc RA Char_3"/>
    <w:basedOn w:val="DefaultParagraphFont"/>
    <w:link w:val="BodyText-BarcRA6"/>
    <w:locked/>
    <w:rsid w:val="003244D3"/>
    <w:rPr>
      <w:rFonts w:ascii="Expert Sans Regular" w:eastAsia="Expert Sans Regular" w:hAnsi="Expert Sans Regular" w:cs="Expert Sans Regular"/>
      <w:sz w:val="18"/>
      <w:szCs w:val="18"/>
      <w:lang w:val="en-GB" w:eastAsia="en-US" w:bidi="ar-SA"/>
    </w:rPr>
  </w:style>
  <w:style w:type="paragraph" w:customStyle="1" w:styleId="HeadingLevel1-BarcRA3">
    <w:name w:val="Heading Level 1 - Barc RA_3"/>
    <w:basedOn w:val="BodyText-BarcRA7"/>
    <w:next w:val="BodyText-BarcRA7"/>
    <w:rsid w:val="00C747B7"/>
    <w:pPr>
      <w:spacing w:before="0"/>
    </w:pPr>
    <w:rPr>
      <w:b/>
      <w:bCs/>
      <w:color w:val="000000"/>
      <w:sz w:val="24"/>
      <w:lang w:val="la-Latn"/>
    </w:rPr>
  </w:style>
  <w:style w:type="paragraph" w:customStyle="1" w:styleId="BodyText-BarcRA7">
    <w:name w:val="Body Text - Barc RA_7"/>
    <w:qFormat/>
    <w:rsid w:val="00C747B7"/>
    <w:pPr>
      <w:spacing w:before="180" w:after="180"/>
      <w:jc w:val="both"/>
    </w:pPr>
    <w:rPr>
      <w:rFonts w:ascii="Expert Sans Regular" w:hAnsi="Expert Sans Regular"/>
      <w:sz w:val="18"/>
      <w:lang w:eastAsia="en-US"/>
    </w:rPr>
  </w:style>
  <w:style w:type="paragraph" w:customStyle="1" w:styleId="HeaderSpacerwithLine-BarcRA3">
    <w:name w:val="Header Spacer with Line - Barc RA_3"/>
    <w:basedOn w:val="BodyText-BarcRA7"/>
    <w:rsid w:val="00C747B7"/>
    <w:pPr>
      <w:pBdr>
        <w:top w:val="single" w:sz="4" w:space="1" w:color="auto"/>
      </w:pBdr>
      <w:spacing w:before="0" w:after="0"/>
    </w:pPr>
    <w:rPr>
      <w:sz w:val="10"/>
      <w:szCs w:val="10"/>
    </w:rPr>
  </w:style>
  <w:style w:type="paragraph" w:customStyle="1" w:styleId="BodyText-BarcRA91">
    <w:name w:val="Body Text - Barc RA_9_1"/>
    <w:link w:val="BodyText-BarcRAChar400"/>
    <w:qFormat/>
    <w:rsid w:val="007B5B26"/>
    <w:pPr>
      <w:spacing w:before="180" w:after="180"/>
      <w:jc w:val="both"/>
    </w:pPr>
    <w:rPr>
      <w:rFonts w:ascii="Expert Sans Regular" w:hAnsi="Expert Sans Regular"/>
      <w:sz w:val="18"/>
      <w:lang w:eastAsia="en-US"/>
    </w:rPr>
  </w:style>
  <w:style w:type="character" w:customStyle="1" w:styleId="BodyText-BarcRAChar400">
    <w:name w:val="Body Text - Barc RA Char_4_0_0"/>
    <w:basedOn w:val="DefaultParagraphFont"/>
    <w:link w:val="BodyText-BarcRA91"/>
    <w:locked/>
    <w:rsid w:val="007B5B26"/>
    <w:rPr>
      <w:rFonts w:ascii="Expert Sans Regular" w:hAnsi="Expert Sans Regular"/>
      <w:sz w:val="18"/>
      <w:lang w:val="en-GB" w:eastAsia="en-US" w:bidi="ar-SA"/>
    </w:rPr>
  </w:style>
  <w:style w:type="paragraph" w:customStyle="1" w:styleId="HeadingLevel1-BarcRA7">
    <w:name w:val="Heading Level 1 - Barc RA_7"/>
    <w:basedOn w:val="Normal8"/>
    <w:next w:val="Normal8"/>
    <w:link w:val="HeadingLevel1-BarcRAChar0"/>
    <w:rsid w:val="0084588A"/>
    <w:pPr>
      <w:spacing w:after="180"/>
      <w:jc w:val="both"/>
    </w:pPr>
    <w:rPr>
      <w:b/>
      <w:bCs/>
      <w:color w:val="000000"/>
      <w:sz w:val="24"/>
      <w:szCs w:val="20"/>
      <w:lang w:val="la-Latn"/>
    </w:rPr>
  </w:style>
  <w:style w:type="paragraph" w:customStyle="1" w:styleId="Normal8">
    <w:name w:val="Normal_8"/>
    <w:qFormat/>
    <w:rsid w:val="00130880"/>
    <w:rPr>
      <w:rFonts w:ascii="Expert Sans Regular" w:hAnsi="Expert Sans Regular"/>
      <w:sz w:val="18"/>
      <w:szCs w:val="24"/>
      <w:lang w:eastAsia="en-US"/>
    </w:rPr>
  </w:style>
  <w:style w:type="character" w:customStyle="1" w:styleId="HeadingLevel1-BarcRAChar0">
    <w:name w:val="Heading Level 1 - Barc RA Char_0"/>
    <w:basedOn w:val="DefaultParagraphFont"/>
    <w:link w:val="HeadingLevel1-BarcRA7"/>
    <w:locked/>
    <w:rsid w:val="007B5B26"/>
    <w:rPr>
      <w:rFonts w:ascii="Expert Sans Regular" w:hAnsi="Expert Sans Regular"/>
      <w:b/>
      <w:bCs/>
      <w:color w:val="000000"/>
      <w:sz w:val="24"/>
      <w:lang w:val="la-Latn" w:eastAsia="en-US"/>
    </w:rPr>
  </w:style>
  <w:style w:type="paragraph" w:customStyle="1" w:styleId="Level1Bullet-BarcRA03">
    <w:name w:val="Level 1 Bullet - Barc RA_0_3"/>
    <w:basedOn w:val="Normal8"/>
    <w:rsid w:val="007B5B26"/>
    <w:pPr>
      <w:numPr>
        <w:numId w:val="7"/>
      </w:numPr>
      <w:spacing w:before="180" w:after="180"/>
      <w:jc w:val="both"/>
    </w:pPr>
    <w:rPr>
      <w:szCs w:val="20"/>
      <w:lang w:val="la-Latn"/>
    </w:rPr>
  </w:style>
  <w:style w:type="paragraph" w:customStyle="1" w:styleId="Level2Bullet-BarcRA2">
    <w:name w:val="Level 2 Bullet - Barc RA_2"/>
    <w:basedOn w:val="Normal8"/>
    <w:qFormat/>
    <w:rsid w:val="007B5B26"/>
    <w:pPr>
      <w:numPr>
        <w:ilvl w:val="2"/>
        <w:numId w:val="8"/>
      </w:numPr>
      <w:spacing w:before="180" w:after="180"/>
      <w:jc w:val="both"/>
    </w:pPr>
    <w:rPr>
      <w:szCs w:val="20"/>
      <w:lang w:val="la-Latn"/>
    </w:rPr>
  </w:style>
  <w:style w:type="paragraph" w:customStyle="1" w:styleId="Level1Bullet-BarcRA02">
    <w:name w:val="Level 1 Bullet - Barc RA_0_2"/>
    <w:basedOn w:val="Normal8"/>
    <w:rsid w:val="007B5B26"/>
    <w:pPr>
      <w:numPr>
        <w:numId w:val="10"/>
      </w:numPr>
      <w:spacing w:before="180" w:after="180"/>
      <w:jc w:val="both"/>
    </w:pPr>
    <w:rPr>
      <w:szCs w:val="20"/>
      <w:lang w:val="la-Latn"/>
    </w:rPr>
  </w:style>
  <w:style w:type="paragraph" w:customStyle="1" w:styleId="HeadingLevel1-BarcRA4">
    <w:name w:val="Heading Level 1 - Barc RA_4"/>
    <w:basedOn w:val="BodyText-BarcRA8"/>
    <w:next w:val="BodyText-BarcRA8"/>
    <w:link w:val="HeadingLevel1-BarcRAChar1"/>
    <w:rsid w:val="00130880"/>
    <w:pPr>
      <w:spacing w:before="0"/>
    </w:pPr>
    <w:rPr>
      <w:b/>
      <w:bCs/>
      <w:color w:val="000000"/>
      <w:sz w:val="24"/>
      <w:lang w:val="la-Latn"/>
    </w:rPr>
  </w:style>
  <w:style w:type="paragraph" w:customStyle="1" w:styleId="BodyText-BarcRA8">
    <w:name w:val="Body Text - Barc RA_8"/>
    <w:qFormat/>
    <w:rsid w:val="00130880"/>
    <w:pPr>
      <w:spacing w:before="180" w:after="180"/>
      <w:jc w:val="both"/>
    </w:pPr>
    <w:rPr>
      <w:rFonts w:ascii="Expert Sans Regular" w:hAnsi="Expert Sans Regular"/>
      <w:sz w:val="18"/>
      <w:lang w:eastAsia="en-US"/>
    </w:rPr>
  </w:style>
  <w:style w:type="character" w:customStyle="1" w:styleId="HeadingLevel1-BarcRAChar1">
    <w:name w:val="Heading Level 1 - Barc RA Char_1"/>
    <w:basedOn w:val="DefaultParagraphFont"/>
    <w:link w:val="HeadingLevel1-BarcRA4"/>
    <w:rsid w:val="00AC3BF6"/>
    <w:rPr>
      <w:rFonts w:ascii="Expert Sans Regular" w:hAnsi="Expert Sans Regular"/>
      <w:b/>
      <w:bCs/>
      <w:color w:val="000000"/>
      <w:sz w:val="24"/>
      <w:lang w:val="la-Latn" w:eastAsia="en-US"/>
    </w:rPr>
  </w:style>
  <w:style w:type="paragraph" w:customStyle="1" w:styleId="Level1Bullet-BarcRA2">
    <w:name w:val="Level 1 Bullet - Barc RA_2"/>
    <w:basedOn w:val="BodyText-BarcRA8"/>
    <w:link w:val="Level1Bullet-BarcRAChar1"/>
    <w:qFormat/>
    <w:rsid w:val="00130880"/>
    <w:pPr>
      <w:numPr>
        <w:numId w:val="11"/>
      </w:numPr>
    </w:pPr>
    <w:rPr>
      <w:lang w:val="la-Latn"/>
    </w:rPr>
  </w:style>
  <w:style w:type="character" w:customStyle="1" w:styleId="Level1Bullet-BarcRAChar1">
    <w:name w:val="Level 1 Bullet - Barc RA Char_1"/>
    <w:basedOn w:val="DefaultParagraphFont"/>
    <w:link w:val="Level1Bullet-BarcRA2"/>
    <w:rsid w:val="00AC3BF6"/>
    <w:rPr>
      <w:rFonts w:ascii="Expert Sans Regular" w:hAnsi="Expert Sans Regular"/>
      <w:sz w:val="18"/>
      <w:lang w:val="la-Latn" w:eastAsia="en-US"/>
    </w:rPr>
  </w:style>
  <w:style w:type="paragraph" w:customStyle="1" w:styleId="HeadingLevel1-BarcRA5">
    <w:name w:val="Heading Level 1 - Barc RA_5"/>
    <w:basedOn w:val="BodyText-BarcRA9"/>
    <w:next w:val="BodyText-BarcRA9"/>
    <w:rsid w:val="00130880"/>
    <w:pPr>
      <w:spacing w:before="0"/>
    </w:pPr>
    <w:rPr>
      <w:b/>
      <w:bCs/>
      <w:color w:val="000000"/>
      <w:sz w:val="24"/>
      <w:lang w:val="la-Latn"/>
    </w:rPr>
  </w:style>
  <w:style w:type="paragraph" w:customStyle="1" w:styleId="BodyText-BarcRA9">
    <w:name w:val="Body Text - Barc RA_9"/>
    <w:qFormat/>
    <w:rsid w:val="00130880"/>
    <w:pPr>
      <w:spacing w:before="180" w:after="180"/>
      <w:jc w:val="both"/>
    </w:pPr>
    <w:rPr>
      <w:rFonts w:ascii="Expert Sans Regular" w:hAnsi="Expert Sans Regular"/>
      <w:sz w:val="18"/>
      <w:lang w:eastAsia="en-US"/>
    </w:rPr>
  </w:style>
  <w:style w:type="paragraph" w:customStyle="1" w:styleId="Level1Bullet-BarcRA3">
    <w:name w:val="Level 1 Bullet - Barc RA_3"/>
    <w:basedOn w:val="BodyText-BarcRA9"/>
    <w:link w:val="Level1Bullet-BarcRAChar2"/>
    <w:qFormat/>
    <w:rsid w:val="00130880"/>
    <w:pPr>
      <w:numPr>
        <w:numId w:val="12"/>
      </w:numPr>
    </w:pPr>
    <w:rPr>
      <w:lang w:val="la-Latn"/>
    </w:rPr>
  </w:style>
  <w:style w:type="character" w:customStyle="1" w:styleId="Level1Bullet-BarcRAChar2">
    <w:name w:val="Level 1 Bullet - Barc RA Char_2"/>
    <w:basedOn w:val="DefaultParagraphFont"/>
    <w:link w:val="Level1Bullet-BarcRA3"/>
    <w:rsid w:val="002A4EBF"/>
    <w:rPr>
      <w:rFonts w:ascii="Expert Sans Regular" w:hAnsi="Expert Sans Regular"/>
      <w:sz w:val="18"/>
      <w:lang w:val="la-Latn" w:eastAsia="en-US"/>
    </w:rPr>
  </w:style>
  <w:style w:type="paragraph" w:customStyle="1" w:styleId="HeadingLevel1-BarcRA6">
    <w:name w:val="Heading Level 1 - Barc RA_6"/>
    <w:basedOn w:val="BodyText-BarcRA10"/>
    <w:next w:val="BodyText-BarcRA10"/>
    <w:link w:val="HeadingLevel1-BarcRAChar2"/>
    <w:qFormat/>
    <w:rsid w:val="002611B5"/>
    <w:pPr>
      <w:spacing w:before="0"/>
    </w:pPr>
    <w:rPr>
      <w:b/>
      <w:bCs/>
      <w:color w:val="000000"/>
      <w:sz w:val="24"/>
      <w:lang w:val="la-Latn"/>
    </w:rPr>
  </w:style>
  <w:style w:type="paragraph" w:customStyle="1" w:styleId="BodyText-BarcRA10">
    <w:name w:val="Body Text - Barc RA_10"/>
    <w:link w:val="BodyText-BarcRAChar4"/>
    <w:qFormat/>
    <w:rsid w:val="005D52ED"/>
    <w:pPr>
      <w:spacing w:before="180" w:after="180"/>
      <w:jc w:val="both"/>
    </w:pPr>
    <w:rPr>
      <w:rFonts w:ascii="Expert Sans Regular" w:hAnsi="Expert Sans Regular"/>
      <w:sz w:val="18"/>
      <w:lang w:eastAsia="en-US"/>
    </w:rPr>
  </w:style>
  <w:style w:type="character" w:customStyle="1" w:styleId="BodyText-BarcRAChar4">
    <w:name w:val="Body Text - Barc RA Char_4"/>
    <w:basedOn w:val="DefaultParagraphFont"/>
    <w:link w:val="BodyText-BarcRA10"/>
    <w:rsid w:val="005D52ED"/>
    <w:rPr>
      <w:rFonts w:ascii="Expert Sans Regular" w:hAnsi="Expert Sans Regular"/>
      <w:sz w:val="18"/>
      <w:lang w:val="en-GB" w:eastAsia="en-US" w:bidi="ar-SA"/>
    </w:rPr>
  </w:style>
  <w:style w:type="character" w:customStyle="1" w:styleId="HeadingLevel1-BarcRAChar2">
    <w:name w:val="Heading Level 1 - Barc RA Char_2"/>
    <w:basedOn w:val="DefaultParagraphFont"/>
    <w:link w:val="HeadingLevel1-BarcRA6"/>
    <w:rsid w:val="009705AC"/>
    <w:rPr>
      <w:rFonts w:ascii="Expert Sans Regular" w:hAnsi="Expert Sans Regular"/>
      <w:b/>
      <w:bCs/>
      <w:color w:val="000000"/>
      <w:sz w:val="24"/>
      <w:lang w:val="la-Latn"/>
    </w:rPr>
  </w:style>
  <w:style w:type="paragraph" w:customStyle="1" w:styleId="BodyText-BarcRA100">
    <w:name w:val="Body Text - Barc RA_1_0"/>
    <w:link w:val="BodyText-BarcRAChar10"/>
    <w:qFormat/>
    <w:rsid w:val="00800DD5"/>
    <w:pPr>
      <w:spacing w:before="180" w:after="180"/>
      <w:jc w:val="both"/>
    </w:pPr>
    <w:rPr>
      <w:rFonts w:ascii="Expert Sans Regular" w:hAnsi="Expert Sans Regular"/>
      <w:sz w:val="18"/>
      <w:lang w:eastAsia="en-US"/>
    </w:rPr>
  </w:style>
  <w:style w:type="character" w:customStyle="1" w:styleId="BodyText-BarcRAChar10">
    <w:name w:val="Body Text - Barc RA Char_1_0"/>
    <w:basedOn w:val="DefaultParagraphFont"/>
    <w:link w:val="BodyText-BarcRA100"/>
    <w:locked/>
    <w:rsid w:val="00800DD5"/>
    <w:rPr>
      <w:rFonts w:ascii="Expert Sans Regular" w:hAnsi="Expert Sans Regular"/>
      <w:sz w:val="18"/>
      <w:lang w:val="en-GB" w:eastAsia="en-US" w:bidi="ar-SA"/>
    </w:rPr>
  </w:style>
  <w:style w:type="paragraph" w:customStyle="1" w:styleId="Level1Bullet-BarcRA4">
    <w:name w:val="Level 1 Bullet - Barc RA_4"/>
    <w:basedOn w:val="Normal9"/>
    <w:link w:val="Level1Bullet-BarcRAChar3"/>
    <w:qFormat/>
    <w:rsid w:val="00800205"/>
    <w:pPr>
      <w:numPr>
        <w:numId w:val="13"/>
      </w:numPr>
      <w:spacing w:before="180" w:after="180"/>
      <w:jc w:val="both"/>
    </w:pPr>
    <w:rPr>
      <w:szCs w:val="20"/>
      <w:lang w:val="la-Latn"/>
    </w:rPr>
  </w:style>
  <w:style w:type="paragraph" w:customStyle="1" w:styleId="Normal9">
    <w:name w:val="Normal_9"/>
    <w:qFormat/>
    <w:rsid w:val="009705AC"/>
    <w:rPr>
      <w:rFonts w:ascii="Expert Sans Regular" w:hAnsi="Expert Sans Regular"/>
      <w:sz w:val="18"/>
      <w:szCs w:val="24"/>
      <w:lang w:eastAsia="en-US"/>
    </w:rPr>
  </w:style>
  <w:style w:type="character" w:customStyle="1" w:styleId="Level1Bullet-BarcRAChar3">
    <w:name w:val="Level 1 Bullet - Barc RA Char_3"/>
    <w:basedOn w:val="DefaultParagraphFont"/>
    <w:link w:val="Level1Bullet-BarcRA4"/>
    <w:locked/>
    <w:rsid w:val="00800205"/>
    <w:rPr>
      <w:rFonts w:ascii="Expert Sans Regular" w:hAnsi="Expert Sans Regular"/>
      <w:sz w:val="18"/>
      <w:lang w:val="la-Latn" w:eastAsia="en-US"/>
    </w:rPr>
  </w:style>
  <w:style w:type="paragraph" w:customStyle="1" w:styleId="Level1Bullet-BarcRA110">
    <w:name w:val="Level 1 Bullet - Barc RA_11_0"/>
    <w:basedOn w:val="Normal9"/>
    <w:rsid w:val="00016DA8"/>
    <w:pPr>
      <w:numPr>
        <w:numId w:val="14"/>
      </w:numPr>
      <w:spacing w:before="180" w:after="180"/>
      <w:jc w:val="both"/>
    </w:pPr>
    <w:rPr>
      <w:rFonts w:eastAsia="Calibri"/>
      <w:szCs w:val="18"/>
      <w:lang w:eastAsia="en-GB"/>
    </w:rPr>
  </w:style>
  <w:style w:type="paragraph" w:customStyle="1" w:styleId="Level1Bullet-BarcRA04">
    <w:name w:val="Level 1 Bullet - Barc RA_0_4"/>
    <w:basedOn w:val="Normal9"/>
    <w:rsid w:val="00016DA8"/>
    <w:pPr>
      <w:tabs>
        <w:tab w:val="num" w:pos="284"/>
      </w:tabs>
      <w:spacing w:before="180" w:after="180"/>
      <w:ind w:left="284" w:hanging="284"/>
      <w:jc w:val="both"/>
    </w:pPr>
    <w:rPr>
      <w:szCs w:val="20"/>
      <w:lang w:val="la-Latn"/>
    </w:rPr>
  </w:style>
  <w:style w:type="paragraph" w:customStyle="1" w:styleId="Level1Bullet-BarcRA40">
    <w:name w:val="Level 1 Bullet - Barc RA_4_0"/>
    <w:basedOn w:val="Normal9"/>
    <w:qFormat/>
    <w:rsid w:val="00020FFD"/>
    <w:pPr>
      <w:numPr>
        <w:numId w:val="15"/>
      </w:numPr>
      <w:spacing w:before="180" w:after="180"/>
      <w:jc w:val="both"/>
    </w:pPr>
    <w:rPr>
      <w:szCs w:val="20"/>
      <w:lang w:val="la-Latn"/>
    </w:rPr>
  </w:style>
  <w:style w:type="paragraph" w:customStyle="1" w:styleId="HeadingLevel1-BarcRA8">
    <w:name w:val="Heading Level 1 - Barc RA_8"/>
    <w:basedOn w:val="BodyText-BarcRA11"/>
    <w:next w:val="BodyText-BarcRA11"/>
    <w:qFormat/>
    <w:rsid w:val="00130880"/>
    <w:pPr>
      <w:spacing w:before="0"/>
    </w:pPr>
    <w:rPr>
      <w:b/>
      <w:bCs/>
      <w:color w:val="000000"/>
      <w:sz w:val="24"/>
      <w:lang w:val="la-Latn"/>
    </w:rPr>
  </w:style>
  <w:style w:type="paragraph" w:customStyle="1" w:styleId="BodyText-BarcRA11">
    <w:name w:val="Body Text - Barc RA_11"/>
    <w:qFormat/>
    <w:rsid w:val="00130880"/>
    <w:pPr>
      <w:spacing w:before="180" w:after="180"/>
      <w:jc w:val="both"/>
    </w:pPr>
    <w:rPr>
      <w:rFonts w:ascii="Expert Sans Regular" w:hAnsi="Expert Sans Regular"/>
      <w:sz w:val="18"/>
      <w:lang w:eastAsia="en-US"/>
    </w:rPr>
  </w:style>
  <w:style w:type="paragraph" w:customStyle="1" w:styleId="Level1Bullet-BarcRA01">
    <w:name w:val="Level 1 Bullet - Barc RA_0_1"/>
    <w:basedOn w:val="Normal10"/>
    <w:rsid w:val="00236992"/>
    <w:pPr>
      <w:tabs>
        <w:tab w:val="num" w:pos="284"/>
      </w:tabs>
      <w:spacing w:before="180" w:after="180"/>
      <w:ind w:left="284" w:hanging="284"/>
      <w:jc w:val="both"/>
    </w:pPr>
    <w:rPr>
      <w:szCs w:val="20"/>
      <w:lang w:val="la-Latn"/>
    </w:rPr>
  </w:style>
  <w:style w:type="paragraph" w:customStyle="1" w:styleId="Normal10">
    <w:name w:val="Normal_10"/>
    <w:qFormat/>
    <w:rsid w:val="00130880"/>
    <w:rPr>
      <w:rFonts w:ascii="Expert Sans Regular" w:hAnsi="Expert Sans Regular"/>
      <w:sz w:val="18"/>
      <w:szCs w:val="24"/>
      <w:lang w:eastAsia="en-US"/>
    </w:rPr>
  </w:style>
  <w:style w:type="paragraph" w:customStyle="1" w:styleId="Level1Bullet-BarcRA30">
    <w:name w:val="Level 1 Bullet - Barc RA_3_0"/>
    <w:basedOn w:val="Normal10"/>
    <w:qFormat/>
    <w:rsid w:val="00573295"/>
    <w:pPr>
      <w:numPr>
        <w:numId w:val="16"/>
      </w:numPr>
      <w:spacing w:before="180" w:after="180"/>
      <w:jc w:val="both"/>
    </w:pPr>
    <w:rPr>
      <w:szCs w:val="20"/>
      <w:lang w:val="la-Latn"/>
    </w:rPr>
  </w:style>
  <w:style w:type="paragraph" w:customStyle="1" w:styleId="Level2Bullet-BarcRA0">
    <w:name w:val="Level 2 Bullet - Barc RA_0"/>
    <w:basedOn w:val="Normal10"/>
    <w:qFormat/>
    <w:rsid w:val="00573295"/>
    <w:pPr>
      <w:numPr>
        <w:ilvl w:val="2"/>
        <w:numId w:val="17"/>
      </w:numPr>
      <w:spacing w:before="180" w:after="180"/>
      <w:jc w:val="both"/>
    </w:pPr>
    <w:rPr>
      <w:szCs w:val="20"/>
      <w:lang w:val="la-Latn"/>
    </w:rPr>
  </w:style>
  <w:style w:type="paragraph" w:customStyle="1" w:styleId="HeadingLevel2-BarcRA">
    <w:name w:val="Heading Level 2 - Barc RA"/>
    <w:basedOn w:val="HeadingLevel1-BarcRA9"/>
    <w:next w:val="BodyText-BarcRA12"/>
    <w:rsid w:val="00130880"/>
    <w:pPr>
      <w:spacing w:before="240" w:after="0"/>
    </w:pPr>
    <w:rPr>
      <w:sz w:val="20"/>
    </w:rPr>
  </w:style>
  <w:style w:type="paragraph" w:customStyle="1" w:styleId="HeadingLevel1-BarcRA9">
    <w:name w:val="Heading Level 1 - Barc RA_9"/>
    <w:basedOn w:val="BodyText-BarcRA12"/>
    <w:next w:val="BodyText-BarcRA12"/>
    <w:rsid w:val="00130880"/>
    <w:pPr>
      <w:spacing w:before="0"/>
    </w:pPr>
    <w:rPr>
      <w:b/>
      <w:bCs/>
      <w:color w:val="000000"/>
      <w:sz w:val="24"/>
      <w:lang w:val="la-Latn"/>
    </w:rPr>
  </w:style>
  <w:style w:type="paragraph" w:customStyle="1" w:styleId="BodyText-BarcRA12">
    <w:name w:val="Body Text - Barc RA_12"/>
    <w:qFormat/>
    <w:rsid w:val="00130880"/>
    <w:pPr>
      <w:spacing w:before="180" w:after="180"/>
      <w:jc w:val="both"/>
    </w:pPr>
    <w:rPr>
      <w:rFonts w:ascii="Expert Sans Regular" w:hAnsi="Expert Sans Regular"/>
      <w:sz w:val="18"/>
      <w:lang w:eastAsia="en-US"/>
    </w:rPr>
  </w:style>
  <w:style w:type="paragraph" w:customStyle="1" w:styleId="Level1Bullet-BarcRA111">
    <w:name w:val="Level 1 Bullet - Barc RA_11_1"/>
    <w:basedOn w:val="Normal11"/>
    <w:rsid w:val="007870D8"/>
    <w:pPr>
      <w:numPr>
        <w:numId w:val="18"/>
      </w:numPr>
      <w:spacing w:before="180" w:after="180"/>
      <w:jc w:val="both"/>
    </w:pPr>
    <w:rPr>
      <w:szCs w:val="20"/>
      <w:lang w:val="la-Latn"/>
    </w:rPr>
  </w:style>
  <w:style w:type="paragraph" w:customStyle="1" w:styleId="Normal11">
    <w:name w:val="Normal_11"/>
    <w:qFormat/>
    <w:rsid w:val="00130880"/>
    <w:rPr>
      <w:rFonts w:ascii="Expert Sans Regular" w:hAnsi="Expert Sans Regular"/>
      <w:sz w:val="18"/>
      <w:szCs w:val="24"/>
      <w:lang w:eastAsia="en-US"/>
    </w:rPr>
  </w:style>
  <w:style w:type="paragraph" w:customStyle="1" w:styleId="Level1Bullet-BarcRA5">
    <w:name w:val="Level 1 Bullet - Barc RA_5"/>
    <w:basedOn w:val="BodyText-BarcRA12"/>
    <w:qFormat/>
    <w:rsid w:val="00130880"/>
    <w:pPr>
      <w:numPr>
        <w:numId w:val="19"/>
      </w:numPr>
    </w:pPr>
    <w:rPr>
      <w:lang w:val="la-Latn"/>
    </w:rPr>
  </w:style>
  <w:style w:type="paragraph" w:customStyle="1" w:styleId="HeadingLevel2-BarcRA0">
    <w:name w:val="Heading Level 2 - Barc RA_0"/>
    <w:basedOn w:val="Normal12"/>
    <w:next w:val="Normal12"/>
    <w:rsid w:val="00452D95"/>
    <w:pPr>
      <w:spacing w:before="240"/>
      <w:jc w:val="both"/>
    </w:pPr>
    <w:rPr>
      <w:b/>
      <w:bCs/>
      <w:color w:val="000000"/>
      <w:sz w:val="20"/>
      <w:szCs w:val="20"/>
      <w:lang w:val="la-Latn"/>
    </w:rPr>
  </w:style>
  <w:style w:type="paragraph" w:customStyle="1" w:styleId="Normal12">
    <w:name w:val="Normal_12"/>
    <w:qFormat/>
    <w:rsid w:val="00130880"/>
    <w:rPr>
      <w:rFonts w:ascii="Expert Sans Regular" w:hAnsi="Expert Sans Regular"/>
      <w:sz w:val="18"/>
      <w:szCs w:val="24"/>
      <w:lang w:eastAsia="en-US"/>
    </w:rPr>
  </w:style>
  <w:style w:type="paragraph" w:customStyle="1" w:styleId="Level1Bullet-BarcRA10">
    <w:name w:val="Level 1 Bullet - Barc RA_10"/>
    <w:basedOn w:val="Normal12"/>
    <w:uiPriority w:val="99"/>
    <w:rsid w:val="0068158D"/>
    <w:pPr>
      <w:numPr>
        <w:numId w:val="20"/>
      </w:numPr>
      <w:spacing w:before="180" w:after="180"/>
      <w:jc w:val="both"/>
    </w:pPr>
    <w:rPr>
      <w:rFonts w:eastAsia="Calibri"/>
      <w:szCs w:val="18"/>
      <w:lang w:eastAsia="en-GB"/>
    </w:rPr>
  </w:style>
  <w:style w:type="paragraph" w:customStyle="1" w:styleId="HeadingLevel2-BarcRA5">
    <w:name w:val="Heading Level 2 - Barc RA_5"/>
    <w:basedOn w:val="Normal12"/>
    <w:next w:val="Normal12"/>
    <w:qFormat/>
    <w:rsid w:val="00217329"/>
    <w:pPr>
      <w:spacing w:before="240"/>
      <w:jc w:val="both"/>
    </w:pPr>
    <w:rPr>
      <w:b/>
      <w:bCs/>
      <w:color w:val="000000"/>
      <w:sz w:val="20"/>
      <w:szCs w:val="20"/>
      <w:lang w:val="la-Latn"/>
    </w:rPr>
  </w:style>
  <w:style w:type="paragraph" w:customStyle="1" w:styleId="HeadingLevel1-BarcRA10">
    <w:name w:val="Heading Level 1 - Barc RA_10"/>
    <w:basedOn w:val="BodyText-BarcRA13"/>
    <w:next w:val="BodyText-BarcRA13"/>
    <w:rsid w:val="00C747B7"/>
    <w:pPr>
      <w:spacing w:before="0"/>
    </w:pPr>
    <w:rPr>
      <w:b/>
      <w:bCs/>
      <w:color w:val="000000"/>
      <w:sz w:val="24"/>
      <w:lang w:val="la-Latn"/>
    </w:rPr>
  </w:style>
  <w:style w:type="paragraph" w:customStyle="1" w:styleId="BodyText-BarcRA13">
    <w:name w:val="Body Text - Barc RA_13"/>
    <w:qFormat/>
    <w:rsid w:val="00C747B7"/>
    <w:pPr>
      <w:spacing w:before="180" w:after="180"/>
      <w:jc w:val="both"/>
    </w:pPr>
    <w:rPr>
      <w:rFonts w:ascii="Expert Sans Regular" w:hAnsi="Expert Sans Regular"/>
      <w:sz w:val="18"/>
      <w:lang w:eastAsia="en-US"/>
    </w:rPr>
  </w:style>
  <w:style w:type="paragraph" w:customStyle="1" w:styleId="HeaderSpacerwithLine-BarcRA4">
    <w:name w:val="Header Spacer with Line - Barc RA_4"/>
    <w:basedOn w:val="BodyText-BarcRA13"/>
    <w:rsid w:val="00C747B7"/>
    <w:pPr>
      <w:pBdr>
        <w:top w:val="single" w:sz="4" w:space="1" w:color="auto"/>
      </w:pBdr>
      <w:spacing w:before="0" w:after="0"/>
    </w:pPr>
    <w:rPr>
      <w:sz w:val="10"/>
      <w:szCs w:val="10"/>
    </w:rPr>
  </w:style>
  <w:style w:type="paragraph" w:customStyle="1" w:styleId="HeadingLevel1-BarcRA11">
    <w:name w:val="Heading Level 1 - Barc RA_11"/>
    <w:basedOn w:val="BodyText-BarcRA14"/>
    <w:next w:val="BodyText-BarcRA14"/>
    <w:rsid w:val="00B05725"/>
    <w:pPr>
      <w:spacing w:before="0"/>
    </w:pPr>
    <w:rPr>
      <w:b/>
      <w:bCs/>
      <w:color w:val="000000"/>
      <w:sz w:val="24"/>
      <w:lang w:val="la-Latn"/>
    </w:rPr>
  </w:style>
  <w:style w:type="paragraph" w:customStyle="1" w:styleId="BodyText-BarcRA14">
    <w:name w:val="Body Text - Barc RA_14"/>
    <w:qFormat/>
    <w:rsid w:val="00B05725"/>
    <w:pPr>
      <w:spacing w:before="180" w:after="180"/>
      <w:jc w:val="both"/>
    </w:pPr>
    <w:rPr>
      <w:rFonts w:ascii="Expert Sans Regular" w:hAnsi="Expert Sans Regular"/>
      <w:sz w:val="18"/>
      <w:lang w:eastAsia="en-US"/>
    </w:rPr>
  </w:style>
  <w:style w:type="paragraph" w:customStyle="1" w:styleId="HeaderSpacerwithLine-BarcRA5">
    <w:name w:val="Header Spacer with Line - Barc RA_5"/>
    <w:basedOn w:val="BodyText-BarcRA14"/>
    <w:rsid w:val="00B05725"/>
    <w:pPr>
      <w:pBdr>
        <w:top w:val="single" w:sz="4" w:space="1" w:color="auto"/>
      </w:pBdr>
      <w:spacing w:before="0" w:after="0"/>
    </w:pPr>
    <w:rPr>
      <w:sz w:val="10"/>
      <w:szCs w:val="10"/>
    </w:rPr>
  </w:style>
  <w:style w:type="paragraph" w:customStyle="1" w:styleId="Normal13">
    <w:name w:val="Normal_13"/>
    <w:qFormat/>
    <w:rsid w:val="001F0FD5"/>
    <w:rPr>
      <w:rFonts w:ascii="Expert Sans Regular" w:eastAsia="Expert Sans Regular" w:hAnsi="Expert Sans Regular" w:cs="Expert Sans Regular"/>
      <w:sz w:val="2"/>
      <w:szCs w:val="24"/>
      <w:lang w:val="en-US" w:eastAsia="en-US"/>
    </w:rPr>
  </w:style>
  <w:style w:type="paragraph" w:customStyle="1" w:styleId="Normal14">
    <w:name w:val="Normal_14"/>
    <w:qFormat/>
    <w:rsid w:val="00772C0C"/>
    <w:rPr>
      <w:sz w:val="24"/>
      <w:szCs w:val="24"/>
    </w:rPr>
  </w:style>
  <w:style w:type="paragraph" w:customStyle="1" w:styleId="Normal15">
    <w:name w:val="Normal_15"/>
    <w:qFormat/>
    <w:rsid w:val="00772C0C"/>
    <w:rPr>
      <w:sz w:val="24"/>
      <w:szCs w:val="24"/>
    </w:rPr>
  </w:style>
  <w:style w:type="paragraph" w:customStyle="1" w:styleId="Normal16">
    <w:name w:val="Normal_16"/>
    <w:qFormat/>
    <w:rsid w:val="00E074F3"/>
    <w:rPr>
      <w:sz w:val="24"/>
      <w:szCs w:val="24"/>
    </w:rPr>
  </w:style>
  <w:style w:type="paragraph" w:customStyle="1" w:styleId="Normal17">
    <w:name w:val="Normal_17"/>
    <w:qFormat/>
    <w:rsid w:val="00772C0C"/>
    <w:rPr>
      <w:sz w:val="24"/>
      <w:szCs w:val="24"/>
    </w:rPr>
  </w:style>
  <w:style w:type="paragraph" w:customStyle="1" w:styleId="HeadingLevel1-BarcRA12">
    <w:name w:val="Heading Level 1 - Barc RA_12"/>
    <w:basedOn w:val="BodyText-BarcRA15"/>
    <w:next w:val="BodyText-BarcRA15"/>
    <w:rsid w:val="007C3A38"/>
    <w:pPr>
      <w:spacing w:before="0"/>
    </w:pPr>
    <w:rPr>
      <w:b/>
      <w:bCs/>
      <w:color w:val="000000"/>
      <w:sz w:val="24"/>
      <w:lang w:val="la-Latn"/>
    </w:rPr>
  </w:style>
  <w:style w:type="paragraph" w:customStyle="1" w:styleId="BodyText-BarcRA15">
    <w:name w:val="Body Text - Barc RA_15"/>
    <w:qFormat/>
    <w:rsid w:val="007C3A38"/>
    <w:pPr>
      <w:spacing w:before="180" w:after="180"/>
      <w:jc w:val="both"/>
    </w:pPr>
    <w:rPr>
      <w:rFonts w:ascii="Expert Sans Regular" w:hAnsi="Expert Sans Regular"/>
      <w:sz w:val="18"/>
      <w:lang w:eastAsia="en-US"/>
    </w:rPr>
  </w:style>
  <w:style w:type="paragraph" w:customStyle="1" w:styleId="HeaderSpacerwithLine-BarcRA6">
    <w:name w:val="Header Spacer with Line - Barc RA_6"/>
    <w:basedOn w:val="BodyText-BarcRA15"/>
    <w:rsid w:val="007C3A38"/>
    <w:pPr>
      <w:pBdr>
        <w:top w:val="single" w:sz="4" w:space="1" w:color="auto"/>
      </w:pBdr>
      <w:spacing w:before="0" w:after="0"/>
    </w:pPr>
    <w:rPr>
      <w:sz w:val="10"/>
      <w:szCs w:val="10"/>
    </w:rPr>
  </w:style>
  <w:style w:type="paragraph" w:customStyle="1" w:styleId="HeadingLevel1-BarcRA13">
    <w:name w:val="Heading Level 1 - Barc RA_13"/>
    <w:basedOn w:val="BodyText-BarcRA16"/>
    <w:next w:val="BodyText-BarcRA16"/>
    <w:rsid w:val="001D6E1D"/>
    <w:pPr>
      <w:spacing w:before="0"/>
    </w:pPr>
    <w:rPr>
      <w:b/>
      <w:bCs/>
      <w:color w:val="000000"/>
      <w:sz w:val="24"/>
      <w:lang w:val="la-Latn"/>
    </w:rPr>
  </w:style>
  <w:style w:type="paragraph" w:customStyle="1" w:styleId="BodyText-BarcRA16">
    <w:name w:val="Body Text - Barc RA_16"/>
    <w:qFormat/>
    <w:rsid w:val="001D6E1D"/>
    <w:pPr>
      <w:spacing w:before="180" w:after="180"/>
      <w:jc w:val="both"/>
    </w:pPr>
    <w:rPr>
      <w:rFonts w:ascii="Expert Sans Regular" w:hAnsi="Expert Sans Regular"/>
      <w:sz w:val="18"/>
      <w:lang w:eastAsia="en-US"/>
    </w:rPr>
  </w:style>
  <w:style w:type="paragraph" w:customStyle="1" w:styleId="Level1Bullet-BarcRA20">
    <w:name w:val="Level 1 Bullet - Barc RA_2_0"/>
    <w:basedOn w:val="Normal18"/>
    <w:uiPriority w:val="99"/>
    <w:rsid w:val="0014599A"/>
    <w:pPr>
      <w:numPr>
        <w:numId w:val="23"/>
      </w:numPr>
      <w:spacing w:before="180" w:after="180"/>
      <w:jc w:val="both"/>
    </w:pPr>
    <w:rPr>
      <w:szCs w:val="20"/>
      <w:lang w:val="la-Latn"/>
    </w:rPr>
  </w:style>
  <w:style w:type="paragraph" w:customStyle="1" w:styleId="Normal18">
    <w:name w:val="Normal_18"/>
    <w:qFormat/>
    <w:rsid w:val="00C3107E"/>
    <w:rPr>
      <w:rFonts w:ascii="Expert Sans Regular" w:hAnsi="Expert Sans Regular"/>
      <w:sz w:val="18"/>
      <w:szCs w:val="24"/>
      <w:lang w:eastAsia="en-US"/>
    </w:rPr>
  </w:style>
  <w:style w:type="paragraph" w:customStyle="1" w:styleId="Level2Bullet-BarcRA1">
    <w:name w:val="Level 2 Bullet - Barc RA_1"/>
    <w:basedOn w:val="Level1Bullet-BarcRA6"/>
    <w:qFormat/>
    <w:rsid w:val="008F3F13"/>
    <w:pPr>
      <w:numPr>
        <w:ilvl w:val="2"/>
        <w:numId w:val="24"/>
      </w:numPr>
    </w:pPr>
  </w:style>
  <w:style w:type="paragraph" w:customStyle="1" w:styleId="Level1Bullet-BarcRA6">
    <w:name w:val="Level 1 Bullet - Barc RA_6"/>
    <w:basedOn w:val="BodyText-BarcRA16"/>
    <w:rsid w:val="001D6E1D"/>
    <w:pPr>
      <w:numPr>
        <w:numId w:val="25"/>
      </w:numPr>
    </w:pPr>
    <w:rPr>
      <w:lang w:val="la-Latn"/>
    </w:rPr>
  </w:style>
  <w:style w:type="paragraph" w:customStyle="1" w:styleId="Level1Bullet-BarcRA2030">
    <w:name w:val="Level 1 Bullet - Barc RA_2_0_3_0"/>
    <w:basedOn w:val="Normal18"/>
    <w:rsid w:val="00183224"/>
    <w:pPr>
      <w:numPr>
        <w:numId w:val="26"/>
      </w:numPr>
      <w:spacing w:before="180" w:after="180"/>
      <w:jc w:val="both"/>
    </w:pPr>
    <w:rPr>
      <w:szCs w:val="20"/>
      <w:lang w:val="la-Latn"/>
    </w:rPr>
  </w:style>
  <w:style w:type="paragraph" w:customStyle="1" w:styleId="Level2Bullet-BarcRA30">
    <w:name w:val="Level 2 Bullet - Barc RA_3_0"/>
    <w:basedOn w:val="Normal18"/>
    <w:qFormat/>
    <w:rsid w:val="00183224"/>
    <w:pPr>
      <w:numPr>
        <w:ilvl w:val="2"/>
        <w:numId w:val="27"/>
      </w:numPr>
      <w:spacing w:before="180" w:after="180"/>
      <w:jc w:val="both"/>
    </w:pPr>
    <w:rPr>
      <w:szCs w:val="20"/>
      <w:lang w:val="la-Latn"/>
    </w:rPr>
  </w:style>
  <w:style w:type="paragraph" w:customStyle="1" w:styleId="Normal19">
    <w:name w:val="Normal_19"/>
    <w:qFormat/>
    <w:rsid w:val="009705AC"/>
    <w:rPr>
      <w:rFonts w:ascii="Expert Sans Regular" w:hAnsi="Expert Sans Regular"/>
      <w:sz w:val="18"/>
      <w:szCs w:val="24"/>
      <w:lang w:eastAsia="en-US"/>
    </w:rPr>
  </w:style>
  <w:style w:type="paragraph" w:customStyle="1" w:styleId="Level1Bullet-BarcRA2001">
    <w:name w:val="Level 1 Bullet - Barc RA_2_0_0"/>
    <w:basedOn w:val="Normal19"/>
    <w:uiPriority w:val="99"/>
    <w:rsid w:val="00A01A13"/>
    <w:pPr>
      <w:tabs>
        <w:tab w:val="num" w:pos="284"/>
      </w:tabs>
      <w:spacing w:before="180" w:after="180"/>
      <w:ind w:left="284" w:hanging="284"/>
      <w:jc w:val="both"/>
    </w:pPr>
    <w:rPr>
      <w:szCs w:val="20"/>
      <w:lang w:val="la-Latn"/>
    </w:rPr>
  </w:style>
  <w:style w:type="paragraph" w:customStyle="1" w:styleId="Level1Bullet-BarcRA31">
    <w:name w:val="Level 1 Bullet - Barc RA_3_1"/>
    <w:basedOn w:val="Normal19"/>
    <w:uiPriority w:val="99"/>
    <w:rsid w:val="00E25A58"/>
    <w:pPr>
      <w:numPr>
        <w:numId w:val="28"/>
      </w:numPr>
      <w:spacing w:before="180" w:after="180"/>
      <w:jc w:val="both"/>
    </w:pPr>
    <w:rPr>
      <w:szCs w:val="20"/>
      <w:lang w:val="la-Latn"/>
    </w:rPr>
  </w:style>
  <w:style w:type="paragraph" w:customStyle="1" w:styleId="Level2Bullet-BarcRA100">
    <w:name w:val="Level 2 Bullet - Barc RA_1_0_0"/>
    <w:basedOn w:val="Normal19"/>
    <w:qFormat/>
    <w:rsid w:val="00357F3B"/>
    <w:pPr>
      <w:numPr>
        <w:ilvl w:val="2"/>
        <w:numId w:val="29"/>
      </w:numPr>
      <w:tabs>
        <w:tab w:val="num" w:pos="567"/>
      </w:tabs>
      <w:spacing w:before="180" w:after="180"/>
      <w:ind w:left="567" w:hanging="283"/>
      <w:jc w:val="both"/>
    </w:pPr>
    <w:rPr>
      <w:szCs w:val="20"/>
      <w:lang w:val="la-Latn"/>
    </w:rPr>
  </w:style>
  <w:style w:type="paragraph" w:customStyle="1" w:styleId="Level2Bullet-BarcRA300">
    <w:name w:val="Level 2 Bullet - Barc RA_3_0_0"/>
    <w:basedOn w:val="Normal19"/>
    <w:qFormat/>
    <w:rsid w:val="00357F3B"/>
    <w:pPr>
      <w:numPr>
        <w:ilvl w:val="2"/>
        <w:numId w:val="30"/>
      </w:numPr>
      <w:spacing w:before="180" w:after="180"/>
      <w:jc w:val="both"/>
    </w:pPr>
    <w:rPr>
      <w:szCs w:val="20"/>
      <w:lang w:val="la-Latn"/>
    </w:rPr>
  </w:style>
  <w:style w:type="paragraph" w:customStyle="1" w:styleId="Level1Bullet-BarcRA300">
    <w:name w:val="Level 1 Bullet - Barc RA_3_0_0"/>
    <w:basedOn w:val="Normal19"/>
    <w:uiPriority w:val="99"/>
    <w:rsid w:val="00E25A58"/>
    <w:pPr>
      <w:numPr>
        <w:numId w:val="31"/>
      </w:numPr>
      <w:spacing w:before="180" w:after="180"/>
      <w:jc w:val="both"/>
    </w:pPr>
    <w:rPr>
      <w:szCs w:val="20"/>
      <w:lang w:val="la-Latn"/>
    </w:rPr>
  </w:style>
  <w:style w:type="paragraph" w:customStyle="1" w:styleId="Level1Bullet-BarcRA41">
    <w:name w:val="Level 1 Bullet - Barc RA_4_1"/>
    <w:basedOn w:val="Normal19"/>
    <w:link w:val="Level1Bullet-BarcRAChar10"/>
    <w:rsid w:val="00FE05B8"/>
    <w:pPr>
      <w:numPr>
        <w:numId w:val="32"/>
      </w:numPr>
      <w:spacing w:before="180" w:after="180"/>
      <w:jc w:val="both"/>
    </w:pPr>
    <w:rPr>
      <w:szCs w:val="20"/>
      <w:lang w:val="la-Latn"/>
    </w:rPr>
  </w:style>
  <w:style w:type="character" w:customStyle="1" w:styleId="Level1Bullet-BarcRAChar10">
    <w:name w:val="Level 1 Bullet - Barc RA Char_1_0"/>
    <w:link w:val="Level1Bullet-BarcRA41"/>
    <w:locked/>
    <w:rsid w:val="00FE05B8"/>
    <w:rPr>
      <w:rFonts w:ascii="Expert Sans Regular" w:hAnsi="Expert Sans Regular"/>
      <w:sz w:val="18"/>
      <w:lang w:val="la-Latn" w:eastAsia="en-US"/>
    </w:rPr>
  </w:style>
  <w:style w:type="paragraph" w:customStyle="1" w:styleId="Level1Bullet-BarcRA4002">
    <w:name w:val="Level 1 Bullet - Barc RA_4_0_0"/>
    <w:basedOn w:val="Normal19"/>
    <w:link w:val="Level1Bullet-BarcRAChar100"/>
    <w:uiPriority w:val="99"/>
    <w:rsid w:val="00A01A13"/>
    <w:pPr>
      <w:tabs>
        <w:tab w:val="num" w:pos="284"/>
      </w:tabs>
      <w:spacing w:before="180" w:after="180"/>
      <w:ind w:left="284" w:hanging="284"/>
      <w:jc w:val="both"/>
    </w:pPr>
    <w:rPr>
      <w:szCs w:val="20"/>
      <w:lang w:val="la-Latn"/>
    </w:rPr>
  </w:style>
  <w:style w:type="character" w:customStyle="1" w:styleId="Level1Bullet-BarcRAChar100">
    <w:name w:val="Level 1 Bullet - Barc RA Char_1_0_0"/>
    <w:link w:val="Level1Bullet-BarcRA4002"/>
    <w:uiPriority w:val="99"/>
    <w:locked/>
    <w:rsid w:val="00A01A13"/>
    <w:rPr>
      <w:rFonts w:ascii="Expert Sans Regular" w:hAnsi="Expert Sans Regular"/>
      <w:sz w:val="18"/>
      <w:lang w:val="la-Latn" w:eastAsia="en-US"/>
    </w:rPr>
  </w:style>
  <w:style w:type="paragraph" w:customStyle="1" w:styleId="Level2Bullet-BarcRA20">
    <w:name w:val="Level 2 Bullet - Barc RA_2_0"/>
    <w:basedOn w:val="Level1Bullet-BarcRA41"/>
    <w:uiPriority w:val="99"/>
    <w:qFormat/>
    <w:rsid w:val="00FE05B8"/>
    <w:pPr>
      <w:numPr>
        <w:ilvl w:val="2"/>
        <w:numId w:val="33"/>
      </w:numPr>
      <w:tabs>
        <w:tab w:val="clear" w:pos="1401"/>
        <w:tab w:val="num" w:pos="360"/>
        <w:tab w:val="num" w:pos="567"/>
      </w:tabs>
      <w:ind w:left="567" w:hanging="283"/>
    </w:pPr>
  </w:style>
  <w:style w:type="paragraph" w:customStyle="1" w:styleId="BodyText-BarcRA17">
    <w:name w:val="Body Text - Barc RA_17"/>
    <w:link w:val="BodyText-BarcRAChar5"/>
    <w:qFormat/>
    <w:rsid w:val="005D52ED"/>
    <w:pPr>
      <w:spacing w:before="180" w:after="180"/>
      <w:jc w:val="both"/>
    </w:pPr>
    <w:rPr>
      <w:rFonts w:ascii="Expert Sans Regular" w:hAnsi="Expert Sans Regular"/>
      <w:sz w:val="18"/>
      <w:lang w:eastAsia="en-US"/>
    </w:rPr>
  </w:style>
  <w:style w:type="character" w:customStyle="1" w:styleId="BodyText-BarcRAChar5">
    <w:name w:val="Body Text - Barc RA Char_5"/>
    <w:basedOn w:val="DefaultParagraphFont"/>
    <w:link w:val="BodyText-BarcRA17"/>
    <w:rsid w:val="005D52ED"/>
    <w:rPr>
      <w:rFonts w:ascii="Expert Sans Regular" w:hAnsi="Expert Sans Regular"/>
      <w:sz w:val="18"/>
      <w:lang w:val="en-GB" w:eastAsia="en-US" w:bidi="ar-SA"/>
    </w:rPr>
  </w:style>
  <w:style w:type="paragraph" w:customStyle="1" w:styleId="Normal20">
    <w:name w:val="Normal_20"/>
    <w:qFormat/>
    <w:rsid w:val="009705AC"/>
    <w:rPr>
      <w:rFonts w:ascii="Expert Sans Regular" w:hAnsi="Expert Sans Regular"/>
      <w:sz w:val="18"/>
      <w:szCs w:val="24"/>
      <w:lang w:eastAsia="en-US"/>
    </w:rPr>
  </w:style>
  <w:style w:type="paragraph" w:customStyle="1" w:styleId="Level1Bullet-BarcRA201">
    <w:name w:val="Level 1 Bullet - Barc RA_2_0_1"/>
    <w:basedOn w:val="Normal20"/>
    <w:uiPriority w:val="99"/>
    <w:rsid w:val="00B51316"/>
    <w:pPr>
      <w:tabs>
        <w:tab w:val="num" w:pos="284"/>
      </w:tabs>
      <w:spacing w:before="180" w:after="180"/>
      <w:ind w:left="284" w:hanging="284"/>
      <w:jc w:val="both"/>
    </w:pPr>
    <w:rPr>
      <w:szCs w:val="20"/>
      <w:lang w:val="la-Latn"/>
    </w:rPr>
  </w:style>
  <w:style w:type="paragraph" w:customStyle="1" w:styleId="Level1Bullet-BarcRA4000">
    <w:name w:val="Level 1 Bullet - Barc RA_4_0_0_0"/>
    <w:basedOn w:val="Normal20"/>
    <w:link w:val="Level1Bullet-BarcRAChar1000"/>
    <w:rsid w:val="00B51316"/>
    <w:pPr>
      <w:numPr>
        <w:numId w:val="35"/>
      </w:numPr>
      <w:spacing w:before="180" w:after="180"/>
      <w:jc w:val="both"/>
    </w:pPr>
    <w:rPr>
      <w:szCs w:val="20"/>
      <w:lang w:val="la-Latn"/>
    </w:rPr>
  </w:style>
  <w:style w:type="character" w:customStyle="1" w:styleId="Level1Bullet-BarcRAChar1000">
    <w:name w:val="Level 1 Bullet - Barc RA Char_1_0_0_0"/>
    <w:link w:val="Level1Bullet-BarcRA4000"/>
    <w:locked/>
    <w:rsid w:val="00B51316"/>
    <w:rPr>
      <w:rFonts w:ascii="Expert Sans Regular" w:hAnsi="Expert Sans Regular"/>
      <w:sz w:val="18"/>
      <w:lang w:val="la-Latn" w:eastAsia="en-US"/>
    </w:rPr>
  </w:style>
  <w:style w:type="paragraph" w:customStyle="1" w:styleId="Level1Bullet-BarcRA4001">
    <w:name w:val="Level 1 Bullet - Barc RA_4_0_0_1"/>
    <w:basedOn w:val="Normal20"/>
    <w:link w:val="Level1Bullet-BarcRAChar1001"/>
    <w:rsid w:val="00DA2E35"/>
    <w:pPr>
      <w:numPr>
        <w:numId w:val="36"/>
      </w:numPr>
      <w:spacing w:before="180" w:after="180"/>
      <w:jc w:val="both"/>
    </w:pPr>
    <w:rPr>
      <w:szCs w:val="20"/>
      <w:lang w:val="la-Latn"/>
    </w:rPr>
  </w:style>
  <w:style w:type="character" w:customStyle="1" w:styleId="Level1Bullet-BarcRAChar1001">
    <w:name w:val="Level 1 Bullet - Barc RA Char_1_0_0_1"/>
    <w:link w:val="Level1Bullet-BarcRA4001"/>
    <w:locked/>
    <w:rsid w:val="00DA2E35"/>
    <w:rPr>
      <w:rFonts w:ascii="Expert Sans Regular" w:hAnsi="Expert Sans Regular"/>
      <w:sz w:val="18"/>
      <w:lang w:val="la-Latn" w:eastAsia="en-US"/>
    </w:rPr>
  </w:style>
  <w:style w:type="paragraph" w:customStyle="1" w:styleId="Level2Bullet-BarcRA200">
    <w:name w:val="Level 2 Bullet - Barc RA_2_0_0"/>
    <w:basedOn w:val="Normal20"/>
    <w:qFormat/>
    <w:rsid w:val="00A25A27"/>
    <w:pPr>
      <w:numPr>
        <w:ilvl w:val="2"/>
        <w:numId w:val="37"/>
      </w:numPr>
      <w:spacing w:before="180" w:after="180"/>
      <w:jc w:val="both"/>
    </w:pPr>
    <w:rPr>
      <w:szCs w:val="20"/>
      <w:lang w:val="la-Latn"/>
    </w:rPr>
  </w:style>
  <w:style w:type="paragraph" w:customStyle="1" w:styleId="Level2Bullet-BarcRA301">
    <w:name w:val="Level 2 Bullet - Barc RA_3_0_1"/>
    <w:basedOn w:val="Normal20"/>
    <w:qFormat/>
    <w:rsid w:val="00DA3A2A"/>
    <w:pPr>
      <w:numPr>
        <w:ilvl w:val="2"/>
        <w:numId w:val="38"/>
      </w:numPr>
      <w:spacing w:before="180" w:after="180"/>
      <w:jc w:val="both"/>
    </w:pPr>
    <w:rPr>
      <w:szCs w:val="20"/>
      <w:lang w:val="la-Latn"/>
    </w:rPr>
  </w:style>
  <w:style w:type="paragraph" w:customStyle="1" w:styleId="Normal21">
    <w:name w:val="Normal_21"/>
    <w:qFormat/>
    <w:rsid w:val="009705AC"/>
    <w:rPr>
      <w:rFonts w:ascii="Expert Sans Regular" w:hAnsi="Expert Sans Regular"/>
      <w:sz w:val="18"/>
      <w:szCs w:val="24"/>
      <w:lang w:eastAsia="en-US"/>
    </w:rPr>
  </w:style>
  <w:style w:type="paragraph" w:customStyle="1" w:styleId="Level1Bullet-BarcRA202">
    <w:name w:val="Level 1 Bullet - Barc RA_2_0_2"/>
    <w:basedOn w:val="Normal21"/>
    <w:uiPriority w:val="99"/>
    <w:rsid w:val="00892373"/>
    <w:pPr>
      <w:tabs>
        <w:tab w:val="num" w:pos="284"/>
      </w:tabs>
      <w:spacing w:before="180" w:after="180"/>
      <w:ind w:left="284" w:hanging="284"/>
      <w:jc w:val="both"/>
    </w:pPr>
    <w:rPr>
      <w:szCs w:val="20"/>
      <w:lang w:val="la-Latn"/>
    </w:rPr>
  </w:style>
  <w:style w:type="paragraph" w:customStyle="1" w:styleId="Level1Bullet-BarcRA20300">
    <w:name w:val="Level 1 Bullet - Barc RA_2_0_3_0_0"/>
    <w:basedOn w:val="Normal21"/>
    <w:rsid w:val="006023F1"/>
    <w:pPr>
      <w:numPr>
        <w:numId w:val="40"/>
      </w:numPr>
      <w:spacing w:before="180" w:after="180"/>
      <w:jc w:val="both"/>
    </w:pPr>
    <w:rPr>
      <w:szCs w:val="20"/>
      <w:lang w:val="la-Latn"/>
    </w:rPr>
  </w:style>
  <w:style w:type="paragraph" w:customStyle="1" w:styleId="Level2Bullet-BarcRA302">
    <w:name w:val="Level 2 Bullet - Barc RA_3_0_2"/>
    <w:basedOn w:val="Normal21"/>
    <w:qFormat/>
    <w:rsid w:val="006023F1"/>
    <w:pPr>
      <w:numPr>
        <w:ilvl w:val="2"/>
        <w:numId w:val="41"/>
      </w:numPr>
      <w:spacing w:before="180" w:after="180"/>
      <w:jc w:val="both"/>
    </w:pPr>
    <w:rPr>
      <w:szCs w:val="20"/>
      <w:lang w:val="la-Latn"/>
    </w:rPr>
  </w:style>
  <w:style w:type="paragraph" w:customStyle="1" w:styleId="HeadingLevel1-BarcRA14">
    <w:name w:val="Heading Level 1 - Barc RA_14"/>
    <w:basedOn w:val="BodyText-BarcRA18"/>
    <w:next w:val="BodyText-BarcRA18"/>
    <w:link w:val="HeadingLevel1-BarcRAChar3"/>
    <w:rsid w:val="002611B5"/>
    <w:pPr>
      <w:spacing w:before="0"/>
    </w:pPr>
    <w:rPr>
      <w:b/>
      <w:bCs/>
      <w:color w:val="000000"/>
      <w:sz w:val="24"/>
      <w:lang w:val="la-Latn"/>
    </w:rPr>
  </w:style>
  <w:style w:type="paragraph" w:customStyle="1" w:styleId="BodyText-BarcRA18">
    <w:name w:val="Body Text - Barc RA_18"/>
    <w:link w:val="BodyText-BarcRAChar6"/>
    <w:qFormat/>
    <w:rsid w:val="005D52ED"/>
    <w:pPr>
      <w:spacing w:before="180" w:after="180"/>
      <w:jc w:val="both"/>
    </w:pPr>
    <w:rPr>
      <w:rFonts w:ascii="Expert Sans Regular" w:hAnsi="Expert Sans Regular"/>
      <w:sz w:val="18"/>
      <w:lang w:eastAsia="en-US"/>
    </w:rPr>
  </w:style>
  <w:style w:type="character" w:customStyle="1" w:styleId="BodyText-BarcRAChar6">
    <w:name w:val="Body Text - Barc RA Char_6"/>
    <w:basedOn w:val="DefaultParagraphFont"/>
    <w:link w:val="BodyText-BarcRA18"/>
    <w:rsid w:val="005D52ED"/>
    <w:rPr>
      <w:rFonts w:ascii="Expert Sans Regular" w:hAnsi="Expert Sans Regular"/>
      <w:sz w:val="18"/>
      <w:lang w:val="en-GB" w:eastAsia="en-US" w:bidi="ar-SA"/>
    </w:rPr>
  </w:style>
  <w:style w:type="character" w:customStyle="1" w:styleId="HeadingLevel1-BarcRAChar3">
    <w:name w:val="Heading Level 1 - Barc RA Char_3"/>
    <w:basedOn w:val="DefaultParagraphFont"/>
    <w:link w:val="HeadingLevel1-BarcRA14"/>
    <w:rsid w:val="009705AC"/>
    <w:rPr>
      <w:rFonts w:ascii="Expert Sans Regular" w:hAnsi="Expert Sans Regular"/>
      <w:b/>
      <w:bCs/>
      <w:color w:val="000000"/>
      <w:sz w:val="24"/>
      <w:lang w:val="la-Latn"/>
    </w:rPr>
  </w:style>
  <w:style w:type="paragraph" w:customStyle="1" w:styleId="Level1Bullet-BarcRA70">
    <w:name w:val="Level 1 Bullet - Barc RA_7_0"/>
    <w:basedOn w:val="Normal22"/>
    <w:rsid w:val="00886C43"/>
    <w:pPr>
      <w:numPr>
        <w:numId w:val="42"/>
      </w:numPr>
      <w:spacing w:before="180" w:after="180"/>
      <w:jc w:val="both"/>
    </w:pPr>
    <w:rPr>
      <w:szCs w:val="20"/>
      <w:lang w:val="la-Latn"/>
    </w:rPr>
  </w:style>
  <w:style w:type="paragraph" w:customStyle="1" w:styleId="Normal22">
    <w:name w:val="Normal_22"/>
    <w:qFormat/>
    <w:rsid w:val="009705AC"/>
    <w:rPr>
      <w:rFonts w:ascii="Expert Sans Regular" w:hAnsi="Expert Sans Regular"/>
      <w:sz w:val="18"/>
      <w:szCs w:val="24"/>
      <w:lang w:eastAsia="en-US"/>
    </w:rPr>
  </w:style>
  <w:style w:type="paragraph" w:customStyle="1" w:styleId="Level1Bullet-BarcRA700">
    <w:name w:val="Level 1 Bullet - Barc RA_7_0_0"/>
    <w:basedOn w:val="Normal23"/>
    <w:rsid w:val="00732067"/>
    <w:pPr>
      <w:tabs>
        <w:tab w:val="num" w:pos="284"/>
      </w:tabs>
      <w:spacing w:before="180" w:after="180"/>
      <w:ind w:left="284" w:hanging="284"/>
      <w:jc w:val="both"/>
    </w:pPr>
    <w:rPr>
      <w:szCs w:val="20"/>
      <w:lang w:val="la-Latn"/>
    </w:rPr>
  </w:style>
  <w:style w:type="paragraph" w:customStyle="1" w:styleId="Normal23">
    <w:name w:val="Normal_23"/>
    <w:qFormat/>
    <w:rsid w:val="009705AC"/>
    <w:rPr>
      <w:rFonts w:ascii="Expert Sans Regular" w:hAnsi="Expert Sans Regular"/>
      <w:sz w:val="18"/>
      <w:szCs w:val="24"/>
      <w:lang w:eastAsia="en-US"/>
    </w:rPr>
  </w:style>
  <w:style w:type="paragraph" w:customStyle="1" w:styleId="Level2Bullet-BarcRA3">
    <w:name w:val="Level 2 Bullet - Barc RA_3"/>
    <w:basedOn w:val="Level1Bullet-BarcRA7"/>
    <w:qFormat/>
    <w:rsid w:val="004A43C8"/>
    <w:pPr>
      <w:numPr>
        <w:ilvl w:val="2"/>
        <w:numId w:val="43"/>
      </w:numPr>
    </w:pPr>
  </w:style>
  <w:style w:type="paragraph" w:customStyle="1" w:styleId="Level1Bullet-BarcRA7">
    <w:name w:val="Level 1 Bullet - Barc RA_7"/>
    <w:basedOn w:val="Normal23"/>
    <w:rsid w:val="004A43C8"/>
    <w:pPr>
      <w:numPr>
        <w:numId w:val="44"/>
      </w:numPr>
      <w:spacing w:before="180" w:after="180"/>
      <w:jc w:val="both"/>
    </w:pPr>
    <w:rPr>
      <w:szCs w:val="20"/>
      <w:lang w:val="la-Latn"/>
    </w:rPr>
  </w:style>
  <w:style w:type="paragraph" w:customStyle="1" w:styleId="BodyText-BarcRA19">
    <w:name w:val="Body Text - Barc RA_19"/>
    <w:link w:val="BodyText-BarcRAChar7"/>
    <w:qFormat/>
    <w:rsid w:val="00466E7E"/>
    <w:pPr>
      <w:spacing w:before="180" w:after="180"/>
      <w:jc w:val="both"/>
    </w:pPr>
    <w:rPr>
      <w:rFonts w:ascii="Expert Sans Regular" w:hAnsi="Expert Sans Regular"/>
      <w:sz w:val="18"/>
      <w:lang w:eastAsia="en-US"/>
    </w:rPr>
  </w:style>
  <w:style w:type="character" w:customStyle="1" w:styleId="BodyText-BarcRAChar7">
    <w:name w:val="Body Text - Barc RA Char_7"/>
    <w:basedOn w:val="DefaultParagraphFont"/>
    <w:link w:val="BodyText-BarcRA19"/>
    <w:rsid w:val="00466E7E"/>
    <w:rPr>
      <w:rFonts w:ascii="Expert Sans Regular" w:hAnsi="Expert Sans Regular"/>
      <w:sz w:val="18"/>
      <w:lang w:val="en-GB" w:eastAsia="en-US" w:bidi="ar-SA"/>
    </w:rPr>
  </w:style>
  <w:style w:type="paragraph" w:customStyle="1" w:styleId="HeadingLevel1-BarcRA15">
    <w:name w:val="Heading Level 1 - Barc RA_15"/>
    <w:basedOn w:val="BodyText-BarcRA19"/>
    <w:next w:val="BodyText-BarcRA19"/>
    <w:link w:val="HeadingLevel1-BarcRAChar4"/>
    <w:rsid w:val="00466E7E"/>
    <w:pPr>
      <w:spacing w:before="0"/>
    </w:pPr>
    <w:rPr>
      <w:b/>
      <w:bCs/>
      <w:color w:val="000000"/>
      <w:sz w:val="24"/>
      <w:lang w:val="la-Latn"/>
    </w:rPr>
  </w:style>
  <w:style w:type="character" w:customStyle="1" w:styleId="HeadingLevel1-BarcRAChar4">
    <w:name w:val="Heading Level 1 - Barc RA Char_4"/>
    <w:basedOn w:val="DefaultParagraphFont"/>
    <w:link w:val="HeadingLevel1-BarcRA15"/>
    <w:rsid w:val="00466E7E"/>
    <w:rPr>
      <w:rFonts w:ascii="Expert Sans Regular" w:hAnsi="Expert Sans Regular"/>
      <w:b/>
      <w:bCs/>
      <w:color w:val="000000"/>
      <w:sz w:val="24"/>
      <w:lang w:val="la-Latn" w:eastAsia="en-US"/>
    </w:rPr>
  </w:style>
  <w:style w:type="paragraph" w:customStyle="1" w:styleId="HeadingLevel1-BarcRA16">
    <w:name w:val="Heading Level 1 - Barc RA_16"/>
    <w:basedOn w:val="BodyText-BarcRA20"/>
    <w:next w:val="BodyText-BarcRA20"/>
    <w:link w:val="HeadingLevel1-BarcRAChar5"/>
    <w:rsid w:val="002611B5"/>
    <w:pPr>
      <w:spacing w:before="0"/>
    </w:pPr>
    <w:rPr>
      <w:b/>
      <w:bCs/>
      <w:color w:val="000000"/>
      <w:sz w:val="24"/>
      <w:lang w:val="la-Latn"/>
    </w:rPr>
  </w:style>
  <w:style w:type="paragraph" w:customStyle="1" w:styleId="BodyText-BarcRA20">
    <w:name w:val="Body Text - Barc RA_20"/>
    <w:link w:val="BodyText-BarcRAChar8"/>
    <w:qFormat/>
    <w:rsid w:val="005D52ED"/>
    <w:pPr>
      <w:spacing w:before="180" w:after="180"/>
      <w:jc w:val="both"/>
    </w:pPr>
    <w:rPr>
      <w:rFonts w:ascii="Expert Sans Regular" w:hAnsi="Expert Sans Regular"/>
      <w:sz w:val="18"/>
      <w:lang w:eastAsia="en-US"/>
    </w:rPr>
  </w:style>
  <w:style w:type="character" w:customStyle="1" w:styleId="BodyText-BarcRAChar8">
    <w:name w:val="Body Text - Barc RA Char_8"/>
    <w:basedOn w:val="DefaultParagraphFont"/>
    <w:link w:val="BodyText-BarcRA20"/>
    <w:rsid w:val="005D52ED"/>
    <w:rPr>
      <w:rFonts w:ascii="Expert Sans Regular" w:hAnsi="Expert Sans Regular"/>
      <w:sz w:val="18"/>
      <w:lang w:val="en-GB" w:eastAsia="en-US" w:bidi="ar-SA"/>
    </w:rPr>
  </w:style>
  <w:style w:type="character" w:customStyle="1" w:styleId="HeadingLevel1-BarcRAChar5">
    <w:name w:val="Heading Level 1 - Barc RA Char_5"/>
    <w:basedOn w:val="DefaultParagraphFont"/>
    <w:link w:val="HeadingLevel1-BarcRA16"/>
    <w:rsid w:val="009705AC"/>
    <w:rPr>
      <w:rFonts w:ascii="Expert Sans Regular" w:hAnsi="Expert Sans Regular"/>
      <w:b/>
      <w:bCs/>
      <w:color w:val="000000"/>
      <w:sz w:val="24"/>
      <w:lang w:val="la-Latn"/>
    </w:rPr>
  </w:style>
  <w:style w:type="paragraph" w:customStyle="1" w:styleId="Normal24">
    <w:name w:val="Normal_24"/>
    <w:qFormat/>
    <w:rsid w:val="009705AC"/>
    <w:rPr>
      <w:rFonts w:ascii="Expert Sans Regular" w:hAnsi="Expert Sans Regular"/>
      <w:sz w:val="18"/>
      <w:szCs w:val="24"/>
      <w:lang w:eastAsia="en-US"/>
    </w:rPr>
  </w:style>
  <w:style w:type="paragraph" w:customStyle="1" w:styleId="Level1Bullet-BarcRA9">
    <w:name w:val="Level 1 Bullet - Barc RA_9"/>
    <w:basedOn w:val="Normal24"/>
    <w:link w:val="Level1Bullet-BarcRAChar5"/>
    <w:rsid w:val="0080420C"/>
    <w:pPr>
      <w:numPr>
        <w:numId w:val="46"/>
      </w:numPr>
      <w:spacing w:before="180" w:after="180"/>
      <w:jc w:val="both"/>
    </w:pPr>
    <w:rPr>
      <w:szCs w:val="20"/>
      <w:lang w:val="la-Latn"/>
    </w:rPr>
  </w:style>
  <w:style w:type="character" w:customStyle="1" w:styleId="Level1Bullet-BarcRAChar5">
    <w:name w:val="Level 1 Bullet - Barc RA Char_5"/>
    <w:basedOn w:val="DefaultParagraphFont"/>
    <w:link w:val="Level1Bullet-BarcRA9"/>
    <w:locked/>
    <w:rsid w:val="0080420C"/>
    <w:rPr>
      <w:rFonts w:ascii="Expert Sans Regular" w:hAnsi="Expert Sans Regular"/>
      <w:sz w:val="18"/>
      <w:lang w:val="la-Latn" w:eastAsia="en-US"/>
    </w:rPr>
  </w:style>
  <w:style w:type="paragraph" w:customStyle="1" w:styleId="Level2Bullet-BarcRA4">
    <w:name w:val="Level 2 Bullet - Barc RA_4"/>
    <w:basedOn w:val="Level1Bullet-BarcRA8"/>
    <w:qFormat/>
    <w:rsid w:val="00C64D18"/>
    <w:pPr>
      <w:numPr>
        <w:ilvl w:val="2"/>
        <w:numId w:val="47"/>
      </w:numPr>
    </w:pPr>
  </w:style>
  <w:style w:type="paragraph" w:customStyle="1" w:styleId="Level1Bullet-BarcRA8">
    <w:name w:val="Level 1 Bullet - Barc RA_8"/>
    <w:basedOn w:val="BodyText-BarcRA20"/>
    <w:link w:val="Level1Bullet-BarcRAChar4"/>
    <w:rsid w:val="00A85CEE"/>
    <w:pPr>
      <w:numPr>
        <w:numId w:val="48"/>
      </w:numPr>
    </w:pPr>
    <w:rPr>
      <w:lang w:val="la-Latn"/>
    </w:rPr>
  </w:style>
  <w:style w:type="character" w:customStyle="1" w:styleId="Level1Bullet-BarcRAChar4">
    <w:name w:val="Level 1 Bullet - Barc RA Char_4"/>
    <w:basedOn w:val="BodyText-BarcRAChar8"/>
    <w:link w:val="Level1Bullet-BarcRA8"/>
    <w:rsid w:val="00A85CEE"/>
    <w:rPr>
      <w:rFonts w:ascii="Expert Sans Regular" w:hAnsi="Expert Sans Regular"/>
      <w:sz w:val="18"/>
      <w:lang w:val="la-Latn" w:eastAsia="en-US" w:bidi="ar-SA"/>
    </w:rPr>
  </w:style>
  <w:style w:type="paragraph" w:customStyle="1" w:styleId="HeadingLevel1-BarcRA17">
    <w:name w:val="Heading Level 1 - Barc RA_17"/>
    <w:basedOn w:val="BodyText-BarcRA21"/>
    <w:next w:val="BodyText-BarcRA21"/>
    <w:link w:val="HeadingLevel1-BarcRAChar6"/>
    <w:rsid w:val="002611B5"/>
    <w:pPr>
      <w:spacing w:before="0"/>
    </w:pPr>
    <w:rPr>
      <w:b/>
      <w:bCs/>
      <w:color w:val="000000"/>
      <w:sz w:val="24"/>
      <w:lang w:val="la-Latn"/>
    </w:rPr>
  </w:style>
  <w:style w:type="paragraph" w:customStyle="1" w:styleId="BodyText-BarcRA21">
    <w:name w:val="Body Text - Barc RA_21"/>
    <w:link w:val="BodyText-BarcRAChar9"/>
    <w:qFormat/>
    <w:rsid w:val="005D52ED"/>
    <w:pPr>
      <w:spacing w:before="180" w:after="180"/>
      <w:jc w:val="both"/>
    </w:pPr>
    <w:rPr>
      <w:rFonts w:ascii="Expert Sans Regular" w:hAnsi="Expert Sans Regular"/>
      <w:sz w:val="18"/>
      <w:lang w:eastAsia="en-US"/>
    </w:rPr>
  </w:style>
  <w:style w:type="character" w:customStyle="1" w:styleId="BodyText-BarcRAChar9">
    <w:name w:val="Body Text - Barc RA Char_9"/>
    <w:basedOn w:val="DefaultParagraphFont"/>
    <w:link w:val="BodyText-BarcRA21"/>
    <w:rsid w:val="005D52ED"/>
    <w:rPr>
      <w:rFonts w:ascii="Expert Sans Regular" w:hAnsi="Expert Sans Regular"/>
      <w:sz w:val="18"/>
      <w:lang w:val="en-GB" w:eastAsia="en-US" w:bidi="ar-SA"/>
    </w:rPr>
  </w:style>
  <w:style w:type="character" w:customStyle="1" w:styleId="HeadingLevel1-BarcRAChar6">
    <w:name w:val="Heading Level 1 - Barc RA Char_6"/>
    <w:basedOn w:val="DefaultParagraphFont"/>
    <w:link w:val="HeadingLevel1-BarcRA17"/>
    <w:rsid w:val="009705AC"/>
    <w:rPr>
      <w:rFonts w:ascii="Expert Sans Regular" w:hAnsi="Expert Sans Regular"/>
      <w:b/>
      <w:bCs/>
      <w:color w:val="000000"/>
      <w:sz w:val="24"/>
      <w:lang w:val="la-Latn"/>
    </w:rPr>
  </w:style>
  <w:style w:type="paragraph" w:customStyle="1" w:styleId="Level1Bullet-BarcRA80">
    <w:name w:val="Level 1 Bullet - Barc RA_8_0"/>
    <w:basedOn w:val="Normal25"/>
    <w:link w:val="Level1Bullet-BarcRAChar6"/>
    <w:rsid w:val="004F6481"/>
    <w:pPr>
      <w:numPr>
        <w:numId w:val="49"/>
      </w:numPr>
      <w:spacing w:before="180" w:after="180"/>
      <w:jc w:val="both"/>
    </w:pPr>
    <w:rPr>
      <w:szCs w:val="20"/>
      <w:lang w:val="la-Latn"/>
    </w:rPr>
  </w:style>
  <w:style w:type="paragraph" w:customStyle="1" w:styleId="Normal25">
    <w:name w:val="Normal_25"/>
    <w:qFormat/>
    <w:rsid w:val="009705AC"/>
    <w:rPr>
      <w:rFonts w:ascii="Expert Sans Regular" w:hAnsi="Expert Sans Regular"/>
      <w:sz w:val="18"/>
      <w:szCs w:val="24"/>
      <w:lang w:eastAsia="en-US"/>
    </w:rPr>
  </w:style>
  <w:style w:type="character" w:customStyle="1" w:styleId="Level1Bullet-BarcRAChar6">
    <w:name w:val="Level 1 Bullet - Barc RA Char_6"/>
    <w:basedOn w:val="DefaultParagraphFont"/>
    <w:link w:val="Level1Bullet-BarcRA80"/>
    <w:rsid w:val="004F6481"/>
    <w:rPr>
      <w:rFonts w:ascii="Expert Sans Regular" w:hAnsi="Expert Sans Regular"/>
      <w:sz w:val="18"/>
      <w:lang w:val="la-Latn" w:eastAsia="en-US"/>
    </w:rPr>
  </w:style>
  <w:style w:type="paragraph" w:customStyle="1" w:styleId="Level2Bullet-BarcRA40">
    <w:name w:val="Level 2 Bullet - Barc RA_4_0"/>
    <w:basedOn w:val="Level1Bullet-BarcRA80"/>
    <w:qFormat/>
    <w:rsid w:val="004F6481"/>
    <w:pPr>
      <w:numPr>
        <w:ilvl w:val="2"/>
        <w:numId w:val="50"/>
      </w:numPr>
    </w:pPr>
  </w:style>
  <w:style w:type="paragraph" w:customStyle="1" w:styleId="Normal26">
    <w:name w:val="Normal_26"/>
    <w:qFormat/>
    <w:rsid w:val="009705AC"/>
    <w:rPr>
      <w:rFonts w:ascii="Expert Sans Regular" w:hAnsi="Expert Sans Regular"/>
      <w:sz w:val="18"/>
      <w:szCs w:val="24"/>
      <w:lang w:eastAsia="en-US"/>
    </w:rPr>
  </w:style>
  <w:style w:type="paragraph" w:customStyle="1" w:styleId="Normal00">
    <w:name w:val="Normal_0_0"/>
    <w:qFormat/>
    <w:rsid w:val="00462525"/>
    <w:rPr>
      <w:sz w:val="24"/>
      <w:szCs w:val="24"/>
    </w:rPr>
  </w:style>
  <w:style w:type="paragraph" w:customStyle="1" w:styleId="Level1Bullet-BarcRA203">
    <w:name w:val="Level 1 Bullet - Barc RA_2_0_3"/>
    <w:basedOn w:val="Normal26"/>
    <w:rsid w:val="00127031"/>
    <w:pPr>
      <w:numPr>
        <w:numId w:val="51"/>
      </w:numPr>
      <w:spacing w:before="180" w:after="180"/>
      <w:jc w:val="both"/>
    </w:pPr>
    <w:rPr>
      <w:szCs w:val="20"/>
      <w:lang w:val="la-Latn"/>
    </w:rPr>
  </w:style>
  <w:style w:type="paragraph" w:customStyle="1" w:styleId="Level1Bullet-BarcRA2031">
    <w:name w:val="Level 1 Bullet - Barc RA_2_0_3_1"/>
    <w:basedOn w:val="Normal26"/>
    <w:rsid w:val="003364F5"/>
    <w:pPr>
      <w:numPr>
        <w:numId w:val="52"/>
      </w:numPr>
      <w:spacing w:before="180" w:after="180"/>
      <w:jc w:val="both"/>
    </w:pPr>
    <w:rPr>
      <w:szCs w:val="20"/>
      <w:lang w:val="la-Latn"/>
    </w:rPr>
  </w:style>
  <w:style w:type="paragraph" w:customStyle="1" w:styleId="Level2Bullet-BarcRA5">
    <w:name w:val="Level 2 Bullet - Barc RA_5"/>
    <w:basedOn w:val="Level1Bullet-BarcRA12"/>
    <w:qFormat/>
    <w:rsid w:val="00A85CEE"/>
    <w:pPr>
      <w:numPr>
        <w:ilvl w:val="2"/>
        <w:numId w:val="53"/>
      </w:numPr>
      <w:tabs>
        <w:tab w:val="clear" w:pos="1401"/>
        <w:tab w:val="num" w:pos="567"/>
      </w:tabs>
      <w:ind w:left="567" w:hanging="283"/>
    </w:pPr>
  </w:style>
  <w:style w:type="paragraph" w:customStyle="1" w:styleId="Level1Bullet-BarcRA12">
    <w:name w:val="Level 1 Bullet - Barc RA_12"/>
    <w:basedOn w:val="BodyText-BarcRA22"/>
    <w:link w:val="Level1Bullet-BarcRAChar7"/>
    <w:rsid w:val="00A85CEE"/>
    <w:pPr>
      <w:numPr>
        <w:numId w:val="54"/>
      </w:numPr>
    </w:pPr>
    <w:rPr>
      <w:lang w:val="la-Latn"/>
    </w:rPr>
  </w:style>
  <w:style w:type="paragraph" w:customStyle="1" w:styleId="BodyText-BarcRA22">
    <w:name w:val="Body Text - Barc RA_22"/>
    <w:link w:val="BodyText-BarcRAChar100"/>
    <w:qFormat/>
    <w:rsid w:val="005D52ED"/>
    <w:pPr>
      <w:spacing w:before="180" w:after="180"/>
      <w:jc w:val="both"/>
    </w:pPr>
    <w:rPr>
      <w:rFonts w:ascii="Expert Sans Regular" w:hAnsi="Expert Sans Regular"/>
      <w:sz w:val="18"/>
      <w:lang w:eastAsia="en-US"/>
    </w:rPr>
  </w:style>
  <w:style w:type="character" w:customStyle="1" w:styleId="BodyText-BarcRAChar100">
    <w:name w:val="Body Text - Barc RA Char_10"/>
    <w:basedOn w:val="DefaultParagraphFont"/>
    <w:link w:val="BodyText-BarcRA22"/>
    <w:rsid w:val="005D52ED"/>
    <w:rPr>
      <w:rFonts w:ascii="Expert Sans Regular" w:hAnsi="Expert Sans Regular"/>
      <w:sz w:val="18"/>
      <w:lang w:val="en-GB" w:eastAsia="en-US" w:bidi="ar-SA"/>
    </w:rPr>
  </w:style>
  <w:style w:type="character" w:customStyle="1" w:styleId="Level1Bullet-BarcRAChar7">
    <w:name w:val="Level 1 Bullet - Barc RA Char_7"/>
    <w:basedOn w:val="BodyText-BarcRAChar100"/>
    <w:link w:val="Level1Bullet-BarcRA12"/>
    <w:rsid w:val="00A85CEE"/>
    <w:rPr>
      <w:rFonts w:ascii="Expert Sans Regular" w:hAnsi="Expert Sans Regular"/>
      <w:sz w:val="18"/>
      <w:lang w:val="la-Latn" w:eastAsia="en-US" w:bidi="ar-SA"/>
    </w:rPr>
  </w:style>
  <w:style w:type="paragraph" w:customStyle="1" w:styleId="Level1Bullet-BarcRA20310">
    <w:name w:val="Level 1 Bullet - Barc RA_2_0_3_1_0"/>
    <w:basedOn w:val="Normal26"/>
    <w:rsid w:val="009A3225"/>
    <w:pPr>
      <w:numPr>
        <w:numId w:val="55"/>
      </w:numPr>
      <w:spacing w:before="180" w:after="180"/>
      <w:jc w:val="both"/>
    </w:pPr>
    <w:rPr>
      <w:szCs w:val="20"/>
      <w:lang w:val="la-Latn"/>
    </w:rPr>
  </w:style>
  <w:style w:type="paragraph" w:customStyle="1" w:styleId="BarclaysFooterText">
    <w:name w:val="Barclays Footer Text"/>
    <w:basedOn w:val="Normal26"/>
    <w:rsid w:val="00B04DC7"/>
    <w:pPr>
      <w:spacing w:before="120" w:after="120"/>
      <w:jc w:val="both"/>
    </w:pPr>
    <w:rPr>
      <w:b/>
      <w:bCs/>
      <w:sz w:val="16"/>
      <w:szCs w:val="16"/>
    </w:rPr>
  </w:style>
  <w:style w:type="paragraph" w:customStyle="1" w:styleId="HeadingLevel1-BarcRA18">
    <w:name w:val="Heading Level 1 - Barc RA_18"/>
    <w:basedOn w:val="BodyText-BarcRA23"/>
    <w:next w:val="BodyText-BarcRA23"/>
    <w:link w:val="HeadingLevel1-BarcRAChar7"/>
    <w:rsid w:val="002611B5"/>
    <w:pPr>
      <w:spacing w:before="0"/>
    </w:pPr>
    <w:rPr>
      <w:b/>
      <w:bCs/>
      <w:color w:val="000000"/>
      <w:sz w:val="24"/>
      <w:lang w:val="la-Latn"/>
    </w:rPr>
  </w:style>
  <w:style w:type="paragraph" w:customStyle="1" w:styleId="BodyText-BarcRA23">
    <w:name w:val="Body Text - Barc RA_23"/>
    <w:link w:val="BodyText-BarcRAChar11"/>
    <w:qFormat/>
    <w:rsid w:val="005D52ED"/>
    <w:pPr>
      <w:spacing w:before="180" w:after="180"/>
      <w:jc w:val="both"/>
    </w:pPr>
    <w:rPr>
      <w:rFonts w:ascii="Expert Sans Regular" w:hAnsi="Expert Sans Regular"/>
      <w:sz w:val="18"/>
      <w:lang w:eastAsia="en-US"/>
    </w:rPr>
  </w:style>
  <w:style w:type="character" w:customStyle="1" w:styleId="BodyText-BarcRAChar11">
    <w:name w:val="Body Text - Barc RA Char_11"/>
    <w:basedOn w:val="DefaultParagraphFont"/>
    <w:link w:val="BodyText-BarcRA23"/>
    <w:rsid w:val="005D52ED"/>
    <w:rPr>
      <w:rFonts w:ascii="Expert Sans Regular" w:hAnsi="Expert Sans Regular"/>
      <w:sz w:val="18"/>
      <w:lang w:val="en-GB" w:eastAsia="en-US" w:bidi="ar-SA"/>
    </w:rPr>
  </w:style>
  <w:style w:type="character" w:customStyle="1" w:styleId="HeadingLevel1-BarcRAChar7">
    <w:name w:val="Heading Level 1 - Barc RA Char_7"/>
    <w:basedOn w:val="DefaultParagraphFont"/>
    <w:link w:val="HeadingLevel1-BarcRA18"/>
    <w:rsid w:val="009705AC"/>
    <w:rPr>
      <w:rFonts w:ascii="Expert Sans Regular" w:hAnsi="Expert Sans Regular"/>
      <w:b/>
      <w:bCs/>
      <w:color w:val="000000"/>
      <w:sz w:val="24"/>
      <w:lang w:val="la-Latn"/>
    </w:rPr>
  </w:style>
  <w:style w:type="paragraph" w:customStyle="1" w:styleId="HeaderSpacerwithLine-BarcRA7">
    <w:name w:val="Header Spacer with Line - Barc RA_7"/>
    <w:basedOn w:val="BodyText-BarcRA23"/>
    <w:link w:val="HeaderSpacerwithLine-BarcRAChar0"/>
    <w:rsid w:val="00016DD8"/>
    <w:pPr>
      <w:pBdr>
        <w:top w:val="single" w:sz="4" w:space="1" w:color="auto"/>
      </w:pBdr>
      <w:spacing w:before="0" w:after="0"/>
    </w:pPr>
    <w:rPr>
      <w:sz w:val="10"/>
      <w:szCs w:val="10"/>
    </w:rPr>
  </w:style>
  <w:style w:type="character" w:customStyle="1" w:styleId="HeaderSpacerwithLine-BarcRAChar0">
    <w:name w:val="Header Spacer with Line - Barc RA Char_0"/>
    <w:basedOn w:val="BodyText-BarcRAChar11"/>
    <w:link w:val="HeaderSpacerwithLine-BarcRA7"/>
    <w:rsid w:val="000E2451"/>
    <w:rPr>
      <w:rFonts w:ascii="Expert Sans Regular" w:hAnsi="Expert Sans Regular"/>
      <w:sz w:val="10"/>
      <w:szCs w:val="10"/>
      <w:lang w:val="en-GB" w:eastAsia="en-US" w:bidi="ar-SA"/>
    </w:rPr>
  </w:style>
  <w:style w:type="paragraph" w:customStyle="1" w:styleId="HeadingLevel1-BarcRA19">
    <w:name w:val="Heading Level 1 - Barc RA_19"/>
    <w:basedOn w:val="BodyText-BarcRA24"/>
    <w:next w:val="BodyText-BarcRA24"/>
    <w:link w:val="HeadingLevel1-BarcRAChar8"/>
    <w:rsid w:val="002611B5"/>
    <w:pPr>
      <w:spacing w:before="0"/>
    </w:pPr>
    <w:rPr>
      <w:b/>
      <w:bCs/>
      <w:color w:val="000000"/>
      <w:sz w:val="24"/>
      <w:lang w:val="la-Latn"/>
    </w:rPr>
  </w:style>
  <w:style w:type="paragraph" w:customStyle="1" w:styleId="BodyText-BarcRA24">
    <w:name w:val="Body Text - Barc RA_24"/>
    <w:link w:val="BodyText-BarcRAChar12"/>
    <w:qFormat/>
    <w:rsid w:val="005D52ED"/>
    <w:pPr>
      <w:spacing w:before="180" w:after="180"/>
      <w:jc w:val="both"/>
    </w:pPr>
    <w:rPr>
      <w:rFonts w:ascii="Expert Sans Regular" w:hAnsi="Expert Sans Regular"/>
      <w:sz w:val="18"/>
      <w:lang w:eastAsia="en-US"/>
    </w:rPr>
  </w:style>
  <w:style w:type="character" w:customStyle="1" w:styleId="BodyText-BarcRAChar12">
    <w:name w:val="Body Text - Barc RA Char_12"/>
    <w:basedOn w:val="DefaultParagraphFont"/>
    <w:link w:val="BodyText-BarcRA24"/>
    <w:rsid w:val="005D52ED"/>
    <w:rPr>
      <w:rFonts w:ascii="Expert Sans Regular" w:hAnsi="Expert Sans Regular"/>
      <w:sz w:val="18"/>
      <w:lang w:val="en-GB" w:eastAsia="en-US" w:bidi="ar-SA"/>
    </w:rPr>
  </w:style>
  <w:style w:type="character" w:customStyle="1" w:styleId="HeadingLevel1-BarcRAChar8">
    <w:name w:val="Heading Level 1 - Barc RA Char_8"/>
    <w:basedOn w:val="DefaultParagraphFont"/>
    <w:link w:val="HeadingLevel1-BarcRA19"/>
    <w:rsid w:val="009705AC"/>
    <w:rPr>
      <w:rFonts w:ascii="Expert Sans Regular" w:hAnsi="Expert Sans Regular"/>
      <w:b/>
      <w:bCs/>
      <w:color w:val="000000"/>
      <w:sz w:val="24"/>
      <w:lang w:val="la-Latn"/>
    </w:rPr>
  </w:style>
  <w:style w:type="paragraph" w:customStyle="1" w:styleId="HeaderSpacerwithLine-BarcRA8">
    <w:name w:val="Header Spacer with Line - Barc RA_8"/>
    <w:basedOn w:val="BodyText-BarcRA24"/>
    <w:link w:val="HeaderSpacerwithLine-BarcRAChar1"/>
    <w:rsid w:val="00016DD8"/>
    <w:pPr>
      <w:pBdr>
        <w:top w:val="single" w:sz="4" w:space="1" w:color="auto"/>
      </w:pBdr>
      <w:spacing w:before="0" w:after="0"/>
    </w:pPr>
    <w:rPr>
      <w:sz w:val="10"/>
      <w:szCs w:val="10"/>
    </w:rPr>
  </w:style>
  <w:style w:type="character" w:customStyle="1" w:styleId="HeaderSpacerwithLine-BarcRAChar1">
    <w:name w:val="Header Spacer with Line - Barc RA Char_1"/>
    <w:basedOn w:val="BodyText-BarcRAChar12"/>
    <w:link w:val="HeaderSpacerwithLine-BarcRA8"/>
    <w:rsid w:val="000E2451"/>
    <w:rPr>
      <w:rFonts w:ascii="Expert Sans Regular" w:hAnsi="Expert Sans Regular"/>
      <w:sz w:val="10"/>
      <w:szCs w:val="10"/>
      <w:lang w:val="en-GB" w:eastAsia="en-US" w:bidi="ar-SA"/>
    </w:rPr>
  </w:style>
  <w:style w:type="paragraph" w:customStyle="1" w:styleId="HeadingLevel1-BarcRA200">
    <w:name w:val="Heading Level 1 - Barc RA_20"/>
    <w:basedOn w:val="BodyText-BarcRA25"/>
    <w:next w:val="BodyText-BarcRA25"/>
    <w:link w:val="HeadingLevel1-BarcRAChar9"/>
    <w:rsid w:val="002611B5"/>
    <w:pPr>
      <w:spacing w:before="0"/>
    </w:pPr>
    <w:rPr>
      <w:b/>
      <w:bCs/>
      <w:color w:val="000000"/>
      <w:sz w:val="24"/>
      <w:lang w:val="la-Latn"/>
    </w:rPr>
  </w:style>
  <w:style w:type="paragraph" w:customStyle="1" w:styleId="BodyText-BarcRA25">
    <w:name w:val="Body Text - Barc RA_25"/>
    <w:link w:val="BodyText-BarcRAChar13"/>
    <w:qFormat/>
    <w:rsid w:val="005D52ED"/>
    <w:pPr>
      <w:spacing w:before="180" w:after="180"/>
      <w:jc w:val="both"/>
    </w:pPr>
    <w:rPr>
      <w:rFonts w:ascii="Expert Sans Regular" w:hAnsi="Expert Sans Regular"/>
      <w:sz w:val="18"/>
      <w:lang w:eastAsia="en-US"/>
    </w:rPr>
  </w:style>
  <w:style w:type="character" w:customStyle="1" w:styleId="BodyText-BarcRAChar13">
    <w:name w:val="Body Text - Barc RA Char_13"/>
    <w:basedOn w:val="DefaultParagraphFont"/>
    <w:link w:val="BodyText-BarcRA25"/>
    <w:rsid w:val="005D52ED"/>
    <w:rPr>
      <w:rFonts w:ascii="Expert Sans Regular" w:hAnsi="Expert Sans Regular"/>
      <w:sz w:val="18"/>
      <w:lang w:val="en-GB" w:eastAsia="en-US" w:bidi="ar-SA"/>
    </w:rPr>
  </w:style>
  <w:style w:type="character" w:customStyle="1" w:styleId="HeadingLevel1-BarcRAChar9">
    <w:name w:val="Heading Level 1 - Barc RA Char_9"/>
    <w:basedOn w:val="DefaultParagraphFont"/>
    <w:link w:val="HeadingLevel1-BarcRA200"/>
    <w:rsid w:val="009705AC"/>
    <w:rPr>
      <w:rFonts w:ascii="Expert Sans Regular" w:hAnsi="Expert Sans Regular"/>
      <w:b/>
      <w:bCs/>
      <w:color w:val="000000"/>
      <w:sz w:val="24"/>
      <w:lang w:val="la-Latn"/>
    </w:rPr>
  </w:style>
  <w:style w:type="paragraph" w:customStyle="1" w:styleId="Normal27">
    <w:name w:val="Normal_27"/>
    <w:qFormat/>
    <w:rsid w:val="009A5C82"/>
    <w:rPr>
      <w:rFonts w:ascii="Expert Sans Regular" w:eastAsia="Expert Sans Regular" w:hAnsi="Expert Sans Regular" w:cs="Expert Sans Regular"/>
      <w:sz w:val="2"/>
      <w:szCs w:val="24"/>
      <w:lang w:val="en-US" w:eastAsia="en-US"/>
    </w:rPr>
  </w:style>
  <w:style w:type="paragraph" w:customStyle="1" w:styleId="HeadingLevel2-BarcRA1">
    <w:name w:val="Heading Level 2 - Barc RA_1"/>
    <w:basedOn w:val="HeadingLevel1-BarcRA21"/>
    <w:next w:val="BodyText-BarcRA26"/>
    <w:qFormat/>
    <w:rsid w:val="00EE71E7"/>
    <w:pPr>
      <w:spacing w:before="240" w:after="0"/>
    </w:pPr>
    <w:rPr>
      <w:sz w:val="20"/>
    </w:rPr>
  </w:style>
  <w:style w:type="paragraph" w:customStyle="1" w:styleId="HeadingLevel1-BarcRA21">
    <w:name w:val="Heading Level 1 - Barc RA_21"/>
    <w:basedOn w:val="BodyText-BarcRA26"/>
    <w:next w:val="BodyText-BarcRA26"/>
    <w:link w:val="HeadingLevel1-BarcRAChar10"/>
    <w:qFormat/>
    <w:rsid w:val="002611B5"/>
    <w:pPr>
      <w:spacing w:before="0"/>
    </w:pPr>
    <w:rPr>
      <w:b/>
      <w:bCs/>
      <w:color w:val="000000"/>
      <w:sz w:val="24"/>
      <w:lang w:val="la-Latn"/>
    </w:rPr>
  </w:style>
  <w:style w:type="paragraph" w:customStyle="1" w:styleId="BodyText-BarcRA26">
    <w:name w:val="Body Text - Barc RA_26"/>
    <w:link w:val="BodyText-BarcRAChar14"/>
    <w:qFormat/>
    <w:rsid w:val="005D52ED"/>
    <w:pPr>
      <w:spacing w:before="180" w:after="180"/>
      <w:jc w:val="both"/>
    </w:pPr>
    <w:rPr>
      <w:rFonts w:ascii="Expert Sans Regular" w:hAnsi="Expert Sans Regular"/>
      <w:sz w:val="18"/>
      <w:lang w:eastAsia="en-US"/>
    </w:rPr>
  </w:style>
  <w:style w:type="character" w:customStyle="1" w:styleId="BodyText-BarcRAChar14">
    <w:name w:val="Body Text - Barc RA Char_14"/>
    <w:basedOn w:val="DefaultParagraphFont"/>
    <w:link w:val="BodyText-BarcRA26"/>
    <w:rsid w:val="005D52ED"/>
    <w:rPr>
      <w:rFonts w:ascii="Expert Sans Regular" w:hAnsi="Expert Sans Regular"/>
      <w:sz w:val="18"/>
      <w:lang w:val="en-GB" w:eastAsia="en-US" w:bidi="ar-SA"/>
    </w:rPr>
  </w:style>
  <w:style w:type="character" w:customStyle="1" w:styleId="HeadingLevel1-BarcRAChar10">
    <w:name w:val="Heading Level 1 - Barc RA Char_10"/>
    <w:basedOn w:val="DefaultParagraphFont"/>
    <w:link w:val="HeadingLevel1-BarcRA21"/>
    <w:rsid w:val="009705AC"/>
    <w:rPr>
      <w:rFonts w:ascii="Expert Sans Regular" w:hAnsi="Expert Sans Regular"/>
      <w:b/>
      <w:bCs/>
      <w:color w:val="000000"/>
      <w:sz w:val="24"/>
      <w:lang w:val="la-Latn"/>
    </w:rPr>
  </w:style>
  <w:style w:type="paragraph" w:customStyle="1" w:styleId="BodyText-BarcRA33">
    <w:name w:val="Body Text - Barc RA_33"/>
    <w:link w:val="BodyText-BarcRAChar19"/>
    <w:qFormat/>
    <w:rsid w:val="004C4B34"/>
    <w:pPr>
      <w:spacing w:before="180" w:after="180"/>
      <w:jc w:val="both"/>
    </w:pPr>
    <w:rPr>
      <w:rFonts w:ascii="Expert Sans Regular" w:hAnsi="Expert Sans Regular"/>
      <w:sz w:val="18"/>
      <w:lang w:eastAsia="en-US"/>
    </w:rPr>
  </w:style>
  <w:style w:type="character" w:customStyle="1" w:styleId="BodyText-BarcRAChar19">
    <w:name w:val="Body Text - Barc RA Char_19"/>
    <w:basedOn w:val="DefaultParagraphFont"/>
    <w:link w:val="BodyText-BarcRA33"/>
    <w:locked/>
    <w:rsid w:val="004C4B34"/>
    <w:rPr>
      <w:rFonts w:ascii="Expert Sans Regular" w:hAnsi="Expert Sans Regular"/>
      <w:sz w:val="18"/>
      <w:lang w:val="en-GB" w:eastAsia="en-US" w:bidi="ar-SA"/>
    </w:rPr>
  </w:style>
  <w:style w:type="paragraph" w:customStyle="1" w:styleId="Level1Bullet-BarcRA13">
    <w:name w:val="Level 1 Bullet - Barc RA_13"/>
    <w:basedOn w:val="BodyText-BarcRA26"/>
    <w:link w:val="Level1Bullet-BarcRAChar8"/>
    <w:qFormat/>
    <w:rsid w:val="00A85CEE"/>
    <w:pPr>
      <w:numPr>
        <w:numId w:val="56"/>
      </w:numPr>
    </w:pPr>
    <w:rPr>
      <w:lang w:val="la-Latn"/>
    </w:rPr>
  </w:style>
  <w:style w:type="character" w:customStyle="1" w:styleId="Level1Bullet-BarcRAChar8">
    <w:name w:val="Level 1 Bullet - Barc RA Char_8"/>
    <w:basedOn w:val="BodyText-BarcRAChar14"/>
    <w:link w:val="Level1Bullet-BarcRA13"/>
    <w:rsid w:val="00A85CEE"/>
    <w:rPr>
      <w:rFonts w:ascii="Expert Sans Regular" w:hAnsi="Expert Sans Regular"/>
      <w:sz w:val="18"/>
      <w:lang w:val="la-Latn" w:eastAsia="en-US" w:bidi="ar-SA"/>
    </w:rPr>
  </w:style>
  <w:style w:type="paragraph" w:customStyle="1" w:styleId="Level1Bullet-BarcRA130">
    <w:name w:val="Level 1 Bullet - Barc RA_13_0"/>
    <w:basedOn w:val="Normal28"/>
    <w:link w:val="Level1Bullet-BarcRAChar70"/>
    <w:qFormat/>
    <w:rsid w:val="00462422"/>
    <w:pPr>
      <w:numPr>
        <w:numId w:val="57"/>
      </w:numPr>
      <w:spacing w:before="180" w:after="180"/>
      <w:jc w:val="both"/>
    </w:pPr>
    <w:rPr>
      <w:szCs w:val="20"/>
      <w:lang w:val="la-Latn"/>
    </w:rPr>
  </w:style>
  <w:style w:type="paragraph" w:customStyle="1" w:styleId="Normal28">
    <w:name w:val="Normal_28"/>
    <w:qFormat/>
    <w:rsid w:val="009705AC"/>
    <w:rPr>
      <w:rFonts w:ascii="Expert Sans Regular" w:hAnsi="Expert Sans Regular"/>
      <w:sz w:val="18"/>
      <w:szCs w:val="24"/>
      <w:lang w:eastAsia="en-US"/>
    </w:rPr>
  </w:style>
  <w:style w:type="character" w:customStyle="1" w:styleId="Level1Bullet-BarcRAChar70">
    <w:name w:val="Level 1 Bullet - Barc RA Char_7_0"/>
    <w:basedOn w:val="DefaultParagraphFont"/>
    <w:link w:val="Level1Bullet-BarcRA130"/>
    <w:locked/>
    <w:rsid w:val="00462422"/>
    <w:rPr>
      <w:rFonts w:ascii="Expert Sans Regular" w:hAnsi="Expert Sans Regular"/>
      <w:sz w:val="18"/>
      <w:lang w:val="la-Latn" w:eastAsia="en-US"/>
    </w:rPr>
  </w:style>
  <w:style w:type="paragraph" w:customStyle="1" w:styleId="NoteandSourceText-BarcRA">
    <w:name w:val="Note and Source Text - Barc RA"/>
    <w:basedOn w:val="Normal28"/>
    <w:qFormat/>
    <w:rsid w:val="00E65647"/>
    <w:pPr>
      <w:numPr>
        <w:numId w:val="58"/>
      </w:numPr>
      <w:tabs>
        <w:tab w:val="left" w:pos="284"/>
      </w:tabs>
      <w:spacing w:before="20" w:after="20"/>
      <w:jc w:val="both"/>
    </w:pPr>
    <w:rPr>
      <w:i/>
      <w:iCs/>
      <w:sz w:val="14"/>
      <w:szCs w:val="14"/>
    </w:rPr>
  </w:style>
  <w:style w:type="paragraph" w:customStyle="1" w:styleId="Level1Bullet-BarcRA14">
    <w:name w:val="Level 1 Bullet - Barc RA_14"/>
    <w:basedOn w:val="BodyText-BarcRA27"/>
    <w:link w:val="Level1Bullet-BarcRAChar9"/>
    <w:qFormat/>
    <w:rsid w:val="00A85CEE"/>
    <w:pPr>
      <w:numPr>
        <w:numId w:val="59"/>
      </w:numPr>
    </w:pPr>
    <w:rPr>
      <w:lang w:val="la-Latn"/>
    </w:rPr>
  </w:style>
  <w:style w:type="paragraph" w:customStyle="1" w:styleId="BodyText-BarcRA27">
    <w:name w:val="Body Text - Barc RA_27"/>
    <w:link w:val="BodyText-BarcRAChar15"/>
    <w:qFormat/>
    <w:rsid w:val="005D52ED"/>
    <w:pPr>
      <w:spacing w:before="180" w:after="180"/>
      <w:jc w:val="both"/>
    </w:pPr>
    <w:rPr>
      <w:rFonts w:ascii="Expert Sans Regular" w:hAnsi="Expert Sans Regular"/>
      <w:sz w:val="18"/>
      <w:lang w:eastAsia="en-US"/>
    </w:rPr>
  </w:style>
  <w:style w:type="character" w:customStyle="1" w:styleId="BodyText-BarcRAChar15">
    <w:name w:val="Body Text - Barc RA Char_15"/>
    <w:basedOn w:val="DefaultParagraphFont"/>
    <w:link w:val="BodyText-BarcRA27"/>
    <w:rsid w:val="005D52ED"/>
    <w:rPr>
      <w:rFonts w:ascii="Expert Sans Regular" w:hAnsi="Expert Sans Regular"/>
      <w:sz w:val="18"/>
      <w:lang w:val="en-GB" w:eastAsia="en-US" w:bidi="ar-SA"/>
    </w:rPr>
  </w:style>
  <w:style w:type="character" w:customStyle="1" w:styleId="Level1Bullet-BarcRAChar9">
    <w:name w:val="Level 1 Bullet - Barc RA Char_9"/>
    <w:basedOn w:val="BodyText-BarcRAChar15"/>
    <w:link w:val="Level1Bullet-BarcRA14"/>
    <w:rsid w:val="00A85CEE"/>
    <w:rPr>
      <w:rFonts w:ascii="Expert Sans Regular" w:hAnsi="Expert Sans Regular"/>
      <w:sz w:val="18"/>
      <w:lang w:val="la-Latn" w:eastAsia="en-US" w:bidi="ar-SA"/>
    </w:rPr>
  </w:style>
  <w:style w:type="paragraph" w:customStyle="1" w:styleId="NoteandSourceText-BarcRA0">
    <w:name w:val="Note and Source Text - Barc RA_0"/>
    <w:basedOn w:val="Normal29"/>
    <w:qFormat/>
    <w:rsid w:val="00500B7D"/>
    <w:pPr>
      <w:numPr>
        <w:numId w:val="60"/>
      </w:numPr>
      <w:tabs>
        <w:tab w:val="left" w:pos="284"/>
      </w:tabs>
      <w:spacing w:before="20" w:after="20"/>
      <w:jc w:val="both"/>
    </w:pPr>
    <w:rPr>
      <w:i/>
      <w:iCs/>
      <w:sz w:val="14"/>
      <w:szCs w:val="14"/>
    </w:rPr>
  </w:style>
  <w:style w:type="paragraph" w:customStyle="1" w:styleId="Normal29">
    <w:name w:val="Normal_29"/>
    <w:qFormat/>
    <w:rsid w:val="009705AC"/>
    <w:rPr>
      <w:rFonts w:ascii="Expert Sans Regular" w:hAnsi="Expert Sans Regular"/>
      <w:sz w:val="18"/>
      <w:szCs w:val="24"/>
      <w:lang w:eastAsia="en-US"/>
    </w:rPr>
  </w:style>
  <w:style w:type="paragraph" w:customStyle="1" w:styleId="HeadingLevel1-BarcRA22">
    <w:name w:val="Heading Level 1 - Barc RA_22"/>
    <w:basedOn w:val="BodyText-BarcRA28"/>
    <w:next w:val="BodyText-BarcRA28"/>
    <w:link w:val="HeadingLevel1-BarcRAChar11"/>
    <w:rsid w:val="002611B5"/>
    <w:pPr>
      <w:spacing w:before="0"/>
    </w:pPr>
    <w:rPr>
      <w:b/>
      <w:bCs/>
      <w:color w:val="000000"/>
      <w:sz w:val="24"/>
      <w:lang w:val="la-Latn"/>
    </w:rPr>
  </w:style>
  <w:style w:type="paragraph" w:customStyle="1" w:styleId="BodyText-BarcRA28">
    <w:name w:val="Body Text - Barc RA_28"/>
    <w:link w:val="BodyText-BarcRAChar16"/>
    <w:qFormat/>
    <w:rsid w:val="005D52ED"/>
    <w:pPr>
      <w:spacing w:before="180" w:after="180"/>
      <w:jc w:val="both"/>
    </w:pPr>
    <w:rPr>
      <w:rFonts w:ascii="Expert Sans Regular" w:hAnsi="Expert Sans Regular"/>
      <w:sz w:val="18"/>
      <w:lang w:eastAsia="en-US"/>
    </w:rPr>
  </w:style>
  <w:style w:type="character" w:customStyle="1" w:styleId="BodyText-BarcRAChar16">
    <w:name w:val="Body Text - Barc RA Char_16"/>
    <w:basedOn w:val="DefaultParagraphFont"/>
    <w:link w:val="BodyText-BarcRA28"/>
    <w:rsid w:val="005D52ED"/>
    <w:rPr>
      <w:rFonts w:ascii="Expert Sans Regular" w:hAnsi="Expert Sans Regular"/>
      <w:sz w:val="18"/>
      <w:lang w:val="en-GB" w:eastAsia="en-US" w:bidi="ar-SA"/>
    </w:rPr>
  </w:style>
  <w:style w:type="character" w:customStyle="1" w:styleId="HeadingLevel1-BarcRAChar11">
    <w:name w:val="Heading Level 1 - Barc RA Char_11"/>
    <w:basedOn w:val="DefaultParagraphFont"/>
    <w:link w:val="HeadingLevel1-BarcRA22"/>
    <w:rsid w:val="009705AC"/>
    <w:rPr>
      <w:rFonts w:ascii="Expert Sans Regular" w:hAnsi="Expert Sans Regular"/>
      <w:b/>
      <w:bCs/>
      <w:color w:val="000000"/>
      <w:sz w:val="24"/>
      <w:lang w:val="la-Latn"/>
    </w:rPr>
  </w:style>
  <w:style w:type="paragraph" w:customStyle="1" w:styleId="HeaderSpacerwithLine-BarcRA9">
    <w:name w:val="Header Spacer with Line - Barc RA_9"/>
    <w:basedOn w:val="BodyText-BarcRA28"/>
    <w:link w:val="HeaderSpacerwithLine-BarcRAChar2"/>
    <w:rsid w:val="00016DD8"/>
    <w:pPr>
      <w:pBdr>
        <w:top w:val="single" w:sz="4" w:space="1" w:color="auto"/>
      </w:pBdr>
      <w:spacing w:before="0" w:after="0"/>
    </w:pPr>
    <w:rPr>
      <w:sz w:val="10"/>
      <w:szCs w:val="10"/>
    </w:rPr>
  </w:style>
  <w:style w:type="character" w:customStyle="1" w:styleId="HeaderSpacerwithLine-BarcRAChar2">
    <w:name w:val="Header Spacer with Line - Barc RA Char_2"/>
    <w:basedOn w:val="BodyText-BarcRAChar16"/>
    <w:link w:val="HeaderSpacerwithLine-BarcRA9"/>
    <w:rsid w:val="000E2451"/>
    <w:rPr>
      <w:rFonts w:ascii="Expert Sans Regular" w:hAnsi="Expert Sans Regular"/>
      <w:sz w:val="10"/>
      <w:szCs w:val="10"/>
      <w:lang w:val="en-GB" w:eastAsia="en-US" w:bidi="ar-SA"/>
    </w:rPr>
  </w:style>
  <w:style w:type="paragraph" w:customStyle="1" w:styleId="HeadingLevel1-BarcRA23">
    <w:name w:val="Heading Level 1 - Barc RA_23"/>
    <w:basedOn w:val="BodyText-BarcRA29"/>
    <w:next w:val="BodyText-BarcRA29"/>
    <w:link w:val="HeadingLevel1-BarcRAChar12"/>
    <w:rsid w:val="002611B5"/>
    <w:pPr>
      <w:spacing w:before="0"/>
    </w:pPr>
    <w:rPr>
      <w:b/>
      <w:bCs/>
      <w:color w:val="000000"/>
      <w:sz w:val="24"/>
      <w:lang w:val="la-Latn"/>
    </w:rPr>
  </w:style>
  <w:style w:type="paragraph" w:customStyle="1" w:styleId="BodyText-BarcRA29">
    <w:name w:val="Body Text - Barc RA_29"/>
    <w:link w:val="BodyText-BarcRAChar17"/>
    <w:qFormat/>
    <w:rsid w:val="005D52ED"/>
    <w:pPr>
      <w:spacing w:before="180" w:after="180"/>
      <w:jc w:val="both"/>
    </w:pPr>
    <w:rPr>
      <w:rFonts w:ascii="Expert Sans Regular" w:hAnsi="Expert Sans Regular"/>
      <w:sz w:val="18"/>
      <w:lang w:eastAsia="en-US"/>
    </w:rPr>
  </w:style>
  <w:style w:type="character" w:customStyle="1" w:styleId="BodyText-BarcRAChar17">
    <w:name w:val="Body Text - Barc RA Char_17"/>
    <w:basedOn w:val="DefaultParagraphFont"/>
    <w:link w:val="BodyText-BarcRA29"/>
    <w:rsid w:val="005D52ED"/>
    <w:rPr>
      <w:rFonts w:ascii="Expert Sans Regular" w:hAnsi="Expert Sans Regular"/>
      <w:sz w:val="18"/>
      <w:lang w:val="en-GB" w:eastAsia="en-US" w:bidi="ar-SA"/>
    </w:rPr>
  </w:style>
  <w:style w:type="character" w:customStyle="1" w:styleId="HeadingLevel1-BarcRAChar12">
    <w:name w:val="Heading Level 1 - Barc RA Char_12"/>
    <w:basedOn w:val="DefaultParagraphFont"/>
    <w:link w:val="HeadingLevel1-BarcRA23"/>
    <w:rsid w:val="009705AC"/>
    <w:rPr>
      <w:rFonts w:ascii="Expert Sans Regular" w:hAnsi="Expert Sans Regular"/>
      <w:b/>
      <w:bCs/>
      <w:color w:val="000000"/>
      <w:sz w:val="24"/>
      <w:lang w:val="la-Latn"/>
    </w:rPr>
  </w:style>
  <w:style w:type="paragraph" w:customStyle="1" w:styleId="BodyText-BarcRA290">
    <w:name w:val="Body Text - Barc RA_29_0"/>
    <w:link w:val="BodyText-BarcRAChar160"/>
    <w:qFormat/>
    <w:rsid w:val="00E646E5"/>
    <w:pPr>
      <w:spacing w:before="180" w:after="180"/>
      <w:jc w:val="both"/>
    </w:pPr>
    <w:rPr>
      <w:rFonts w:ascii="Expert Sans Regular" w:hAnsi="Expert Sans Regular"/>
      <w:sz w:val="18"/>
      <w:lang w:eastAsia="en-US"/>
    </w:rPr>
  </w:style>
  <w:style w:type="character" w:customStyle="1" w:styleId="BodyText-BarcRAChar160">
    <w:name w:val="Body Text - Barc RA Char_16_0"/>
    <w:basedOn w:val="DefaultParagraphFont"/>
    <w:link w:val="BodyText-BarcRA290"/>
    <w:rsid w:val="00E646E5"/>
    <w:rPr>
      <w:rFonts w:ascii="Expert Sans Regular" w:hAnsi="Expert Sans Regular"/>
      <w:sz w:val="18"/>
      <w:lang w:val="en-GB" w:eastAsia="en-US" w:bidi="ar-SA"/>
    </w:rPr>
  </w:style>
  <w:style w:type="paragraph" w:customStyle="1" w:styleId="BodyText-BarcRA2900">
    <w:name w:val="Body Text - Barc RA_29_0_0"/>
    <w:link w:val="BodyText-BarcRAChar1600"/>
    <w:qFormat/>
    <w:rsid w:val="00C31509"/>
    <w:pPr>
      <w:spacing w:before="180" w:after="180"/>
      <w:jc w:val="both"/>
    </w:pPr>
    <w:rPr>
      <w:rFonts w:ascii="Expert Sans Regular" w:hAnsi="Expert Sans Regular"/>
      <w:sz w:val="18"/>
      <w:lang w:eastAsia="en-US"/>
    </w:rPr>
  </w:style>
  <w:style w:type="character" w:customStyle="1" w:styleId="BodyText-BarcRAChar1600">
    <w:name w:val="Body Text - Barc RA Char_16_0_0"/>
    <w:basedOn w:val="DefaultParagraphFont"/>
    <w:link w:val="BodyText-BarcRA2900"/>
    <w:rsid w:val="00C31509"/>
    <w:rPr>
      <w:rFonts w:ascii="Expert Sans Regular" w:hAnsi="Expert Sans Regular"/>
      <w:sz w:val="18"/>
      <w:lang w:val="en-GB" w:eastAsia="en-US" w:bidi="ar-SA"/>
    </w:rPr>
  </w:style>
  <w:style w:type="paragraph" w:customStyle="1" w:styleId="Level1Bullet-BarcRA1300">
    <w:name w:val="Level 1 Bullet - Barc RA_13_0_0"/>
    <w:basedOn w:val="BodyText-BarcRA2900"/>
    <w:link w:val="Level1Bullet-BarcRAChar90"/>
    <w:rsid w:val="00A10E0B"/>
    <w:pPr>
      <w:tabs>
        <w:tab w:val="num" w:pos="284"/>
      </w:tabs>
      <w:ind w:left="284" w:hanging="284"/>
    </w:pPr>
    <w:rPr>
      <w:lang w:val="la-Latn"/>
    </w:rPr>
  </w:style>
  <w:style w:type="character" w:customStyle="1" w:styleId="Level1Bullet-BarcRAChar90">
    <w:name w:val="Level 1 Bullet - Barc RA Char_9_0"/>
    <w:basedOn w:val="BodyText-BarcRAChar1600"/>
    <w:link w:val="Level1Bullet-BarcRA1300"/>
    <w:locked/>
    <w:rsid w:val="00A10E0B"/>
    <w:rPr>
      <w:rFonts w:ascii="Expert Sans Regular" w:hAnsi="Expert Sans Regular"/>
      <w:sz w:val="18"/>
      <w:lang w:val="la-Latn" w:eastAsia="en-US" w:bidi="ar-SA"/>
    </w:rPr>
  </w:style>
  <w:style w:type="paragraph" w:customStyle="1" w:styleId="Normal110">
    <w:name w:val="Normal_11_0"/>
    <w:qFormat/>
    <w:rsid w:val="00A10E0B"/>
    <w:rPr>
      <w:rFonts w:ascii="Expert Sans Regular" w:hAnsi="Expert Sans Regular"/>
      <w:sz w:val="18"/>
      <w:szCs w:val="24"/>
      <w:lang w:eastAsia="en-US"/>
    </w:rPr>
  </w:style>
  <w:style w:type="paragraph" w:customStyle="1" w:styleId="HeadingLevel1-BarcRA24">
    <w:name w:val="Heading Level 1 - Barc RA_24"/>
    <w:basedOn w:val="BodyText-BarcRA300"/>
    <w:next w:val="BodyText-BarcRA300"/>
    <w:link w:val="HeadingLevel1-BarcRAChar13"/>
    <w:rsid w:val="002611B5"/>
    <w:pPr>
      <w:spacing w:before="0"/>
    </w:pPr>
    <w:rPr>
      <w:b/>
      <w:bCs/>
      <w:color w:val="000000"/>
      <w:sz w:val="24"/>
      <w:lang w:val="la-Latn"/>
    </w:rPr>
  </w:style>
  <w:style w:type="paragraph" w:customStyle="1" w:styleId="BodyText-BarcRA300">
    <w:name w:val="Body Text - Barc RA_30"/>
    <w:link w:val="BodyText-BarcRAChar18"/>
    <w:qFormat/>
    <w:rsid w:val="005D52ED"/>
    <w:pPr>
      <w:spacing w:before="180" w:after="180"/>
      <w:jc w:val="both"/>
    </w:pPr>
    <w:rPr>
      <w:rFonts w:ascii="Expert Sans Regular" w:hAnsi="Expert Sans Regular"/>
      <w:sz w:val="18"/>
      <w:lang w:eastAsia="en-US"/>
    </w:rPr>
  </w:style>
  <w:style w:type="character" w:customStyle="1" w:styleId="BodyText-BarcRAChar18">
    <w:name w:val="Body Text - Barc RA Char_18"/>
    <w:basedOn w:val="DefaultParagraphFont"/>
    <w:link w:val="BodyText-BarcRA300"/>
    <w:rsid w:val="005D52ED"/>
    <w:rPr>
      <w:rFonts w:ascii="Expert Sans Regular" w:hAnsi="Expert Sans Regular"/>
      <w:sz w:val="18"/>
      <w:lang w:val="en-GB" w:eastAsia="en-US" w:bidi="ar-SA"/>
    </w:rPr>
  </w:style>
  <w:style w:type="character" w:customStyle="1" w:styleId="HeadingLevel1-BarcRAChar13">
    <w:name w:val="Heading Level 1 - Barc RA Char_13"/>
    <w:basedOn w:val="DefaultParagraphFont"/>
    <w:link w:val="HeadingLevel1-BarcRA24"/>
    <w:rsid w:val="009705AC"/>
    <w:rPr>
      <w:rFonts w:ascii="Expert Sans Regular" w:hAnsi="Expert Sans Regular"/>
      <w:b/>
      <w:bCs/>
      <w:color w:val="000000"/>
      <w:sz w:val="24"/>
      <w:lang w:val="la-Latn"/>
    </w:rPr>
  </w:style>
  <w:style w:type="paragraph" w:customStyle="1" w:styleId="HeaderSpacerwithLine-BarcRA10">
    <w:name w:val="Header Spacer with Line - Barc RA_10"/>
    <w:basedOn w:val="BodyText-BarcRA300"/>
    <w:link w:val="HeaderSpacerwithLine-BarcRAChar3"/>
    <w:rsid w:val="00016DD8"/>
    <w:pPr>
      <w:pBdr>
        <w:top w:val="single" w:sz="4" w:space="1" w:color="auto"/>
      </w:pBdr>
      <w:spacing w:before="0" w:after="0"/>
    </w:pPr>
    <w:rPr>
      <w:sz w:val="10"/>
      <w:szCs w:val="10"/>
    </w:rPr>
  </w:style>
  <w:style w:type="character" w:customStyle="1" w:styleId="HeaderSpacerwithLine-BarcRAChar3">
    <w:name w:val="Header Spacer with Line - Barc RA Char_3"/>
    <w:basedOn w:val="BodyText-BarcRAChar18"/>
    <w:link w:val="HeaderSpacerwithLine-BarcRA10"/>
    <w:rsid w:val="000E2451"/>
    <w:rPr>
      <w:rFonts w:ascii="Expert Sans Regular" w:hAnsi="Expert Sans Regular"/>
      <w:sz w:val="10"/>
      <w:szCs w:val="10"/>
      <w:lang w:val="en-GB" w:eastAsia="en-US" w:bidi="ar-SA"/>
    </w:rPr>
  </w:style>
  <w:style w:type="paragraph" w:customStyle="1" w:styleId="Normal30">
    <w:name w:val="Normal_30"/>
    <w:qFormat/>
    <w:rsid w:val="009705AC"/>
    <w:rPr>
      <w:rFonts w:ascii="Expert Sans Regular" w:hAnsi="Expert Sans Regular"/>
      <w:sz w:val="18"/>
      <w:szCs w:val="24"/>
      <w:lang w:eastAsia="en-US"/>
    </w:rPr>
  </w:style>
  <w:style w:type="paragraph" w:customStyle="1" w:styleId="BodyText-BarcRA29001">
    <w:name w:val="Body Text - Barc RA_29_0_0_1"/>
    <w:qFormat/>
    <w:rsid w:val="005C3099"/>
    <w:pPr>
      <w:spacing w:before="180" w:after="180"/>
      <w:jc w:val="both"/>
    </w:pPr>
    <w:rPr>
      <w:rFonts w:ascii="Expert Sans Regular" w:hAnsi="Expert Sans Regular"/>
      <w:sz w:val="18"/>
      <w:lang w:eastAsia="en-US"/>
    </w:rPr>
  </w:style>
  <w:style w:type="paragraph" w:customStyle="1" w:styleId="Level2Bullet-BarcRA10000">
    <w:name w:val="Level 2 Bullet - Barc RA_1_0_0_0_0"/>
    <w:basedOn w:val="Normal30"/>
    <w:qFormat/>
    <w:rsid w:val="005C3099"/>
    <w:pPr>
      <w:spacing w:before="180" w:after="180"/>
      <w:jc w:val="both"/>
    </w:pPr>
    <w:rPr>
      <w:szCs w:val="20"/>
      <w:lang w:val="la-Latn"/>
    </w:rPr>
  </w:style>
  <w:style w:type="paragraph" w:customStyle="1" w:styleId="BodyText-BarcRA290010">
    <w:name w:val="Body Text - Barc RA_29_0_0_1_0"/>
    <w:link w:val="BodyText-BarcRAChar16000"/>
    <w:qFormat/>
    <w:rsid w:val="00E45444"/>
    <w:pPr>
      <w:spacing w:before="180" w:after="180"/>
      <w:jc w:val="both"/>
    </w:pPr>
    <w:rPr>
      <w:rFonts w:ascii="Expert Sans Regular" w:hAnsi="Expert Sans Regular"/>
      <w:sz w:val="18"/>
      <w:lang w:eastAsia="en-US"/>
    </w:rPr>
  </w:style>
  <w:style w:type="character" w:customStyle="1" w:styleId="BodyText-BarcRAChar16000">
    <w:name w:val="Body Text - Barc RA Char_16_0_0_0"/>
    <w:basedOn w:val="DefaultParagraphFont"/>
    <w:link w:val="BodyText-BarcRA290010"/>
    <w:locked/>
    <w:rsid w:val="00E45444"/>
    <w:rPr>
      <w:rFonts w:ascii="Expert Sans Regular" w:hAnsi="Expert Sans Regular"/>
      <w:sz w:val="18"/>
      <w:lang w:val="en-GB" w:eastAsia="en-US" w:bidi="ar-SA"/>
    </w:rPr>
  </w:style>
  <w:style w:type="paragraph" w:customStyle="1" w:styleId="Level2Bullet-BarcRA100000">
    <w:name w:val="Level 2 Bullet - Barc RA_1_0_0_0_0_0"/>
    <w:basedOn w:val="Normal31"/>
    <w:qFormat/>
    <w:rsid w:val="00E45444"/>
    <w:pPr>
      <w:spacing w:before="180" w:after="180"/>
      <w:jc w:val="both"/>
    </w:pPr>
    <w:rPr>
      <w:szCs w:val="20"/>
      <w:lang w:val="la-Latn"/>
    </w:rPr>
  </w:style>
  <w:style w:type="paragraph" w:customStyle="1" w:styleId="Normal31">
    <w:name w:val="Normal_31"/>
    <w:qFormat/>
    <w:rsid w:val="009705AC"/>
    <w:rPr>
      <w:rFonts w:ascii="Expert Sans Regular" w:hAnsi="Expert Sans Regular"/>
      <w:sz w:val="18"/>
      <w:szCs w:val="24"/>
      <w:lang w:eastAsia="en-US"/>
    </w:rPr>
  </w:style>
  <w:style w:type="paragraph" w:customStyle="1" w:styleId="Level1Bullet-BarcRA15">
    <w:name w:val="Level 1 Bullet - Barc RA_15"/>
    <w:basedOn w:val="BodyText-BarcRA31"/>
    <w:link w:val="Level1Bullet-BarcRAChar101"/>
    <w:qFormat/>
    <w:rsid w:val="00A85CEE"/>
    <w:pPr>
      <w:numPr>
        <w:numId w:val="63"/>
      </w:numPr>
    </w:pPr>
    <w:rPr>
      <w:lang w:val="la-Latn"/>
    </w:rPr>
  </w:style>
  <w:style w:type="paragraph" w:customStyle="1" w:styleId="BodyText-BarcRA31">
    <w:name w:val="Body Text - Barc RA_31"/>
    <w:link w:val="BodyText-BarcRAChar200"/>
    <w:qFormat/>
    <w:rsid w:val="005D52ED"/>
    <w:pPr>
      <w:spacing w:before="180" w:after="180"/>
      <w:jc w:val="both"/>
    </w:pPr>
    <w:rPr>
      <w:rFonts w:ascii="Expert Sans Regular" w:hAnsi="Expert Sans Regular"/>
      <w:sz w:val="18"/>
      <w:lang w:eastAsia="en-US"/>
    </w:rPr>
  </w:style>
  <w:style w:type="character" w:customStyle="1" w:styleId="BodyText-BarcRAChar200">
    <w:name w:val="Body Text - Barc RA Char_20"/>
    <w:basedOn w:val="DefaultParagraphFont"/>
    <w:link w:val="BodyText-BarcRA31"/>
    <w:rsid w:val="005D52ED"/>
    <w:rPr>
      <w:rFonts w:ascii="Expert Sans Regular" w:hAnsi="Expert Sans Regular"/>
      <w:sz w:val="18"/>
      <w:lang w:val="en-GB" w:eastAsia="en-US" w:bidi="ar-SA"/>
    </w:rPr>
  </w:style>
  <w:style w:type="character" w:customStyle="1" w:styleId="Level1Bullet-BarcRAChar101">
    <w:name w:val="Level 1 Bullet - Barc RA Char_10"/>
    <w:basedOn w:val="BodyText-BarcRAChar200"/>
    <w:link w:val="Level1Bullet-BarcRA15"/>
    <w:rsid w:val="00A85CEE"/>
    <w:rPr>
      <w:rFonts w:ascii="Expert Sans Regular" w:hAnsi="Expert Sans Regular"/>
      <w:sz w:val="18"/>
      <w:lang w:val="la-Latn" w:eastAsia="en-US" w:bidi="ar-SA"/>
    </w:rPr>
  </w:style>
  <w:style w:type="paragraph" w:customStyle="1" w:styleId="BodyText-BarcRA29000">
    <w:name w:val="Body Text - Barc RA_29_0_0_0"/>
    <w:link w:val="BodyText-BarcRAChar16001"/>
    <w:qFormat/>
    <w:rsid w:val="006942F8"/>
    <w:pPr>
      <w:spacing w:before="180" w:after="180"/>
      <w:jc w:val="both"/>
    </w:pPr>
    <w:rPr>
      <w:rFonts w:ascii="Expert Sans Regular" w:hAnsi="Expert Sans Regular"/>
      <w:sz w:val="18"/>
      <w:lang w:eastAsia="en-US"/>
    </w:rPr>
  </w:style>
  <w:style w:type="character" w:customStyle="1" w:styleId="BodyText-BarcRAChar16001">
    <w:name w:val="Body Text - Barc RA Char_16_0_0_1"/>
    <w:basedOn w:val="DefaultParagraphFont"/>
    <w:link w:val="BodyText-BarcRA29000"/>
    <w:locked/>
    <w:rsid w:val="006942F8"/>
    <w:rPr>
      <w:rFonts w:ascii="Expert Sans Regular" w:hAnsi="Expert Sans Regular"/>
      <w:sz w:val="18"/>
      <w:lang w:val="en-GB" w:eastAsia="en-US" w:bidi="ar-SA"/>
    </w:rPr>
  </w:style>
  <w:style w:type="paragraph" w:customStyle="1" w:styleId="NoteSourceText-BarcRA">
    <w:name w:val="Note &amp; Source Text - Barc RA"/>
    <w:basedOn w:val="Normal32"/>
    <w:link w:val="NoteSourceText-BarcRAChar"/>
    <w:rsid w:val="00E75B5D"/>
    <w:pPr>
      <w:tabs>
        <w:tab w:val="left" w:pos="284"/>
      </w:tabs>
      <w:spacing w:before="20" w:after="20"/>
      <w:ind w:left="284" w:hanging="284"/>
      <w:jc w:val="both"/>
    </w:pPr>
    <w:rPr>
      <w:i/>
      <w:iCs/>
      <w:sz w:val="14"/>
      <w:szCs w:val="14"/>
    </w:rPr>
  </w:style>
  <w:style w:type="paragraph" w:customStyle="1" w:styleId="Normal32">
    <w:name w:val="Normal_32"/>
    <w:qFormat/>
    <w:rsid w:val="009705AC"/>
    <w:rPr>
      <w:rFonts w:ascii="Expert Sans Regular" w:hAnsi="Expert Sans Regular"/>
      <w:sz w:val="18"/>
      <w:szCs w:val="24"/>
      <w:lang w:eastAsia="en-US"/>
    </w:rPr>
  </w:style>
  <w:style w:type="character" w:customStyle="1" w:styleId="NoteSourceText-BarcRAChar">
    <w:name w:val="Note &amp; Source Text - Barc RA Char"/>
    <w:basedOn w:val="DefaultParagraphFont"/>
    <w:link w:val="NoteSourceText-BarcRA"/>
    <w:rsid w:val="00E75B5D"/>
    <w:rPr>
      <w:rFonts w:ascii="Expert Sans Regular" w:hAnsi="Expert Sans Regular"/>
      <w:i/>
      <w:iCs/>
      <w:sz w:val="14"/>
      <w:szCs w:val="14"/>
      <w:lang w:eastAsia="en-US"/>
    </w:rPr>
  </w:style>
  <w:style w:type="paragraph" w:customStyle="1" w:styleId="NoteandSourceText-BarcRA1">
    <w:name w:val="Note and Source Text - Barc RA_1"/>
    <w:basedOn w:val="Normal33"/>
    <w:qFormat/>
    <w:rsid w:val="001D7C1E"/>
    <w:pPr>
      <w:numPr>
        <w:numId w:val="64"/>
      </w:numPr>
      <w:tabs>
        <w:tab w:val="left" w:pos="284"/>
      </w:tabs>
      <w:spacing w:before="20" w:after="20"/>
      <w:jc w:val="both"/>
    </w:pPr>
    <w:rPr>
      <w:i/>
      <w:iCs/>
      <w:sz w:val="14"/>
      <w:szCs w:val="14"/>
    </w:rPr>
  </w:style>
  <w:style w:type="paragraph" w:customStyle="1" w:styleId="Normal33">
    <w:name w:val="Normal_33"/>
    <w:qFormat/>
    <w:rsid w:val="009705AC"/>
    <w:rPr>
      <w:rFonts w:ascii="Expert Sans Regular" w:hAnsi="Expert Sans Regular"/>
      <w:sz w:val="18"/>
      <w:szCs w:val="24"/>
      <w:lang w:eastAsia="en-US"/>
    </w:rPr>
  </w:style>
  <w:style w:type="paragraph" w:customStyle="1" w:styleId="HeadingLevel1-BarcRA25">
    <w:name w:val="Heading Level 1 - Barc RA_25"/>
    <w:basedOn w:val="BodyText-BarcRA32"/>
    <w:next w:val="BodyText-BarcRA32"/>
    <w:link w:val="HeadingLevel1-BarcRAChar14"/>
    <w:qFormat/>
    <w:rsid w:val="002611B5"/>
    <w:pPr>
      <w:spacing w:before="0"/>
    </w:pPr>
    <w:rPr>
      <w:b/>
      <w:bCs/>
      <w:color w:val="000000"/>
      <w:sz w:val="24"/>
      <w:lang w:val="la-Latn"/>
    </w:rPr>
  </w:style>
  <w:style w:type="paragraph" w:customStyle="1" w:styleId="BodyText-BarcRA32">
    <w:name w:val="Body Text - Barc RA_32"/>
    <w:link w:val="BodyText-BarcRAChar21"/>
    <w:qFormat/>
    <w:rsid w:val="005D52ED"/>
    <w:pPr>
      <w:spacing w:before="180" w:after="180"/>
      <w:jc w:val="both"/>
    </w:pPr>
    <w:rPr>
      <w:rFonts w:ascii="Expert Sans Regular" w:hAnsi="Expert Sans Regular"/>
      <w:sz w:val="18"/>
      <w:lang w:eastAsia="en-US"/>
    </w:rPr>
  </w:style>
  <w:style w:type="character" w:customStyle="1" w:styleId="BodyText-BarcRAChar21">
    <w:name w:val="Body Text - Barc RA Char_21"/>
    <w:basedOn w:val="DefaultParagraphFont"/>
    <w:link w:val="BodyText-BarcRA32"/>
    <w:rsid w:val="005D52ED"/>
    <w:rPr>
      <w:rFonts w:ascii="Expert Sans Regular" w:hAnsi="Expert Sans Regular"/>
      <w:sz w:val="18"/>
      <w:lang w:val="en-GB" w:eastAsia="en-US" w:bidi="ar-SA"/>
    </w:rPr>
  </w:style>
  <w:style w:type="character" w:customStyle="1" w:styleId="HeadingLevel1-BarcRAChar14">
    <w:name w:val="Heading Level 1 - Barc RA Char_14"/>
    <w:basedOn w:val="DefaultParagraphFont"/>
    <w:link w:val="HeadingLevel1-BarcRA25"/>
    <w:rsid w:val="009705AC"/>
    <w:rPr>
      <w:rFonts w:ascii="Expert Sans Regular" w:hAnsi="Expert Sans Regular"/>
      <w:b/>
      <w:bCs/>
      <w:color w:val="000000"/>
      <w:sz w:val="24"/>
      <w:lang w:val="la-Latn"/>
    </w:rPr>
  </w:style>
  <w:style w:type="paragraph" w:customStyle="1" w:styleId="Level1Bullet-BarcRA16">
    <w:name w:val="Level 1 Bullet - Barc RA_16"/>
    <w:basedOn w:val="BodyText-BarcRA32"/>
    <w:link w:val="Level1Bullet-BarcRAChar11"/>
    <w:qFormat/>
    <w:rsid w:val="00A85CEE"/>
    <w:pPr>
      <w:numPr>
        <w:numId w:val="65"/>
      </w:numPr>
    </w:pPr>
    <w:rPr>
      <w:lang w:val="la-Latn"/>
    </w:rPr>
  </w:style>
  <w:style w:type="character" w:customStyle="1" w:styleId="Level1Bullet-BarcRAChar11">
    <w:name w:val="Level 1 Bullet - Barc RA Char_11"/>
    <w:basedOn w:val="BodyText-BarcRAChar21"/>
    <w:link w:val="Level1Bullet-BarcRA16"/>
    <w:rsid w:val="00A85CEE"/>
    <w:rPr>
      <w:rFonts w:ascii="Expert Sans Regular" w:hAnsi="Expert Sans Regular"/>
      <w:sz w:val="18"/>
      <w:lang w:val="la-Latn" w:eastAsia="en-US" w:bidi="ar-SA"/>
    </w:rPr>
  </w:style>
  <w:style w:type="paragraph" w:customStyle="1" w:styleId="Level2Bullet-BarcRA6">
    <w:name w:val="Level 2 Bullet - Barc RA_6"/>
    <w:basedOn w:val="Level1Bullet-BarcRA16"/>
    <w:qFormat/>
    <w:rsid w:val="00A85CEE"/>
    <w:pPr>
      <w:numPr>
        <w:ilvl w:val="2"/>
        <w:numId w:val="66"/>
      </w:numPr>
    </w:pPr>
  </w:style>
  <w:style w:type="paragraph" w:customStyle="1" w:styleId="BodyText-BarcRA29002">
    <w:name w:val="Body Text - Barc RA_29_0_0_2"/>
    <w:link w:val="BodyText-BarcRAChar16002"/>
    <w:qFormat/>
    <w:rsid w:val="006942F8"/>
    <w:pPr>
      <w:spacing w:before="180" w:after="180"/>
      <w:jc w:val="both"/>
    </w:pPr>
    <w:rPr>
      <w:rFonts w:ascii="Expert Sans Regular" w:hAnsi="Expert Sans Regular"/>
      <w:sz w:val="18"/>
      <w:lang w:eastAsia="en-US"/>
    </w:rPr>
  </w:style>
  <w:style w:type="character" w:customStyle="1" w:styleId="BodyText-BarcRAChar16002">
    <w:name w:val="Body Text - Barc RA Char_16_0_0_2"/>
    <w:basedOn w:val="DefaultParagraphFont"/>
    <w:link w:val="BodyText-BarcRA29002"/>
    <w:locked/>
    <w:rsid w:val="006942F8"/>
    <w:rPr>
      <w:rFonts w:ascii="Expert Sans Regular" w:hAnsi="Expert Sans Regular"/>
      <w:sz w:val="18"/>
      <w:lang w:val="en-GB" w:eastAsia="en-US" w:bidi="ar-SA"/>
    </w:rPr>
  </w:style>
  <w:style w:type="paragraph" w:customStyle="1" w:styleId="NoteSourceText-BarcRA0">
    <w:name w:val="Note &amp; Source Text - Barc RA_0"/>
    <w:basedOn w:val="Normal34"/>
    <w:link w:val="NoteSourceText-BarcRAChar0"/>
    <w:rsid w:val="00E75B5D"/>
    <w:pPr>
      <w:tabs>
        <w:tab w:val="left" w:pos="284"/>
      </w:tabs>
      <w:spacing w:before="20" w:after="20"/>
      <w:ind w:left="284" w:hanging="284"/>
      <w:jc w:val="both"/>
    </w:pPr>
    <w:rPr>
      <w:i/>
      <w:iCs/>
      <w:sz w:val="14"/>
      <w:szCs w:val="14"/>
    </w:rPr>
  </w:style>
  <w:style w:type="paragraph" w:customStyle="1" w:styleId="Normal34">
    <w:name w:val="Normal_34"/>
    <w:qFormat/>
    <w:rsid w:val="009705AC"/>
    <w:rPr>
      <w:rFonts w:ascii="Expert Sans Regular" w:hAnsi="Expert Sans Regular"/>
      <w:sz w:val="18"/>
      <w:szCs w:val="24"/>
      <w:lang w:eastAsia="en-US"/>
    </w:rPr>
  </w:style>
  <w:style w:type="character" w:customStyle="1" w:styleId="NoteSourceText-BarcRAChar0">
    <w:name w:val="Note &amp; Source Text - Barc RA Char_0"/>
    <w:basedOn w:val="DefaultParagraphFont"/>
    <w:link w:val="NoteSourceText-BarcRA0"/>
    <w:rsid w:val="00E75B5D"/>
    <w:rPr>
      <w:rFonts w:ascii="Expert Sans Regular" w:hAnsi="Expert Sans Regular"/>
      <w:i/>
      <w:iCs/>
      <w:sz w:val="14"/>
      <w:szCs w:val="14"/>
      <w:lang w:eastAsia="en-US"/>
    </w:rPr>
  </w:style>
  <w:style w:type="paragraph" w:customStyle="1" w:styleId="HeadingLevel1-BarcRA26">
    <w:name w:val="Heading Level 1 - Barc RA_26"/>
    <w:basedOn w:val="BodyText-BarcRA34"/>
    <w:next w:val="BodyText-BarcRA34"/>
    <w:link w:val="HeadingLevel1-BarcRAChar15"/>
    <w:qFormat/>
    <w:rsid w:val="002611B5"/>
    <w:pPr>
      <w:spacing w:before="0"/>
    </w:pPr>
    <w:rPr>
      <w:b/>
      <w:bCs/>
      <w:color w:val="000000"/>
      <w:sz w:val="24"/>
      <w:lang w:val="la-Latn"/>
    </w:rPr>
  </w:style>
  <w:style w:type="paragraph" w:customStyle="1" w:styleId="BodyText-BarcRA34">
    <w:name w:val="Body Text - Barc RA_34"/>
    <w:link w:val="BodyText-BarcRAChar22"/>
    <w:qFormat/>
    <w:rsid w:val="005D52ED"/>
    <w:pPr>
      <w:spacing w:before="180" w:after="180"/>
      <w:jc w:val="both"/>
    </w:pPr>
    <w:rPr>
      <w:rFonts w:ascii="Expert Sans Regular" w:hAnsi="Expert Sans Regular"/>
      <w:sz w:val="18"/>
      <w:lang w:eastAsia="en-US"/>
    </w:rPr>
  </w:style>
  <w:style w:type="character" w:customStyle="1" w:styleId="BodyText-BarcRAChar22">
    <w:name w:val="Body Text - Barc RA Char_22"/>
    <w:basedOn w:val="DefaultParagraphFont"/>
    <w:link w:val="BodyText-BarcRA34"/>
    <w:rsid w:val="005D52ED"/>
    <w:rPr>
      <w:rFonts w:ascii="Expert Sans Regular" w:hAnsi="Expert Sans Regular"/>
      <w:sz w:val="18"/>
      <w:lang w:val="en-GB" w:eastAsia="en-US" w:bidi="ar-SA"/>
    </w:rPr>
  </w:style>
  <w:style w:type="character" w:customStyle="1" w:styleId="HeadingLevel1-BarcRAChar15">
    <w:name w:val="Heading Level 1 - Barc RA Char_15"/>
    <w:basedOn w:val="DefaultParagraphFont"/>
    <w:link w:val="HeadingLevel1-BarcRA26"/>
    <w:rsid w:val="009705AC"/>
    <w:rPr>
      <w:rFonts w:ascii="Expert Sans Regular" w:hAnsi="Expert Sans Regular"/>
      <w:b/>
      <w:bCs/>
      <w:color w:val="000000"/>
      <w:sz w:val="24"/>
      <w:lang w:val="la-Latn"/>
    </w:rPr>
  </w:style>
  <w:style w:type="paragraph" w:customStyle="1" w:styleId="HeaderSpacerwithLine-BarcRA11">
    <w:name w:val="Header Spacer with Line - Barc RA_11"/>
    <w:basedOn w:val="BodyText-BarcRA34"/>
    <w:link w:val="HeaderSpacerwithLine-BarcRAChar4"/>
    <w:rsid w:val="00016DD8"/>
    <w:pPr>
      <w:pBdr>
        <w:top w:val="single" w:sz="4" w:space="1" w:color="auto"/>
      </w:pBdr>
      <w:spacing w:before="0" w:after="0"/>
    </w:pPr>
    <w:rPr>
      <w:sz w:val="10"/>
      <w:szCs w:val="10"/>
    </w:rPr>
  </w:style>
  <w:style w:type="character" w:customStyle="1" w:styleId="HeaderSpacerwithLine-BarcRAChar4">
    <w:name w:val="Header Spacer with Line - Barc RA Char_4"/>
    <w:basedOn w:val="BodyText-BarcRAChar22"/>
    <w:link w:val="HeaderSpacerwithLine-BarcRA11"/>
    <w:rsid w:val="000E2451"/>
    <w:rPr>
      <w:rFonts w:ascii="Expert Sans Regular" w:hAnsi="Expert Sans Regular"/>
      <w:sz w:val="10"/>
      <w:szCs w:val="10"/>
      <w:lang w:val="en-GB" w:eastAsia="en-US" w:bidi="ar-SA"/>
    </w:rPr>
  </w:style>
  <w:style w:type="paragraph" w:customStyle="1" w:styleId="HeadingLevel2-BarcRA2">
    <w:name w:val="Heading Level 2 - Barc RA_2"/>
    <w:basedOn w:val="HeadingLevel1-BarcRA27"/>
    <w:next w:val="BodyText-BarcRA35"/>
    <w:qFormat/>
    <w:locked/>
    <w:rsid w:val="000E5655"/>
    <w:pPr>
      <w:spacing w:before="240" w:after="0"/>
    </w:pPr>
    <w:rPr>
      <w:sz w:val="20"/>
    </w:rPr>
  </w:style>
  <w:style w:type="paragraph" w:customStyle="1" w:styleId="HeadingLevel1-BarcRA27">
    <w:name w:val="Heading Level 1 - Barc RA_27"/>
    <w:basedOn w:val="BodyText-BarcRA35"/>
    <w:next w:val="BodyText-BarcRA35"/>
    <w:qFormat/>
    <w:locked/>
    <w:rsid w:val="000E5655"/>
    <w:pPr>
      <w:spacing w:before="0"/>
    </w:pPr>
    <w:rPr>
      <w:b/>
      <w:bCs/>
      <w:color w:val="000000"/>
      <w:sz w:val="24"/>
      <w:lang w:val="la-Latn"/>
    </w:rPr>
  </w:style>
  <w:style w:type="paragraph" w:customStyle="1" w:styleId="BodyText-BarcRA35">
    <w:name w:val="Body Text - Barc RA_35"/>
    <w:link w:val="BodyText-BarcRAChar23"/>
    <w:qFormat/>
    <w:rsid w:val="00855EB0"/>
    <w:pPr>
      <w:spacing w:before="180" w:after="180"/>
      <w:jc w:val="both"/>
    </w:pPr>
    <w:rPr>
      <w:rFonts w:ascii="Expert Sans Regular" w:hAnsi="Expert Sans Regular"/>
      <w:sz w:val="18"/>
      <w:lang w:eastAsia="en-US"/>
    </w:rPr>
  </w:style>
  <w:style w:type="character" w:customStyle="1" w:styleId="BodyText-BarcRAChar23">
    <w:name w:val="Body Text - Barc RA Char_23"/>
    <w:basedOn w:val="DefaultParagraphFont"/>
    <w:link w:val="BodyText-BarcRA35"/>
    <w:locked/>
    <w:rsid w:val="00855EB0"/>
    <w:rPr>
      <w:rFonts w:ascii="Expert Sans Regular" w:hAnsi="Expert Sans Regular"/>
      <w:sz w:val="18"/>
      <w:lang w:val="en-GB" w:eastAsia="en-US" w:bidi="ar-SA"/>
    </w:rPr>
  </w:style>
  <w:style w:type="paragraph" w:customStyle="1" w:styleId="HeadingLevel2-BarcRA3">
    <w:name w:val="Heading Level 2 - Barc RA_3"/>
    <w:basedOn w:val="HeadingLevel1-BarcRA28"/>
    <w:next w:val="BodyText-BarcRA36"/>
    <w:qFormat/>
    <w:rsid w:val="00EE71E7"/>
    <w:pPr>
      <w:spacing w:before="240" w:after="0"/>
    </w:pPr>
    <w:rPr>
      <w:sz w:val="20"/>
    </w:rPr>
  </w:style>
  <w:style w:type="paragraph" w:customStyle="1" w:styleId="HeadingLevel1-BarcRA28">
    <w:name w:val="Heading Level 1 - Barc RA_28"/>
    <w:basedOn w:val="BodyText-BarcRA36"/>
    <w:next w:val="BodyText-BarcRA36"/>
    <w:link w:val="HeadingLevel1-BarcRAChar16"/>
    <w:rsid w:val="002611B5"/>
    <w:pPr>
      <w:spacing w:before="0"/>
    </w:pPr>
    <w:rPr>
      <w:b/>
      <w:bCs/>
      <w:color w:val="000000"/>
      <w:sz w:val="24"/>
      <w:lang w:val="la-Latn"/>
    </w:rPr>
  </w:style>
  <w:style w:type="paragraph" w:customStyle="1" w:styleId="BodyText-BarcRA36">
    <w:name w:val="Body Text - Barc RA_36"/>
    <w:link w:val="BodyText-BarcRAChar24"/>
    <w:qFormat/>
    <w:rsid w:val="005D52ED"/>
    <w:pPr>
      <w:spacing w:before="180" w:after="180"/>
      <w:jc w:val="both"/>
    </w:pPr>
    <w:rPr>
      <w:rFonts w:ascii="Expert Sans Regular" w:hAnsi="Expert Sans Regular"/>
      <w:sz w:val="18"/>
      <w:lang w:eastAsia="en-US"/>
    </w:rPr>
  </w:style>
  <w:style w:type="character" w:customStyle="1" w:styleId="BodyText-BarcRAChar24">
    <w:name w:val="Body Text - Barc RA Char_24"/>
    <w:basedOn w:val="DefaultParagraphFont"/>
    <w:link w:val="BodyText-BarcRA36"/>
    <w:rsid w:val="005D52ED"/>
    <w:rPr>
      <w:rFonts w:ascii="Expert Sans Regular" w:hAnsi="Expert Sans Regular"/>
      <w:sz w:val="18"/>
      <w:lang w:val="en-GB" w:eastAsia="en-US" w:bidi="ar-SA"/>
    </w:rPr>
  </w:style>
  <w:style w:type="character" w:customStyle="1" w:styleId="HeadingLevel1-BarcRAChar16">
    <w:name w:val="Heading Level 1 - Barc RA Char_16"/>
    <w:basedOn w:val="DefaultParagraphFont"/>
    <w:link w:val="HeadingLevel1-BarcRA28"/>
    <w:rsid w:val="009705AC"/>
    <w:rPr>
      <w:rFonts w:ascii="Expert Sans Regular" w:hAnsi="Expert Sans Regular"/>
      <w:b/>
      <w:bCs/>
      <w:color w:val="000000"/>
      <w:sz w:val="24"/>
      <w:lang w:val="la-Latn"/>
    </w:rPr>
  </w:style>
  <w:style w:type="paragraph" w:customStyle="1" w:styleId="HeadingLevel2-BarcRA4">
    <w:name w:val="Heading Level 2 - Barc RA_4"/>
    <w:basedOn w:val="HeadingLevel1-BarcRA29"/>
    <w:next w:val="BodyText-BarcRA37"/>
    <w:qFormat/>
    <w:locked/>
    <w:rsid w:val="00DF632E"/>
    <w:pPr>
      <w:spacing w:before="240" w:after="0"/>
    </w:pPr>
    <w:rPr>
      <w:sz w:val="20"/>
    </w:rPr>
  </w:style>
  <w:style w:type="paragraph" w:customStyle="1" w:styleId="HeadingLevel1-BarcRA29">
    <w:name w:val="Heading Level 1 - Barc RA_29"/>
    <w:basedOn w:val="BodyText-BarcRA37"/>
    <w:next w:val="BodyText-BarcRA37"/>
    <w:qFormat/>
    <w:locked/>
    <w:rsid w:val="00DF632E"/>
    <w:pPr>
      <w:spacing w:before="0"/>
    </w:pPr>
    <w:rPr>
      <w:b/>
      <w:bCs/>
      <w:color w:val="000000"/>
      <w:sz w:val="24"/>
      <w:lang w:val="la-Latn"/>
    </w:rPr>
  </w:style>
  <w:style w:type="paragraph" w:customStyle="1" w:styleId="BodyText-BarcRA37">
    <w:name w:val="Body Text - Barc RA_37"/>
    <w:link w:val="BodyText-BarcRAChar25"/>
    <w:qFormat/>
    <w:rsid w:val="00DF632E"/>
    <w:pPr>
      <w:spacing w:before="180" w:after="180"/>
      <w:jc w:val="both"/>
    </w:pPr>
    <w:rPr>
      <w:rFonts w:ascii="Expert Sans Regular" w:hAnsi="Expert Sans Regular"/>
      <w:sz w:val="18"/>
      <w:lang w:eastAsia="en-US"/>
    </w:rPr>
  </w:style>
  <w:style w:type="character" w:customStyle="1" w:styleId="BodyText-BarcRAChar25">
    <w:name w:val="Body Text - Barc RA Char_25"/>
    <w:basedOn w:val="DefaultParagraphFont"/>
    <w:link w:val="BodyText-BarcRA37"/>
    <w:locked/>
    <w:rsid w:val="00DF632E"/>
    <w:rPr>
      <w:rFonts w:ascii="Expert Sans Regular" w:hAnsi="Expert Sans Regular"/>
      <w:sz w:val="18"/>
      <w:lang w:val="en-GB" w:eastAsia="en-US" w:bidi="ar-SA"/>
    </w:rPr>
  </w:style>
  <w:style w:type="paragraph" w:customStyle="1" w:styleId="BodyText-BarcRA310">
    <w:name w:val="Body Text - Barc RA_3_1"/>
    <w:qFormat/>
    <w:locked/>
    <w:rsid w:val="001B0C6C"/>
    <w:pPr>
      <w:spacing w:before="180" w:after="180"/>
      <w:jc w:val="both"/>
    </w:pPr>
    <w:rPr>
      <w:rFonts w:ascii="Expert Sans Regular" w:hAnsi="Expert Sans Regular"/>
      <w:sz w:val="18"/>
      <w:lang w:eastAsia="en-US"/>
    </w:rPr>
  </w:style>
  <w:style w:type="paragraph" w:customStyle="1" w:styleId="NoteSourceText-BarcRA2">
    <w:name w:val="Note &amp; Source Text - Barc RA_2"/>
    <w:basedOn w:val="Normal35"/>
    <w:link w:val="NoteSourceText-BarcRAChar2"/>
    <w:rsid w:val="00E348F4"/>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35">
    <w:name w:val="Normal_35"/>
    <w:qFormat/>
    <w:rsid w:val="0095536F"/>
    <w:rPr>
      <w:sz w:val="24"/>
      <w:szCs w:val="24"/>
    </w:rPr>
  </w:style>
  <w:style w:type="character" w:customStyle="1" w:styleId="NoteSourceText-BarcRAChar2">
    <w:name w:val="Note &amp; Source Text - Barc RA Char_2"/>
    <w:basedOn w:val="DefaultParagraphFont"/>
    <w:link w:val="NoteSourceText-BarcRA2"/>
    <w:locked/>
    <w:rsid w:val="00E348F4"/>
    <w:rPr>
      <w:rFonts w:ascii="Expert Sans Regular" w:hAnsi="Expert Sans Regular"/>
      <w:i/>
      <w:iCs/>
      <w:sz w:val="14"/>
      <w:szCs w:val="14"/>
      <w:lang w:eastAsia="en-US"/>
    </w:rPr>
  </w:style>
  <w:style w:type="paragraph" w:customStyle="1" w:styleId="BodyText-BarcRA38">
    <w:name w:val="Body Text - Barc RA_38"/>
    <w:link w:val="BodyText-BarcRAChar26"/>
    <w:qFormat/>
    <w:rsid w:val="005D52ED"/>
    <w:pPr>
      <w:spacing w:before="180" w:after="180"/>
      <w:jc w:val="both"/>
    </w:pPr>
    <w:rPr>
      <w:rFonts w:ascii="Expert Sans Regular" w:hAnsi="Expert Sans Regular"/>
      <w:sz w:val="18"/>
      <w:lang w:eastAsia="en-US"/>
    </w:rPr>
  </w:style>
  <w:style w:type="character" w:customStyle="1" w:styleId="BodyText-BarcRAChar26">
    <w:name w:val="Body Text - Barc RA Char_26"/>
    <w:basedOn w:val="DefaultParagraphFont"/>
    <w:link w:val="BodyText-BarcRA38"/>
    <w:rsid w:val="005D52ED"/>
    <w:rPr>
      <w:rFonts w:ascii="Expert Sans Regular" w:hAnsi="Expert Sans Regular"/>
      <w:sz w:val="18"/>
      <w:lang w:val="en-GB" w:eastAsia="en-US" w:bidi="ar-SA"/>
    </w:rPr>
  </w:style>
  <w:style w:type="paragraph" w:customStyle="1" w:styleId="HeadingLevel1-BarcRA30">
    <w:name w:val="Heading Level 1 - Barc RA_30"/>
    <w:basedOn w:val="BodyText-BarcRA38"/>
    <w:next w:val="BodyText-BarcRA38"/>
    <w:link w:val="HeadingLevel1-BarcRAChar17"/>
    <w:qFormat/>
    <w:rsid w:val="002611B5"/>
    <w:pPr>
      <w:spacing w:before="0"/>
    </w:pPr>
    <w:rPr>
      <w:b/>
      <w:bCs/>
      <w:color w:val="000000"/>
      <w:sz w:val="24"/>
      <w:lang w:val="la-Latn"/>
    </w:rPr>
  </w:style>
  <w:style w:type="character" w:customStyle="1" w:styleId="HeadingLevel1-BarcRAChar17">
    <w:name w:val="Heading Level 1 - Barc RA Char_17"/>
    <w:basedOn w:val="DefaultParagraphFont"/>
    <w:link w:val="HeadingLevel1-BarcRA30"/>
    <w:rsid w:val="009705AC"/>
    <w:rPr>
      <w:rFonts w:ascii="Expert Sans Regular" w:hAnsi="Expert Sans Regular"/>
      <w:b/>
      <w:bCs/>
      <w:color w:val="000000"/>
      <w:sz w:val="24"/>
      <w:lang w:val="la-Latn"/>
    </w:rPr>
  </w:style>
  <w:style w:type="paragraph" w:customStyle="1" w:styleId="HeadingLevel2-BarcRA6">
    <w:name w:val="Heading Level 2 - Barc RA_6"/>
    <w:basedOn w:val="HeadingLevel1-BarcRA30"/>
    <w:next w:val="BodyText-BarcRA38"/>
    <w:qFormat/>
    <w:rsid w:val="00EE71E7"/>
    <w:pPr>
      <w:spacing w:before="240" w:after="0"/>
    </w:pPr>
    <w:rPr>
      <w:sz w:val="20"/>
    </w:rPr>
  </w:style>
  <w:style w:type="paragraph" w:customStyle="1" w:styleId="Normal36">
    <w:name w:val="Normal_36"/>
    <w:qFormat/>
    <w:rsid w:val="00B43C25"/>
    <w:rPr>
      <w:sz w:val="24"/>
      <w:szCs w:val="24"/>
    </w:rPr>
  </w:style>
  <w:style w:type="paragraph" w:customStyle="1" w:styleId="NoteandSourceText-BarcRA2">
    <w:name w:val="Note and Source Text - Barc RA_2"/>
    <w:basedOn w:val="Normal36"/>
    <w:qFormat/>
    <w:rsid w:val="00B43C25"/>
    <w:pPr>
      <w:numPr>
        <w:numId w:val="67"/>
      </w:numPr>
      <w:tabs>
        <w:tab w:val="left" w:pos="284"/>
      </w:tabs>
      <w:spacing w:before="20" w:after="20"/>
      <w:jc w:val="both"/>
    </w:pPr>
    <w:rPr>
      <w:rFonts w:ascii="Expert Sans Regular" w:hAnsi="Expert Sans Regular"/>
      <w:i/>
      <w:iCs/>
      <w:sz w:val="14"/>
      <w:szCs w:val="14"/>
      <w:lang w:eastAsia="en-US"/>
    </w:rPr>
  </w:style>
  <w:style w:type="paragraph" w:customStyle="1" w:styleId="Level1Bullet-BarcRA17">
    <w:name w:val="Level 1 Bullet - Barc RA_17"/>
    <w:basedOn w:val="Normal37"/>
    <w:qFormat/>
    <w:locked/>
    <w:rsid w:val="00250E45"/>
    <w:pPr>
      <w:numPr>
        <w:numId w:val="68"/>
      </w:numPr>
      <w:spacing w:before="180" w:after="180"/>
      <w:jc w:val="both"/>
    </w:pPr>
    <w:rPr>
      <w:rFonts w:ascii="Expert Sans Regular" w:hAnsi="Expert Sans Regular"/>
      <w:sz w:val="18"/>
      <w:szCs w:val="20"/>
      <w:lang w:val="la-Latn" w:eastAsia="en-US"/>
    </w:rPr>
  </w:style>
  <w:style w:type="paragraph" w:customStyle="1" w:styleId="Normal37">
    <w:name w:val="Normal_37"/>
    <w:qFormat/>
    <w:rsid w:val="0095536F"/>
    <w:rPr>
      <w:sz w:val="24"/>
      <w:szCs w:val="24"/>
    </w:rPr>
  </w:style>
  <w:style w:type="paragraph" w:customStyle="1" w:styleId="HeadingLevel2-BarcRA7">
    <w:name w:val="Heading Level 2 - Barc RA_7"/>
    <w:basedOn w:val="HeadingLevel1-BarcRA31"/>
    <w:next w:val="BodyText-BarcRA39"/>
    <w:qFormat/>
    <w:rsid w:val="00EE71E7"/>
    <w:pPr>
      <w:spacing w:before="240" w:after="0"/>
    </w:pPr>
    <w:rPr>
      <w:sz w:val="20"/>
    </w:rPr>
  </w:style>
  <w:style w:type="paragraph" w:customStyle="1" w:styleId="HeadingLevel1-BarcRA31">
    <w:name w:val="Heading Level 1 - Barc RA_31"/>
    <w:basedOn w:val="BodyText-BarcRA39"/>
    <w:next w:val="BodyText-BarcRA39"/>
    <w:link w:val="HeadingLevel1-BarcRAChar18"/>
    <w:rsid w:val="002611B5"/>
    <w:pPr>
      <w:spacing w:before="0"/>
    </w:pPr>
    <w:rPr>
      <w:b/>
      <w:bCs/>
      <w:color w:val="000000"/>
      <w:sz w:val="24"/>
      <w:lang w:val="la-Latn"/>
    </w:rPr>
  </w:style>
  <w:style w:type="paragraph" w:customStyle="1" w:styleId="BodyText-BarcRA39">
    <w:name w:val="Body Text - Barc RA_39"/>
    <w:link w:val="BodyText-BarcRAChar27"/>
    <w:qFormat/>
    <w:rsid w:val="005D52ED"/>
    <w:pPr>
      <w:spacing w:before="180" w:after="180"/>
      <w:jc w:val="both"/>
    </w:pPr>
    <w:rPr>
      <w:rFonts w:ascii="Expert Sans Regular" w:hAnsi="Expert Sans Regular"/>
      <w:sz w:val="18"/>
      <w:lang w:eastAsia="en-US"/>
    </w:rPr>
  </w:style>
  <w:style w:type="character" w:customStyle="1" w:styleId="BodyText-BarcRAChar27">
    <w:name w:val="Body Text - Barc RA Char_27"/>
    <w:basedOn w:val="DefaultParagraphFont"/>
    <w:link w:val="BodyText-BarcRA39"/>
    <w:rsid w:val="005D52ED"/>
    <w:rPr>
      <w:rFonts w:ascii="Expert Sans Regular" w:hAnsi="Expert Sans Regular"/>
      <w:sz w:val="18"/>
      <w:lang w:val="en-GB" w:eastAsia="en-US" w:bidi="ar-SA"/>
    </w:rPr>
  </w:style>
  <w:style w:type="character" w:customStyle="1" w:styleId="HeadingLevel1-BarcRAChar18">
    <w:name w:val="Heading Level 1 - Barc RA Char_18"/>
    <w:basedOn w:val="DefaultParagraphFont"/>
    <w:link w:val="HeadingLevel1-BarcRA31"/>
    <w:rsid w:val="009705AC"/>
    <w:rPr>
      <w:rFonts w:ascii="Expert Sans Regular" w:hAnsi="Expert Sans Regular"/>
      <w:b/>
      <w:bCs/>
      <w:color w:val="000000"/>
      <w:sz w:val="24"/>
      <w:lang w:val="la-Latn"/>
    </w:rPr>
  </w:style>
  <w:style w:type="paragraph" w:customStyle="1" w:styleId="BodyText-BarcRA41">
    <w:name w:val="Body Text - Barc RA_41"/>
    <w:link w:val="BodyText-BarcRAChar270"/>
    <w:qFormat/>
    <w:rsid w:val="0098665F"/>
    <w:pPr>
      <w:spacing w:before="180" w:after="180"/>
      <w:jc w:val="both"/>
    </w:pPr>
    <w:rPr>
      <w:rFonts w:ascii="Expert Sans Regular" w:hAnsi="Expert Sans Regular"/>
      <w:sz w:val="18"/>
      <w:lang w:eastAsia="en-US"/>
    </w:rPr>
  </w:style>
  <w:style w:type="character" w:customStyle="1" w:styleId="BodyText-BarcRAChar270">
    <w:name w:val="Body Text - Barc RA Char_27_0"/>
    <w:basedOn w:val="DefaultParagraphFont"/>
    <w:link w:val="BodyText-BarcRA41"/>
    <w:locked/>
    <w:rsid w:val="0098665F"/>
    <w:rPr>
      <w:rFonts w:ascii="Expert Sans Regular" w:hAnsi="Expert Sans Regular"/>
      <w:sz w:val="18"/>
      <w:lang w:val="en-GB" w:eastAsia="en-US" w:bidi="ar-SA"/>
    </w:rPr>
  </w:style>
  <w:style w:type="paragraph" w:customStyle="1" w:styleId="NoteandSourceText-BarcRA20">
    <w:name w:val="Note and Source Text - Barc RA_2_0"/>
    <w:basedOn w:val="Normal38"/>
    <w:uiPriority w:val="99"/>
    <w:rsid w:val="00E63D78"/>
    <w:pPr>
      <w:numPr>
        <w:numId w:val="69"/>
      </w:numPr>
      <w:tabs>
        <w:tab w:val="left" w:pos="284"/>
      </w:tabs>
      <w:spacing w:before="20" w:after="20"/>
      <w:jc w:val="both"/>
    </w:pPr>
    <w:rPr>
      <w:i/>
      <w:iCs/>
      <w:sz w:val="14"/>
      <w:szCs w:val="14"/>
    </w:rPr>
  </w:style>
  <w:style w:type="paragraph" w:customStyle="1" w:styleId="Normal38">
    <w:name w:val="Normal_38"/>
    <w:qFormat/>
    <w:rsid w:val="009705AC"/>
    <w:rPr>
      <w:rFonts w:ascii="Expert Sans Regular" w:hAnsi="Expert Sans Regular"/>
      <w:sz w:val="18"/>
      <w:szCs w:val="24"/>
      <w:lang w:eastAsia="en-US"/>
    </w:rPr>
  </w:style>
  <w:style w:type="paragraph" w:customStyle="1" w:styleId="Level1Bullet-BarcRA71">
    <w:name w:val="Level 1 Bullet - Barc RA_7_1"/>
    <w:basedOn w:val="Normal39"/>
    <w:link w:val="Level1Bullet-BarcRAChar60"/>
    <w:qFormat/>
    <w:rsid w:val="0048014D"/>
    <w:pPr>
      <w:numPr>
        <w:numId w:val="70"/>
      </w:numPr>
      <w:spacing w:before="180" w:after="180"/>
      <w:jc w:val="both"/>
    </w:pPr>
    <w:rPr>
      <w:szCs w:val="20"/>
      <w:lang w:val="la-Latn"/>
    </w:rPr>
  </w:style>
  <w:style w:type="paragraph" w:customStyle="1" w:styleId="Normal39">
    <w:name w:val="Normal_39"/>
    <w:qFormat/>
    <w:rsid w:val="009705AC"/>
    <w:rPr>
      <w:rFonts w:ascii="Expert Sans Regular" w:hAnsi="Expert Sans Regular"/>
      <w:sz w:val="18"/>
      <w:szCs w:val="24"/>
      <w:lang w:eastAsia="en-US"/>
    </w:rPr>
  </w:style>
  <w:style w:type="character" w:customStyle="1" w:styleId="Level1Bullet-BarcRAChar60">
    <w:name w:val="Level 1 Bullet - Barc RA Char_6_0"/>
    <w:basedOn w:val="DefaultParagraphFont"/>
    <w:link w:val="Level1Bullet-BarcRA71"/>
    <w:locked/>
    <w:rsid w:val="0048014D"/>
    <w:rPr>
      <w:rFonts w:ascii="Expert Sans Regular" w:hAnsi="Expert Sans Regular"/>
      <w:sz w:val="18"/>
      <w:lang w:val="la-Latn" w:eastAsia="en-US"/>
    </w:rPr>
  </w:style>
  <w:style w:type="paragraph" w:customStyle="1" w:styleId="HeadingLevel2-BarcRA8">
    <w:name w:val="Heading Level 2 - Barc RA_8"/>
    <w:basedOn w:val="HeadingLevel1-BarcRA32"/>
    <w:next w:val="BodyText-BarcRA40"/>
    <w:rsid w:val="00EE71E7"/>
    <w:pPr>
      <w:spacing w:before="240" w:after="0"/>
    </w:pPr>
    <w:rPr>
      <w:sz w:val="20"/>
    </w:rPr>
  </w:style>
  <w:style w:type="paragraph" w:customStyle="1" w:styleId="HeadingLevel1-BarcRA32">
    <w:name w:val="Heading Level 1 - Barc RA_32"/>
    <w:basedOn w:val="BodyText-BarcRA40"/>
    <w:next w:val="BodyText-BarcRA40"/>
    <w:link w:val="HeadingLevel1-BarcRAChar19"/>
    <w:rsid w:val="002611B5"/>
    <w:pPr>
      <w:spacing w:before="0"/>
    </w:pPr>
    <w:rPr>
      <w:b/>
      <w:bCs/>
      <w:color w:val="000000"/>
      <w:sz w:val="24"/>
      <w:lang w:val="la-Latn"/>
    </w:rPr>
  </w:style>
  <w:style w:type="paragraph" w:customStyle="1" w:styleId="BodyText-BarcRA40">
    <w:name w:val="Body Text - Barc RA_40"/>
    <w:link w:val="BodyText-BarcRAChar28"/>
    <w:qFormat/>
    <w:rsid w:val="005D52ED"/>
    <w:pPr>
      <w:spacing w:before="180" w:after="180"/>
      <w:jc w:val="both"/>
    </w:pPr>
    <w:rPr>
      <w:rFonts w:ascii="Expert Sans Regular" w:hAnsi="Expert Sans Regular"/>
      <w:sz w:val="18"/>
      <w:lang w:eastAsia="en-US"/>
    </w:rPr>
  </w:style>
  <w:style w:type="character" w:customStyle="1" w:styleId="BodyText-BarcRAChar28">
    <w:name w:val="Body Text - Barc RA Char_28"/>
    <w:basedOn w:val="DefaultParagraphFont"/>
    <w:link w:val="BodyText-BarcRA40"/>
    <w:rsid w:val="005D52ED"/>
    <w:rPr>
      <w:rFonts w:ascii="Expert Sans Regular" w:hAnsi="Expert Sans Regular"/>
      <w:sz w:val="18"/>
      <w:lang w:val="en-GB" w:eastAsia="en-US" w:bidi="ar-SA"/>
    </w:rPr>
  </w:style>
  <w:style w:type="character" w:customStyle="1" w:styleId="HeadingLevel1-BarcRAChar19">
    <w:name w:val="Heading Level 1 - Barc RA Char_19"/>
    <w:basedOn w:val="DefaultParagraphFont"/>
    <w:link w:val="HeadingLevel1-BarcRA32"/>
    <w:rsid w:val="009705AC"/>
    <w:rPr>
      <w:rFonts w:ascii="Expert Sans Regular" w:hAnsi="Expert Sans Regular"/>
      <w:b/>
      <w:bCs/>
      <w:color w:val="000000"/>
      <w:sz w:val="24"/>
      <w:lang w:val="la-Latn"/>
    </w:rPr>
  </w:style>
  <w:style w:type="paragraph" w:customStyle="1" w:styleId="Level1Bullet-BarcRA00">
    <w:name w:val="Level 1 Bullet - Barc RA_0_0"/>
    <w:basedOn w:val="BodyText-BarcRA80"/>
    <w:link w:val="Level1Bullet-BarcRAChar00"/>
    <w:rsid w:val="000A03E2"/>
    <w:pPr>
      <w:numPr>
        <w:numId w:val="71"/>
      </w:numPr>
    </w:pPr>
    <w:rPr>
      <w:lang w:val="la-Latn"/>
    </w:rPr>
  </w:style>
  <w:style w:type="paragraph" w:customStyle="1" w:styleId="BodyText-BarcRA80">
    <w:name w:val="Body Text - Barc RA_8_0"/>
    <w:link w:val="BodyText-BarcRAChar80"/>
    <w:qFormat/>
    <w:rsid w:val="000A03E2"/>
    <w:pPr>
      <w:spacing w:before="180" w:after="180"/>
      <w:jc w:val="both"/>
    </w:pPr>
    <w:rPr>
      <w:rFonts w:ascii="Expert Sans Regular" w:hAnsi="Expert Sans Regular"/>
      <w:sz w:val="18"/>
      <w:lang w:eastAsia="en-US"/>
    </w:rPr>
  </w:style>
  <w:style w:type="character" w:customStyle="1" w:styleId="BodyText-BarcRAChar80">
    <w:name w:val="Body Text - Barc RA Char_8_0"/>
    <w:basedOn w:val="DefaultParagraphFont"/>
    <w:link w:val="BodyText-BarcRA80"/>
    <w:locked/>
    <w:rsid w:val="000A03E2"/>
    <w:rPr>
      <w:rFonts w:ascii="Expert Sans Regular" w:hAnsi="Expert Sans Regular"/>
      <w:sz w:val="18"/>
      <w:lang w:val="en-GB" w:eastAsia="en-US" w:bidi="ar-SA"/>
    </w:rPr>
  </w:style>
  <w:style w:type="character" w:customStyle="1" w:styleId="Level1Bullet-BarcRAChar00">
    <w:name w:val="Level 1 Bullet - Barc RA Char_0_0"/>
    <w:basedOn w:val="BodyText-BarcRAChar80"/>
    <w:link w:val="Level1Bullet-BarcRA00"/>
    <w:locked/>
    <w:rsid w:val="000A03E2"/>
    <w:rPr>
      <w:rFonts w:ascii="Expert Sans Regular" w:hAnsi="Expert Sans Regular"/>
      <w:sz w:val="18"/>
      <w:lang w:val="la-Latn" w:eastAsia="en-US" w:bidi="ar-SA"/>
    </w:rPr>
  </w:style>
  <w:style w:type="paragraph" w:customStyle="1" w:styleId="Level1Bullet-BarcRA18">
    <w:name w:val="Level 1 Bullet - Barc RA_18"/>
    <w:basedOn w:val="BodyText-BarcRA40"/>
    <w:link w:val="Level1Bullet-BarcRAChar12"/>
    <w:qFormat/>
    <w:rsid w:val="00A85CEE"/>
    <w:pPr>
      <w:numPr>
        <w:numId w:val="72"/>
      </w:numPr>
    </w:pPr>
    <w:rPr>
      <w:lang w:val="la-Latn"/>
    </w:rPr>
  </w:style>
  <w:style w:type="character" w:customStyle="1" w:styleId="Level1Bullet-BarcRAChar12">
    <w:name w:val="Level 1 Bullet - Barc RA Char_12"/>
    <w:basedOn w:val="BodyText-BarcRAChar28"/>
    <w:link w:val="Level1Bullet-BarcRA18"/>
    <w:rsid w:val="00A85CEE"/>
    <w:rPr>
      <w:rFonts w:ascii="Expert Sans Regular" w:hAnsi="Expert Sans Regular"/>
      <w:sz w:val="18"/>
      <w:lang w:val="la-Latn" w:eastAsia="en-US" w:bidi="ar-SA"/>
    </w:rPr>
  </w:style>
  <w:style w:type="paragraph" w:customStyle="1" w:styleId="HeadingLevel2-BarcRA9">
    <w:name w:val="Heading Level 2 - Barc RA_9"/>
    <w:basedOn w:val="HeadingLevel1-BarcRA33"/>
    <w:next w:val="BodyText-BarcRA42"/>
    <w:qFormat/>
    <w:rsid w:val="00EE71E7"/>
    <w:pPr>
      <w:spacing w:before="240" w:after="0"/>
    </w:pPr>
    <w:rPr>
      <w:sz w:val="20"/>
    </w:rPr>
  </w:style>
  <w:style w:type="paragraph" w:customStyle="1" w:styleId="HeadingLevel1-BarcRA33">
    <w:name w:val="Heading Level 1 - Barc RA_33"/>
    <w:basedOn w:val="BodyText-BarcRA42"/>
    <w:next w:val="BodyText-BarcRA42"/>
    <w:link w:val="HeadingLevel1-BarcRAChar20"/>
    <w:rsid w:val="002611B5"/>
    <w:pPr>
      <w:spacing w:before="0"/>
    </w:pPr>
    <w:rPr>
      <w:b/>
      <w:bCs/>
      <w:color w:val="000000"/>
      <w:sz w:val="24"/>
      <w:lang w:val="la-Latn"/>
    </w:rPr>
  </w:style>
  <w:style w:type="paragraph" w:customStyle="1" w:styleId="BodyText-BarcRA42">
    <w:name w:val="Body Text - Barc RA_42"/>
    <w:link w:val="BodyText-BarcRAChar29"/>
    <w:qFormat/>
    <w:rsid w:val="005D52ED"/>
    <w:pPr>
      <w:spacing w:before="180" w:after="180"/>
      <w:jc w:val="both"/>
    </w:pPr>
    <w:rPr>
      <w:rFonts w:ascii="Expert Sans Regular" w:hAnsi="Expert Sans Regular"/>
      <w:sz w:val="18"/>
      <w:lang w:eastAsia="en-US"/>
    </w:rPr>
  </w:style>
  <w:style w:type="character" w:customStyle="1" w:styleId="BodyText-BarcRAChar29">
    <w:name w:val="Body Text - Barc RA Char_29"/>
    <w:basedOn w:val="DefaultParagraphFont"/>
    <w:link w:val="BodyText-BarcRA42"/>
    <w:rsid w:val="005D52ED"/>
    <w:rPr>
      <w:rFonts w:ascii="Expert Sans Regular" w:hAnsi="Expert Sans Regular"/>
      <w:sz w:val="18"/>
      <w:lang w:val="en-GB" w:eastAsia="en-US" w:bidi="ar-SA"/>
    </w:rPr>
  </w:style>
  <w:style w:type="character" w:customStyle="1" w:styleId="HeadingLevel1-BarcRAChar20">
    <w:name w:val="Heading Level 1 - Barc RA Char_20"/>
    <w:basedOn w:val="DefaultParagraphFont"/>
    <w:link w:val="HeadingLevel1-BarcRA33"/>
    <w:rsid w:val="009705AC"/>
    <w:rPr>
      <w:rFonts w:ascii="Expert Sans Regular" w:hAnsi="Expert Sans Regular"/>
      <w:b/>
      <w:bCs/>
      <w:color w:val="000000"/>
      <w:sz w:val="24"/>
      <w:lang w:val="la-Latn"/>
    </w:rPr>
  </w:style>
  <w:style w:type="paragraph" w:customStyle="1" w:styleId="Level1Bullet-BarcRA19">
    <w:name w:val="Level 1 Bullet - Barc RA_19"/>
    <w:basedOn w:val="BodyText-BarcRA43"/>
    <w:qFormat/>
    <w:locked/>
    <w:rsid w:val="00903820"/>
    <w:pPr>
      <w:numPr>
        <w:numId w:val="73"/>
      </w:numPr>
    </w:pPr>
    <w:rPr>
      <w:lang w:val="la-Latn"/>
    </w:rPr>
  </w:style>
  <w:style w:type="paragraph" w:customStyle="1" w:styleId="BodyText-BarcRA43">
    <w:name w:val="Body Text - Barc RA_43"/>
    <w:qFormat/>
    <w:locked/>
    <w:rsid w:val="00903820"/>
    <w:pPr>
      <w:spacing w:before="180" w:after="180"/>
      <w:jc w:val="both"/>
    </w:pPr>
    <w:rPr>
      <w:rFonts w:ascii="Expert Sans Regular" w:hAnsi="Expert Sans Regular"/>
      <w:sz w:val="18"/>
      <w:lang w:eastAsia="en-US"/>
    </w:rPr>
  </w:style>
  <w:style w:type="paragraph" w:customStyle="1" w:styleId="Level1Bullet-BarcRA100">
    <w:name w:val="Level 1 Bullet - Barc RA_1_0"/>
    <w:basedOn w:val="Normal401"/>
    <w:qFormat/>
    <w:locked/>
    <w:rsid w:val="00561BBF"/>
    <w:pPr>
      <w:numPr>
        <w:numId w:val="74"/>
      </w:numPr>
      <w:spacing w:before="180" w:after="180"/>
      <w:jc w:val="both"/>
    </w:pPr>
    <w:rPr>
      <w:rFonts w:ascii="Expert Sans Regular" w:hAnsi="Expert Sans Regular"/>
      <w:sz w:val="18"/>
      <w:szCs w:val="20"/>
      <w:lang w:val="la-Latn" w:eastAsia="en-US"/>
    </w:rPr>
  </w:style>
  <w:style w:type="paragraph" w:customStyle="1" w:styleId="Normal401">
    <w:name w:val="Normal_40"/>
    <w:qFormat/>
    <w:rsid w:val="0095536F"/>
    <w:rPr>
      <w:sz w:val="24"/>
      <w:szCs w:val="24"/>
    </w:rPr>
  </w:style>
  <w:style w:type="paragraph" w:customStyle="1" w:styleId="NoteandSourceText-BarcRA3">
    <w:name w:val="Note and Source Text - Barc RA_3"/>
    <w:basedOn w:val="Normal41"/>
    <w:qFormat/>
    <w:rsid w:val="00E26A26"/>
    <w:pPr>
      <w:numPr>
        <w:numId w:val="75"/>
      </w:numPr>
      <w:tabs>
        <w:tab w:val="left" w:pos="284"/>
      </w:tabs>
      <w:spacing w:before="20" w:after="20"/>
      <w:jc w:val="both"/>
    </w:pPr>
    <w:rPr>
      <w:rFonts w:ascii="Expert Sans Regular" w:hAnsi="Expert Sans Regular"/>
      <w:i/>
      <w:iCs/>
      <w:sz w:val="14"/>
      <w:szCs w:val="14"/>
      <w:lang w:eastAsia="en-US"/>
    </w:rPr>
  </w:style>
  <w:style w:type="paragraph" w:customStyle="1" w:styleId="Normal41">
    <w:name w:val="Normal_41"/>
    <w:qFormat/>
    <w:rsid w:val="00ED6D4F"/>
    <w:rPr>
      <w:sz w:val="24"/>
      <w:szCs w:val="24"/>
    </w:rPr>
  </w:style>
  <w:style w:type="paragraph" w:customStyle="1" w:styleId="BodyText-BarcRA44">
    <w:name w:val="Body Text - Barc RA_44"/>
    <w:qFormat/>
    <w:locked/>
    <w:rsid w:val="00984101"/>
    <w:pPr>
      <w:spacing w:before="180" w:after="180"/>
      <w:jc w:val="both"/>
    </w:pPr>
    <w:rPr>
      <w:rFonts w:ascii="Expert Sans Regular" w:hAnsi="Expert Sans Regular"/>
      <w:sz w:val="18"/>
      <w:lang w:eastAsia="en-US"/>
    </w:rPr>
  </w:style>
  <w:style w:type="paragraph" w:customStyle="1" w:styleId="HeadingLevel1-BarcRA34">
    <w:name w:val="Heading Level 1 - Barc RA_34"/>
    <w:basedOn w:val="BodyText-BarcRA45"/>
    <w:next w:val="BodyText-BarcRA45"/>
    <w:link w:val="HeadingLevel1-BarcRAChar21"/>
    <w:rsid w:val="002611B5"/>
    <w:pPr>
      <w:spacing w:before="0"/>
    </w:pPr>
    <w:rPr>
      <w:b/>
      <w:bCs/>
      <w:color w:val="000000"/>
      <w:sz w:val="24"/>
      <w:lang w:val="la-Latn"/>
    </w:rPr>
  </w:style>
  <w:style w:type="paragraph" w:customStyle="1" w:styleId="BodyText-BarcRA45">
    <w:name w:val="Body Text - Barc RA_45"/>
    <w:link w:val="BodyText-BarcRAChar30"/>
    <w:qFormat/>
    <w:rsid w:val="005D52ED"/>
    <w:pPr>
      <w:spacing w:before="180" w:after="180"/>
      <w:jc w:val="both"/>
    </w:pPr>
    <w:rPr>
      <w:rFonts w:ascii="Expert Sans Regular" w:hAnsi="Expert Sans Regular"/>
      <w:sz w:val="18"/>
      <w:lang w:eastAsia="en-US"/>
    </w:rPr>
  </w:style>
  <w:style w:type="character" w:customStyle="1" w:styleId="BodyText-BarcRAChar30">
    <w:name w:val="Body Text - Barc RA Char_30"/>
    <w:basedOn w:val="DefaultParagraphFont"/>
    <w:link w:val="BodyText-BarcRA45"/>
    <w:rsid w:val="005D52ED"/>
    <w:rPr>
      <w:rFonts w:ascii="Expert Sans Regular" w:hAnsi="Expert Sans Regular"/>
      <w:sz w:val="18"/>
      <w:lang w:val="en-GB" w:eastAsia="en-US" w:bidi="ar-SA"/>
    </w:rPr>
  </w:style>
  <w:style w:type="character" w:customStyle="1" w:styleId="HeadingLevel1-BarcRAChar21">
    <w:name w:val="Heading Level 1 - Barc RA Char_21"/>
    <w:basedOn w:val="DefaultParagraphFont"/>
    <w:link w:val="HeadingLevel1-BarcRA34"/>
    <w:rsid w:val="009705AC"/>
    <w:rPr>
      <w:rFonts w:ascii="Expert Sans Regular" w:hAnsi="Expert Sans Regular"/>
      <w:b/>
      <w:bCs/>
      <w:color w:val="000000"/>
      <w:sz w:val="24"/>
      <w:lang w:val="la-Latn"/>
    </w:rPr>
  </w:style>
  <w:style w:type="paragraph" w:customStyle="1" w:styleId="HeaderSpacerwithLine-BarcRA12">
    <w:name w:val="Header Spacer with Line - Barc RA_12"/>
    <w:basedOn w:val="BodyText-BarcRA45"/>
    <w:link w:val="HeaderSpacerwithLine-BarcRAChar5"/>
    <w:rsid w:val="00016DD8"/>
    <w:pPr>
      <w:pBdr>
        <w:top w:val="single" w:sz="4" w:space="1" w:color="auto"/>
      </w:pBdr>
      <w:spacing w:before="0" w:after="0"/>
    </w:pPr>
    <w:rPr>
      <w:sz w:val="10"/>
      <w:szCs w:val="10"/>
    </w:rPr>
  </w:style>
  <w:style w:type="character" w:customStyle="1" w:styleId="HeaderSpacerwithLine-BarcRAChar5">
    <w:name w:val="Header Spacer with Line - Barc RA Char_5"/>
    <w:basedOn w:val="BodyText-BarcRAChar30"/>
    <w:link w:val="HeaderSpacerwithLine-BarcRA12"/>
    <w:rsid w:val="000E2451"/>
    <w:rPr>
      <w:rFonts w:ascii="Expert Sans Regular" w:hAnsi="Expert Sans Regular"/>
      <w:sz w:val="10"/>
      <w:szCs w:val="10"/>
      <w:lang w:val="en-GB" w:eastAsia="en-US" w:bidi="ar-SA"/>
    </w:rPr>
  </w:style>
  <w:style w:type="paragraph" w:customStyle="1" w:styleId="NoteSourceText-BarcRA1">
    <w:name w:val="Note &amp; Source Text - Barc RA_1"/>
    <w:basedOn w:val="Normal42"/>
    <w:link w:val="NoteSourceText-BarcRAChar1"/>
    <w:rsid w:val="00E75B5D"/>
    <w:pPr>
      <w:tabs>
        <w:tab w:val="left" w:pos="284"/>
      </w:tabs>
      <w:spacing w:before="20" w:after="20"/>
      <w:ind w:left="284" w:hanging="284"/>
      <w:jc w:val="both"/>
    </w:pPr>
    <w:rPr>
      <w:i/>
      <w:iCs/>
      <w:sz w:val="14"/>
      <w:szCs w:val="14"/>
    </w:rPr>
  </w:style>
  <w:style w:type="paragraph" w:customStyle="1" w:styleId="Normal42">
    <w:name w:val="Normal_42"/>
    <w:qFormat/>
    <w:rsid w:val="009705AC"/>
    <w:rPr>
      <w:rFonts w:ascii="Expert Sans Regular" w:hAnsi="Expert Sans Regular"/>
      <w:sz w:val="18"/>
      <w:szCs w:val="24"/>
      <w:lang w:eastAsia="en-US"/>
    </w:rPr>
  </w:style>
  <w:style w:type="character" w:customStyle="1" w:styleId="NoteSourceText-BarcRAChar1">
    <w:name w:val="Note &amp; Source Text - Barc RA Char_1"/>
    <w:basedOn w:val="DefaultParagraphFont"/>
    <w:link w:val="NoteSourceText-BarcRA1"/>
    <w:rsid w:val="00E75B5D"/>
    <w:rPr>
      <w:rFonts w:ascii="Expert Sans Regular" w:hAnsi="Expert Sans Regular"/>
      <w:i/>
      <w:iCs/>
      <w:sz w:val="14"/>
      <w:szCs w:val="14"/>
      <w:lang w:eastAsia="en-US"/>
    </w:rPr>
  </w:style>
  <w:style w:type="paragraph" w:customStyle="1" w:styleId="HeadingLevel1-BarcRA35">
    <w:name w:val="Heading Level 1 - Barc RA_35"/>
    <w:basedOn w:val="BodyText-BarcRA46"/>
    <w:next w:val="BodyText-BarcRA46"/>
    <w:link w:val="HeadingLevel1-BarcRAChar22"/>
    <w:qFormat/>
    <w:rsid w:val="002611B5"/>
    <w:pPr>
      <w:spacing w:before="0"/>
    </w:pPr>
    <w:rPr>
      <w:b/>
      <w:bCs/>
      <w:color w:val="000000"/>
      <w:sz w:val="24"/>
      <w:lang w:val="la-Latn"/>
    </w:rPr>
  </w:style>
  <w:style w:type="paragraph" w:customStyle="1" w:styleId="BodyText-BarcRA46">
    <w:name w:val="Body Text - Barc RA_46"/>
    <w:link w:val="BodyText-BarcRAChar31"/>
    <w:qFormat/>
    <w:rsid w:val="005D52ED"/>
    <w:pPr>
      <w:spacing w:before="180" w:after="180"/>
      <w:jc w:val="both"/>
    </w:pPr>
    <w:rPr>
      <w:rFonts w:ascii="Expert Sans Regular" w:hAnsi="Expert Sans Regular"/>
      <w:sz w:val="18"/>
      <w:lang w:eastAsia="en-US"/>
    </w:rPr>
  </w:style>
  <w:style w:type="character" w:customStyle="1" w:styleId="BodyText-BarcRAChar31">
    <w:name w:val="Body Text - Barc RA Char_31"/>
    <w:basedOn w:val="DefaultParagraphFont"/>
    <w:link w:val="BodyText-BarcRA46"/>
    <w:rsid w:val="005D52ED"/>
    <w:rPr>
      <w:rFonts w:ascii="Expert Sans Regular" w:hAnsi="Expert Sans Regular"/>
      <w:sz w:val="18"/>
      <w:lang w:val="en-GB" w:eastAsia="en-US" w:bidi="ar-SA"/>
    </w:rPr>
  </w:style>
  <w:style w:type="character" w:customStyle="1" w:styleId="HeadingLevel1-BarcRAChar22">
    <w:name w:val="Heading Level 1 - Barc RA Char_22"/>
    <w:basedOn w:val="DefaultParagraphFont"/>
    <w:link w:val="HeadingLevel1-BarcRA35"/>
    <w:rsid w:val="009705AC"/>
    <w:rPr>
      <w:rFonts w:ascii="Expert Sans Regular" w:hAnsi="Expert Sans Regular"/>
      <w:b/>
      <w:bCs/>
      <w:color w:val="000000"/>
      <w:sz w:val="24"/>
      <w:lang w:val="la-Latn"/>
    </w:rPr>
  </w:style>
  <w:style w:type="paragraph" w:customStyle="1" w:styleId="HeadingLevel2-BarcRA10">
    <w:name w:val="Heading Level 2 - Barc RA_10"/>
    <w:basedOn w:val="HeadingLevel1-BarcRA35"/>
    <w:next w:val="BodyText-BarcRA46"/>
    <w:qFormat/>
    <w:rsid w:val="00EE71E7"/>
    <w:pPr>
      <w:spacing w:before="240" w:after="0"/>
    </w:pPr>
    <w:rPr>
      <w:sz w:val="20"/>
    </w:rPr>
  </w:style>
  <w:style w:type="paragraph" w:customStyle="1" w:styleId="NoteandSourceText-BarcRA4">
    <w:name w:val="Note and Source Text - Barc RA_4"/>
    <w:basedOn w:val="Normal43"/>
    <w:qFormat/>
    <w:rsid w:val="00A31B74"/>
    <w:pPr>
      <w:numPr>
        <w:numId w:val="76"/>
      </w:numPr>
      <w:tabs>
        <w:tab w:val="left" w:pos="284"/>
      </w:tabs>
      <w:spacing w:before="20" w:after="20"/>
      <w:jc w:val="both"/>
    </w:pPr>
    <w:rPr>
      <w:i/>
      <w:iCs/>
      <w:sz w:val="14"/>
      <w:szCs w:val="14"/>
    </w:rPr>
  </w:style>
  <w:style w:type="paragraph" w:customStyle="1" w:styleId="Normal43">
    <w:name w:val="Normal_43"/>
    <w:qFormat/>
    <w:rsid w:val="009705AC"/>
    <w:rPr>
      <w:rFonts w:ascii="Expert Sans Regular" w:hAnsi="Expert Sans Regular"/>
      <w:sz w:val="18"/>
      <w:szCs w:val="24"/>
      <w:lang w:eastAsia="en-US"/>
    </w:rPr>
  </w:style>
  <w:style w:type="paragraph" w:customStyle="1" w:styleId="NoteandSourceText-BarcRA5">
    <w:name w:val="Note and Source Text - Barc RA_5"/>
    <w:basedOn w:val="Normal43"/>
    <w:qFormat/>
    <w:rsid w:val="00FD1A91"/>
    <w:pPr>
      <w:numPr>
        <w:numId w:val="77"/>
      </w:numPr>
      <w:tabs>
        <w:tab w:val="left" w:pos="284"/>
      </w:tabs>
      <w:spacing w:before="20" w:after="20"/>
      <w:jc w:val="both"/>
    </w:pPr>
    <w:rPr>
      <w:i/>
      <w:iCs/>
      <w:sz w:val="14"/>
      <w:szCs w:val="14"/>
    </w:rPr>
  </w:style>
  <w:style w:type="paragraph" w:customStyle="1" w:styleId="BodyText-BarcRA330">
    <w:name w:val="Body Text - Barc RA_33_0"/>
    <w:link w:val="BodyText-BarcRAChar2000"/>
    <w:qFormat/>
    <w:rsid w:val="008325BD"/>
    <w:pPr>
      <w:spacing w:before="180" w:after="180"/>
      <w:jc w:val="both"/>
    </w:pPr>
    <w:rPr>
      <w:rFonts w:ascii="Expert Sans Regular" w:hAnsi="Expert Sans Regular"/>
      <w:sz w:val="18"/>
    </w:rPr>
  </w:style>
  <w:style w:type="character" w:customStyle="1" w:styleId="BodyText-BarcRAChar2000">
    <w:name w:val="Body Text - Barc RA Char_20_0"/>
    <w:basedOn w:val="DefaultParagraphFont"/>
    <w:link w:val="BodyText-BarcRA330"/>
    <w:locked/>
    <w:rsid w:val="008325BD"/>
    <w:rPr>
      <w:rFonts w:ascii="Expert Sans Regular" w:hAnsi="Expert Sans Regular"/>
      <w:sz w:val="18"/>
      <w:lang w:val="en-GB" w:eastAsia="en-GB" w:bidi="ar-SA"/>
    </w:rPr>
  </w:style>
  <w:style w:type="paragraph" w:customStyle="1" w:styleId="BodyText-BarcRA331">
    <w:name w:val="Body Text - Barc RA_33_1"/>
    <w:link w:val="BodyText-BarcRAChar201"/>
    <w:qFormat/>
    <w:rsid w:val="004E7C04"/>
    <w:pPr>
      <w:spacing w:before="180" w:after="180"/>
      <w:jc w:val="both"/>
    </w:pPr>
    <w:rPr>
      <w:rFonts w:ascii="Expert Sans Regular" w:hAnsi="Expert Sans Regular"/>
      <w:sz w:val="18"/>
      <w:lang w:eastAsia="en-US"/>
    </w:rPr>
  </w:style>
  <w:style w:type="character" w:customStyle="1" w:styleId="BodyText-BarcRAChar201">
    <w:name w:val="Body Text - Barc RA Char_20_1"/>
    <w:basedOn w:val="DefaultParagraphFont"/>
    <w:link w:val="BodyText-BarcRA331"/>
    <w:rsid w:val="004E7C04"/>
    <w:rPr>
      <w:rFonts w:ascii="Expert Sans Regular" w:hAnsi="Expert Sans Regular"/>
      <w:sz w:val="18"/>
      <w:lang w:val="en-GB" w:eastAsia="en-US" w:bidi="ar-SA"/>
    </w:rPr>
  </w:style>
  <w:style w:type="paragraph" w:customStyle="1" w:styleId="NoteSourceText-BarcRA10">
    <w:name w:val="Note &amp; Source Text - Barc RA_1_0"/>
    <w:basedOn w:val="Normal44"/>
    <w:link w:val="NoteSourceText-BarcRAChar10"/>
    <w:rsid w:val="004E69A5"/>
    <w:pPr>
      <w:tabs>
        <w:tab w:val="left" w:pos="284"/>
      </w:tabs>
      <w:spacing w:before="20" w:after="20"/>
      <w:ind w:left="284" w:hanging="284"/>
      <w:jc w:val="both"/>
    </w:pPr>
    <w:rPr>
      <w:i/>
      <w:iCs/>
      <w:sz w:val="14"/>
      <w:szCs w:val="14"/>
    </w:rPr>
  </w:style>
  <w:style w:type="paragraph" w:customStyle="1" w:styleId="Normal44">
    <w:name w:val="Normal_44"/>
    <w:qFormat/>
    <w:rsid w:val="009705AC"/>
    <w:rPr>
      <w:rFonts w:ascii="Expert Sans Regular" w:hAnsi="Expert Sans Regular"/>
      <w:sz w:val="18"/>
      <w:szCs w:val="24"/>
      <w:lang w:eastAsia="en-US"/>
    </w:rPr>
  </w:style>
  <w:style w:type="character" w:customStyle="1" w:styleId="NoteSourceText-BarcRAChar10">
    <w:name w:val="Note &amp; Source Text - Barc RA Char_1_0"/>
    <w:basedOn w:val="DefaultParagraphFont"/>
    <w:link w:val="NoteSourceText-BarcRA10"/>
    <w:locked/>
    <w:rsid w:val="004E69A5"/>
    <w:rPr>
      <w:rFonts w:ascii="Expert Sans Regular" w:hAnsi="Expert Sans Regular"/>
      <w:i/>
      <w:iCs/>
      <w:sz w:val="14"/>
      <w:szCs w:val="14"/>
      <w:lang w:eastAsia="en-US"/>
    </w:rPr>
  </w:style>
  <w:style w:type="paragraph" w:customStyle="1" w:styleId="HeadingLevel2-BarcRA50">
    <w:name w:val="Heading Level 2 - Barc RA_5_0"/>
    <w:basedOn w:val="Normal45"/>
    <w:next w:val="BodyText-BarcRA332"/>
    <w:rsid w:val="00AE7423"/>
    <w:pPr>
      <w:spacing w:before="240"/>
      <w:jc w:val="both"/>
    </w:pPr>
    <w:rPr>
      <w:b/>
      <w:bCs/>
      <w:color w:val="000000"/>
      <w:sz w:val="20"/>
      <w:szCs w:val="20"/>
      <w:lang w:val="la-Latn"/>
    </w:rPr>
  </w:style>
  <w:style w:type="paragraph" w:customStyle="1" w:styleId="Normal45">
    <w:name w:val="Normal_45"/>
    <w:qFormat/>
    <w:rsid w:val="009705AC"/>
    <w:rPr>
      <w:rFonts w:ascii="Expert Sans Regular" w:hAnsi="Expert Sans Regular"/>
      <w:sz w:val="18"/>
      <w:szCs w:val="24"/>
      <w:lang w:eastAsia="en-US"/>
    </w:rPr>
  </w:style>
  <w:style w:type="paragraph" w:customStyle="1" w:styleId="BodyText-BarcRA332">
    <w:name w:val="Body Text - Barc RA_33_2"/>
    <w:qFormat/>
    <w:rsid w:val="00AE7423"/>
    <w:pPr>
      <w:spacing w:before="180" w:after="180"/>
      <w:jc w:val="both"/>
    </w:pPr>
    <w:rPr>
      <w:rFonts w:ascii="Expert Sans Regular" w:hAnsi="Expert Sans Regular"/>
      <w:sz w:val="18"/>
      <w:lang w:eastAsia="en-US"/>
    </w:rPr>
  </w:style>
  <w:style w:type="paragraph" w:customStyle="1" w:styleId="Level1Bullet-BarcRA190">
    <w:name w:val="Level 1 Bullet - Barc RA_19_0"/>
    <w:basedOn w:val="Normal45"/>
    <w:link w:val="Level1Bullet-BarcRAChar14"/>
    <w:qFormat/>
    <w:rsid w:val="00A763EA"/>
    <w:pPr>
      <w:numPr>
        <w:numId w:val="79"/>
      </w:numPr>
      <w:spacing w:before="180" w:after="180"/>
      <w:jc w:val="both"/>
    </w:pPr>
    <w:rPr>
      <w:sz w:val="20"/>
      <w:szCs w:val="20"/>
      <w:lang w:val="la-Latn" w:eastAsia="x-none"/>
    </w:rPr>
  </w:style>
  <w:style w:type="character" w:customStyle="1" w:styleId="Level1Bullet-BarcRAChar14">
    <w:name w:val="Level 1 Bullet - Barc RA Char_14"/>
    <w:basedOn w:val="DefaultParagraphFont"/>
    <w:link w:val="Level1Bullet-BarcRA190"/>
    <w:locked/>
    <w:rsid w:val="00A763EA"/>
    <w:rPr>
      <w:rFonts w:ascii="Expert Sans Regular" w:hAnsi="Expert Sans Regular"/>
      <w:lang w:val="la-Latn" w:eastAsia="x-none"/>
    </w:rPr>
  </w:style>
  <w:style w:type="paragraph" w:customStyle="1" w:styleId="Level2Bullet-BarcRA7">
    <w:name w:val="Level 2 Bullet - Barc RA_7"/>
    <w:basedOn w:val="Level1Bullet-BarcRA200"/>
    <w:qFormat/>
    <w:rsid w:val="00A85CEE"/>
    <w:pPr>
      <w:numPr>
        <w:ilvl w:val="2"/>
        <w:numId w:val="80"/>
      </w:numPr>
    </w:pPr>
  </w:style>
  <w:style w:type="paragraph" w:customStyle="1" w:styleId="Level1Bullet-BarcRA200">
    <w:name w:val="Level 1 Bullet - Barc RA_20"/>
    <w:basedOn w:val="BodyText-BarcRA47"/>
    <w:link w:val="Level1Bullet-BarcRAChar13"/>
    <w:qFormat/>
    <w:rsid w:val="00A85CEE"/>
    <w:pPr>
      <w:numPr>
        <w:numId w:val="81"/>
      </w:numPr>
    </w:pPr>
    <w:rPr>
      <w:lang w:val="la-Latn"/>
    </w:rPr>
  </w:style>
  <w:style w:type="paragraph" w:customStyle="1" w:styleId="BodyText-BarcRA47">
    <w:name w:val="Body Text - Barc RA_47"/>
    <w:link w:val="BodyText-BarcRAChar32"/>
    <w:qFormat/>
    <w:rsid w:val="005D52ED"/>
    <w:pPr>
      <w:spacing w:before="180" w:after="180"/>
      <w:jc w:val="both"/>
    </w:pPr>
    <w:rPr>
      <w:rFonts w:ascii="Expert Sans Regular" w:hAnsi="Expert Sans Regular"/>
      <w:sz w:val="18"/>
      <w:lang w:eastAsia="en-US"/>
    </w:rPr>
  </w:style>
  <w:style w:type="character" w:customStyle="1" w:styleId="BodyText-BarcRAChar32">
    <w:name w:val="Body Text - Barc RA Char_32"/>
    <w:basedOn w:val="DefaultParagraphFont"/>
    <w:link w:val="BodyText-BarcRA47"/>
    <w:rsid w:val="005D52ED"/>
    <w:rPr>
      <w:rFonts w:ascii="Expert Sans Regular" w:hAnsi="Expert Sans Regular"/>
      <w:sz w:val="18"/>
      <w:lang w:val="en-GB" w:eastAsia="en-US" w:bidi="ar-SA"/>
    </w:rPr>
  </w:style>
  <w:style w:type="character" w:customStyle="1" w:styleId="Level1Bullet-BarcRAChar13">
    <w:name w:val="Level 1 Bullet - Barc RA Char_13"/>
    <w:basedOn w:val="BodyText-BarcRAChar32"/>
    <w:link w:val="Level1Bullet-BarcRA200"/>
    <w:rsid w:val="00A85CEE"/>
    <w:rPr>
      <w:rFonts w:ascii="Expert Sans Regular" w:hAnsi="Expert Sans Regular"/>
      <w:sz w:val="18"/>
      <w:lang w:val="la-Latn" w:eastAsia="en-US" w:bidi="ar-SA"/>
    </w:rPr>
  </w:style>
  <w:style w:type="paragraph" w:customStyle="1" w:styleId="HeadingLevel2-BarcRA11">
    <w:name w:val="Heading Level 2 - Barc RA_11"/>
    <w:basedOn w:val="HeadingLevel1-BarcRA36"/>
    <w:next w:val="BodyText-BarcRA47"/>
    <w:rsid w:val="00EE71E7"/>
    <w:pPr>
      <w:spacing w:before="240" w:after="0"/>
    </w:pPr>
    <w:rPr>
      <w:sz w:val="20"/>
    </w:rPr>
  </w:style>
  <w:style w:type="paragraph" w:customStyle="1" w:styleId="HeadingLevel1-BarcRA36">
    <w:name w:val="Heading Level 1 - Barc RA_36"/>
    <w:basedOn w:val="BodyText-BarcRA47"/>
    <w:next w:val="BodyText-BarcRA47"/>
    <w:link w:val="HeadingLevel1-BarcRAChar23"/>
    <w:rsid w:val="002611B5"/>
    <w:pPr>
      <w:spacing w:before="0"/>
    </w:pPr>
    <w:rPr>
      <w:b/>
      <w:bCs/>
      <w:color w:val="000000"/>
      <w:sz w:val="24"/>
      <w:lang w:val="la-Latn"/>
    </w:rPr>
  </w:style>
  <w:style w:type="character" w:customStyle="1" w:styleId="HeadingLevel1-BarcRAChar23">
    <w:name w:val="Heading Level 1 - Barc RA Char_23"/>
    <w:basedOn w:val="DefaultParagraphFont"/>
    <w:link w:val="HeadingLevel1-BarcRA36"/>
    <w:rsid w:val="009705AC"/>
    <w:rPr>
      <w:rFonts w:ascii="Expert Sans Regular" w:hAnsi="Expert Sans Regular"/>
      <w:b/>
      <w:bCs/>
      <w:color w:val="000000"/>
      <w:sz w:val="24"/>
      <w:lang w:val="la-Latn"/>
    </w:rPr>
  </w:style>
  <w:style w:type="paragraph" w:customStyle="1" w:styleId="Level1Bullet-BarcRA21">
    <w:name w:val="Level 1 Bullet - Barc RA_21"/>
    <w:basedOn w:val="BodyText-BarcRA48"/>
    <w:link w:val="Level1Bullet-BarcRAChar15"/>
    <w:qFormat/>
    <w:rsid w:val="00A85CEE"/>
    <w:pPr>
      <w:numPr>
        <w:numId w:val="82"/>
      </w:numPr>
    </w:pPr>
    <w:rPr>
      <w:lang w:val="la-Latn"/>
    </w:rPr>
  </w:style>
  <w:style w:type="paragraph" w:customStyle="1" w:styleId="BodyText-BarcRA48">
    <w:name w:val="Body Text - Barc RA_48"/>
    <w:link w:val="BodyText-BarcRAChar33"/>
    <w:qFormat/>
    <w:rsid w:val="005D52ED"/>
    <w:pPr>
      <w:spacing w:before="180" w:after="180"/>
      <w:jc w:val="both"/>
    </w:pPr>
    <w:rPr>
      <w:rFonts w:ascii="Expert Sans Regular" w:hAnsi="Expert Sans Regular"/>
      <w:sz w:val="18"/>
      <w:lang w:eastAsia="en-US"/>
    </w:rPr>
  </w:style>
  <w:style w:type="character" w:customStyle="1" w:styleId="BodyText-BarcRAChar33">
    <w:name w:val="Body Text - Barc RA Char_33"/>
    <w:basedOn w:val="DefaultParagraphFont"/>
    <w:link w:val="BodyText-BarcRA48"/>
    <w:rsid w:val="005D52ED"/>
    <w:rPr>
      <w:rFonts w:ascii="Expert Sans Regular" w:hAnsi="Expert Sans Regular"/>
      <w:sz w:val="18"/>
      <w:lang w:val="en-GB" w:eastAsia="en-US" w:bidi="ar-SA"/>
    </w:rPr>
  </w:style>
  <w:style w:type="character" w:customStyle="1" w:styleId="Level1Bullet-BarcRAChar15">
    <w:name w:val="Level 1 Bullet - Barc RA Char_15"/>
    <w:basedOn w:val="BodyText-BarcRAChar33"/>
    <w:link w:val="Level1Bullet-BarcRA21"/>
    <w:rsid w:val="00A85CEE"/>
    <w:rPr>
      <w:rFonts w:ascii="Expert Sans Regular" w:hAnsi="Expert Sans Regular"/>
      <w:sz w:val="18"/>
      <w:lang w:val="la-Latn" w:eastAsia="en-US" w:bidi="ar-SA"/>
    </w:rPr>
  </w:style>
  <w:style w:type="paragraph" w:customStyle="1" w:styleId="BodyText-BarcRA291">
    <w:name w:val="Body Text - Barc RA_29_1"/>
    <w:link w:val="BodyText-BarcRAChar180"/>
    <w:rsid w:val="00942E80"/>
    <w:pPr>
      <w:spacing w:before="180" w:after="180"/>
      <w:jc w:val="both"/>
    </w:pPr>
    <w:rPr>
      <w:rFonts w:ascii="Expert Sans Regular" w:hAnsi="Expert Sans Regular"/>
      <w:sz w:val="18"/>
      <w:lang w:eastAsia="en-US"/>
    </w:rPr>
  </w:style>
  <w:style w:type="character" w:customStyle="1" w:styleId="BodyText-BarcRAChar180">
    <w:name w:val="Body Text - Barc RA Char_18_0"/>
    <w:basedOn w:val="DefaultParagraphFont"/>
    <w:link w:val="BodyText-BarcRA291"/>
    <w:locked/>
    <w:rsid w:val="00942E80"/>
    <w:rPr>
      <w:rFonts w:ascii="Expert Sans Regular" w:hAnsi="Expert Sans Regular"/>
      <w:sz w:val="18"/>
      <w:lang w:val="en-GB" w:eastAsia="en-US" w:bidi="ar-SA"/>
    </w:rPr>
  </w:style>
  <w:style w:type="paragraph" w:customStyle="1" w:styleId="NoteandSourceText-BarcRA6">
    <w:name w:val="Note and Source Text - Barc RA_6"/>
    <w:basedOn w:val="Normal46"/>
    <w:qFormat/>
    <w:rsid w:val="000B4F09"/>
    <w:pPr>
      <w:numPr>
        <w:numId w:val="83"/>
      </w:numPr>
      <w:tabs>
        <w:tab w:val="left" w:pos="284"/>
      </w:tabs>
      <w:spacing w:before="20" w:after="20"/>
      <w:jc w:val="both"/>
    </w:pPr>
    <w:rPr>
      <w:i/>
      <w:iCs/>
      <w:sz w:val="14"/>
      <w:szCs w:val="14"/>
    </w:rPr>
  </w:style>
  <w:style w:type="paragraph" w:customStyle="1" w:styleId="Normal46">
    <w:name w:val="Normal_46"/>
    <w:qFormat/>
    <w:rsid w:val="009705AC"/>
    <w:rPr>
      <w:rFonts w:ascii="Expert Sans Regular" w:hAnsi="Expert Sans Regular"/>
      <w:sz w:val="18"/>
      <w:szCs w:val="24"/>
      <w:lang w:eastAsia="en-US"/>
    </w:rPr>
  </w:style>
  <w:style w:type="paragraph" w:customStyle="1" w:styleId="Level1Bullet-BarcRA191">
    <w:name w:val="Level 1 Bullet - Barc RA_19_1"/>
    <w:basedOn w:val="Normal47"/>
    <w:link w:val="Level1Bullet-BarcRAChar140"/>
    <w:qFormat/>
    <w:rsid w:val="000F4390"/>
    <w:pPr>
      <w:numPr>
        <w:numId w:val="84"/>
      </w:numPr>
      <w:spacing w:before="180" w:after="180"/>
      <w:jc w:val="both"/>
    </w:pPr>
    <w:rPr>
      <w:szCs w:val="20"/>
      <w:lang w:val="la-Latn" w:eastAsia="x-none"/>
    </w:rPr>
  </w:style>
  <w:style w:type="paragraph" w:customStyle="1" w:styleId="Normal47">
    <w:name w:val="Normal_47"/>
    <w:qFormat/>
    <w:rsid w:val="009705AC"/>
    <w:rPr>
      <w:rFonts w:ascii="Expert Sans Regular" w:hAnsi="Expert Sans Regular"/>
      <w:sz w:val="18"/>
      <w:szCs w:val="24"/>
      <w:lang w:eastAsia="en-US"/>
    </w:rPr>
  </w:style>
  <w:style w:type="character" w:customStyle="1" w:styleId="Level1Bullet-BarcRAChar140">
    <w:name w:val="Level 1 Bullet - Barc RA Char_14_0"/>
    <w:basedOn w:val="DefaultParagraphFont"/>
    <w:link w:val="Level1Bullet-BarcRA191"/>
    <w:locked/>
    <w:rsid w:val="000F4390"/>
    <w:rPr>
      <w:rFonts w:ascii="Expert Sans Regular" w:hAnsi="Expert Sans Regular"/>
      <w:sz w:val="18"/>
      <w:lang w:val="la-Latn" w:eastAsia="x-none"/>
    </w:rPr>
  </w:style>
  <w:style w:type="paragraph" w:customStyle="1" w:styleId="Level2Bullet-BarcRA8">
    <w:name w:val="Level 2 Bullet - Barc RA_8"/>
    <w:basedOn w:val="Level1Bullet-BarcRA22"/>
    <w:qFormat/>
    <w:rsid w:val="00A85CEE"/>
    <w:pPr>
      <w:numPr>
        <w:ilvl w:val="2"/>
        <w:numId w:val="85"/>
      </w:numPr>
    </w:pPr>
  </w:style>
  <w:style w:type="paragraph" w:customStyle="1" w:styleId="Level1Bullet-BarcRA22">
    <w:name w:val="Level 1 Bullet - Barc RA_22"/>
    <w:basedOn w:val="BodyText-BarcRA49"/>
    <w:link w:val="Level1Bullet-BarcRAChar16"/>
    <w:qFormat/>
    <w:rsid w:val="00A85CEE"/>
    <w:pPr>
      <w:numPr>
        <w:numId w:val="86"/>
      </w:numPr>
    </w:pPr>
    <w:rPr>
      <w:lang w:val="la-Latn"/>
    </w:rPr>
  </w:style>
  <w:style w:type="paragraph" w:customStyle="1" w:styleId="BodyText-BarcRA49">
    <w:name w:val="Body Text - Barc RA_49"/>
    <w:link w:val="BodyText-BarcRAChar34"/>
    <w:qFormat/>
    <w:rsid w:val="005D52ED"/>
    <w:pPr>
      <w:spacing w:before="180" w:after="180"/>
      <w:jc w:val="both"/>
    </w:pPr>
    <w:rPr>
      <w:rFonts w:ascii="Expert Sans Regular" w:hAnsi="Expert Sans Regular"/>
      <w:sz w:val="18"/>
      <w:lang w:eastAsia="en-US"/>
    </w:rPr>
  </w:style>
  <w:style w:type="character" w:customStyle="1" w:styleId="BodyText-BarcRAChar34">
    <w:name w:val="Body Text - Barc RA Char_34"/>
    <w:basedOn w:val="DefaultParagraphFont"/>
    <w:link w:val="BodyText-BarcRA49"/>
    <w:rsid w:val="005D52ED"/>
    <w:rPr>
      <w:rFonts w:ascii="Expert Sans Regular" w:hAnsi="Expert Sans Regular"/>
      <w:sz w:val="18"/>
      <w:lang w:val="en-GB" w:eastAsia="en-US" w:bidi="ar-SA"/>
    </w:rPr>
  </w:style>
  <w:style w:type="character" w:customStyle="1" w:styleId="Level1Bullet-BarcRAChar16">
    <w:name w:val="Level 1 Bullet - Barc RA Char_16"/>
    <w:basedOn w:val="BodyText-BarcRAChar34"/>
    <w:link w:val="Level1Bullet-BarcRA22"/>
    <w:rsid w:val="00A85CEE"/>
    <w:rPr>
      <w:rFonts w:ascii="Expert Sans Regular" w:hAnsi="Expert Sans Regular"/>
      <w:sz w:val="18"/>
      <w:lang w:val="la-Latn" w:eastAsia="en-US" w:bidi="ar-SA"/>
    </w:rPr>
  </w:style>
  <w:style w:type="paragraph" w:customStyle="1" w:styleId="BodyText-BarcRA370">
    <w:name w:val="Body Text - Barc RA_37_0"/>
    <w:link w:val="BodyText-BarcRAChar250"/>
    <w:qFormat/>
    <w:rsid w:val="00433081"/>
    <w:pPr>
      <w:spacing w:before="180" w:after="180"/>
      <w:jc w:val="both"/>
    </w:pPr>
    <w:rPr>
      <w:rFonts w:ascii="Expert Sans Regular" w:hAnsi="Expert Sans Regular"/>
      <w:sz w:val="18"/>
      <w:lang w:eastAsia="en-US"/>
    </w:rPr>
  </w:style>
  <w:style w:type="character" w:customStyle="1" w:styleId="BodyText-BarcRAChar250">
    <w:name w:val="Body Text - Barc RA Char_25_0"/>
    <w:basedOn w:val="DefaultParagraphFont"/>
    <w:link w:val="BodyText-BarcRA370"/>
    <w:rsid w:val="00433081"/>
    <w:rPr>
      <w:rFonts w:ascii="Expert Sans Regular" w:hAnsi="Expert Sans Regular"/>
      <w:sz w:val="18"/>
      <w:lang w:val="en-GB" w:eastAsia="en-US" w:bidi="ar-SA"/>
    </w:rPr>
  </w:style>
  <w:style w:type="paragraph" w:customStyle="1" w:styleId="NoteSourceText-BarcRA3">
    <w:name w:val="Note &amp; Source Text - Barc RA_3"/>
    <w:basedOn w:val="Normal47"/>
    <w:link w:val="NoteSourceText-BarcRAChar3"/>
    <w:rsid w:val="00E75B5D"/>
    <w:pPr>
      <w:tabs>
        <w:tab w:val="left" w:pos="284"/>
      </w:tabs>
      <w:spacing w:before="20" w:after="20"/>
      <w:ind w:left="284" w:hanging="284"/>
      <w:jc w:val="both"/>
    </w:pPr>
    <w:rPr>
      <w:i/>
      <w:iCs/>
      <w:sz w:val="14"/>
      <w:szCs w:val="14"/>
    </w:rPr>
  </w:style>
  <w:style w:type="character" w:customStyle="1" w:styleId="NoteSourceText-BarcRAChar3">
    <w:name w:val="Note &amp; Source Text - Barc RA Char_3"/>
    <w:basedOn w:val="DefaultParagraphFont"/>
    <w:link w:val="NoteSourceText-BarcRA3"/>
    <w:rsid w:val="00E75B5D"/>
    <w:rPr>
      <w:rFonts w:ascii="Expert Sans Regular" w:hAnsi="Expert Sans Regular"/>
      <w:i/>
      <w:iCs/>
      <w:sz w:val="14"/>
      <w:szCs w:val="14"/>
      <w:lang w:eastAsia="en-US"/>
    </w:rPr>
  </w:style>
  <w:style w:type="paragraph" w:customStyle="1" w:styleId="Level1Bullet-BarcRA23">
    <w:name w:val="Level 1 Bullet - Barc RA_23"/>
    <w:basedOn w:val="BodyText-BarcRA50"/>
    <w:link w:val="Level1Bullet-BarcRAChar17"/>
    <w:qFormat/>
    <w:rsid w:val="00A85CEE"/>
    <w:pPr>
      <w:numPr>
        <w:numId w:val="87"/>
      </w:numPr>
    </w:pPr>
    <w:rPr>
      <w:lang w:val="la-Latn"/>
    </w:rPr>
  </w:style>
  <w:style w:type="paragraph" w:customStyle="1" w:styleId="BodyText-BarcRA50">
    <w:name w:val="Body Text - Barc RA_50"/>
    <w:link w:val="BodyText-BarcRAChar35"/>
    <w:qFormat/>
    <w:rsid w:val="005D52ED"/>
    <w:pPr>
      <w:spacing w:before="180" w:after="180"/>
      <w:jc w:val="both"/>
    </w:pPr>
    <w:rPr>
      <w:rFonts w:ascii="Expert Sans Regular" w:hAnsi="Expert Sans Regular"/>
      <w:sz w:val="18"/>
      <w:lang w:eastAsia="en-US"/>
    </w:rPr>
  </w:style>
  <w:style w:type="character" w:customStyle="1" w:styleId="BodyText-BarcRAChar35">
    <w:name w:val="Body Text - Barc RA Char_35"/>
    <w:basedOn w:val="DefaultParagraphFont"/>
    <w:link w:val="BodyText-BarcRA50"/>
    <w:rsid w:val="005D52ED"/>
    <w:rPr>
      <w:rFonts w:ascii="Expert Sans Regular" w:hAnsi="Expert Sans Regular"/>
      <w:sz w:val="18"/>
      <w:lang w:val="en-GB" w:eastAsia="en-US" w:bidi="ar-SA"/>
    </w:rPr>
  </w:style>
  <w:style w:type="character" w:customStyle="1" w:styleId="Level1Bullet-BarcRAChar17">
    <w:name w:val="Level 1 Bullet - Barc RA Char_17"/>
    <w:basedOn w:val="BodyText-BarcRAChar35"/>
    <w:link w:val="Level1Bullet-BarcRA23"/>
    <w:rsid w:val="00A85CEE"/>
    <w:rPr>
      <w:rFonts w:ascii="Expert Sans Regular" w:hAnsi="Expert Sans Regular"/>
      <w:sz w:val="18"/>
      <w:lang w:val="la-Latn" w:eastAsia="en-US" w:bidi="ar-SA"/>
    </w:rPr>
  </w:style>
  <w:style w:type="paragraph" w:customStyle="1" w:styleId="HeadingLevel2-BarcRA12">
    <w:name w:val="Heading Level 2 - Barc RA_12"/>
    <w:basedOn w:val="HeadingLevel1-BarcRA37"/>
    <w:next w:val="BodyText-BarcRA50"/>
    <w:rsid w:val="00EE71E7"/>
    <w:pPr>
      <w:spacing w:before="240" w:after="0"/>
    </w:pPr>
    <w:rPr>
      <w:sz w:val="20"/>
    </w:rPr>
  </w:style>
  <w:style w:type="paragraph" w:customStyle="1" w:styleId="HeadingLevel1-BarcRA37">
    <w:name w:val="Heading Level 1 - Barc RA_37"/>
    <w:basedOn w:val="BodyText-BarcRA50"/>
    <w:next w:val="BodyText-BarcRA50"/>
    <w:link w:val="HeadingLevel1-BarcRAChar24"/>
    <w:rsid w:val="002611B5"/>
    <w:pPr>
      <w:spacing w:before="0"/>
    </w:pPr>
    <w:rPr>
      <w:b/>
      <w:bCs/>
      <w:color w:val="000000"/>
      <w:sz w:val="24"/>
      <w:lang w:val="la-Latn"/>
    </w:rPr>
  </w:style>
  <w:style w:type="character" w:customStyle="1" w:styleId="HeadingLevel1-BarcRAChar24">
    <w:name w:val="Heading Level 1 - Barc RA Char_24"/>
    <w:basedOn w:val="DefaultParagraphFont"/>
    <w:link w:val="HeadingLevel1-BarcRA37"/>
    <w:rsid w:val="009705AC"/>
    <w:rPr>
      <w:rFonts w:ascii="Expert Sans Regular" w:hAnsi="Expert Sans Regular"/>
      <w:b/>
      <w:bCs/>
      <w:color w:val="000000"/>
      <w:sz w:val="24"/>
      <w:lang w:val="la-Latn"/>
    </w:rPr>
  </w:style>
  <w:style w:type="paragraph" w:customStyle="1" w:styleId="Level1Bullet-BarcRA112">
    <w:name w:val="Level 1 Bullet - Barc RA_1_1"/>
    <w:basedOn w:val="Normal48"/>
    <w:link w:val="Level1Bullet-BarcRAChar110"/>
    <w:qFormat/>
    <w:rsid w:val="00564A0F"/>
    <w:pPr>
      <w:numPr>
        <w:numId w:val="88"/>
      </w:numPr>
      <w:spacing w:before="180" w:after="180"/>
      <w:jc w:val="both"/>
    </w:pPr>
    <w:rPr>
      <w:szCs w:val="20"/>
      <w:lang w:val="la-Latn"/>
    </w:rPr>
  </w:style>
  <w:style w:type="paragraph" w:customStyle="1" w:styleId="Normal48">
    <w:name w:val="Normal_48"/>
    <w:qFormat/>
    <w:rsid w:val="009705AC"/>
    <w:rPr>
      <w:rFonts w:ascii="Expert Sans Regular" w:hAnsi="Expert Sans Regular"/>
      <w:sz w:val="18"/>
      <w:szCs w:val="24"/>
      <w:lang w:eastAsia="en-US"/>
    </w:rPr>
  </w:style>
  <w:style w:type="character" w:customStyle="1" w:styleId="Level1Bullet-BarcRAChar110">
    <w:name w:val="Level 1 Bullet - Barc RA Char_1_1"/>
    <w:basedOn w:val="DefaultParagraphFont"/>
    <w:link w:val="Level1Bullet-BarcRA112"/>
    <w:locked/>
    <w:rsid w:val="00564A0F"/>
    <w:rPr>
      <w:rFonts w:ascii="Expert Sans Regular" w:hAnsi="Expert Sans Regular"/>
      <w:sz w:val="18"/>
      <w:lang w:val="la-Latn" w:eastAsia="en-US"/>
    </w:rPr>
  </w:style>
  <w:style w:type="paragraph" w:customStyle="1" w:styleId="Normal49">
    <w:name w:val="Normal_49"/>
    <w:qFormat/>
    <w:rsid w:val="009705AC"/>
    <w:rPr>
      <w:rFonts w:ascii="Expert Sans Regular" w:hAnsi="Expert Sans Regular"/>
      <w:sz w:val="18"/>
      <w:szCs w:val="24"/>
      <w:lang w:eastAsia="en-US"/>
    </w:rPr>
  </w:style>
  <w:style w:type="paragraph" w:customStyle="1" w:styleId="NoteandSourceText-BarcRA7">
    <w:name w:val="Note and Source Text - Barc RA_7"/>
    <w:basedOn w:val="Normal49"/>
    <w:qFormat/>
    <w:rsid w:val="00590470"/>
    <w:pPr>
      <w:numPr>
        <w:numId w:val="89"/>
      </w:numPr>
      <w:tabs>
        <w:tab w:val="left" w:pos="284"/>
      </w:tabs>
      <w:spacing w:before="20" w:after="20"/>
      <w:jc w:val="both"/>
    </w:pPr>
    <w:rPr>
      <w:i/>
      <w:iCs/>
      <w:sz w:val="14"/>
      <w:szCs w:val="14"/>
    </w:rPr>
  </w:style>
  <w:style w:type="paragraph" w:customStyle="1" w:styleId="NoteSourceText-BarcRA9">
    <w:name w:val="Note &amp; Source Text - Barc RA_9"/>
    <w:basedOn w:val="Normal49"/>
    <w:link w:val="NoteSourceText-BarcRAChar8"/>
    <w:rsid w:val="00536BCB"/>
    <w:pPr>
      <w:tabs>
        <w:tab w:val="left" w:pos="284"/>
      </w:tabs>
      <w:spacing w:before="20" w:after="20"/>
      <w:ind w:left="284" w:hanging="284"/>
      <w:jc w:val="both"/>
    </w:pPr>
    <w:rPr>
      <w:i/>
      <w:iCs/>
      <w:sz w:val="14"/>
      <w:szCs w:val="14"/>
    </w:rPr>
  </w:style>
  <w:style w:type="character" w:customStyle="1" w:styleId="NoteSourceText-BarcRAChar8">
    <w:name w:val="Note &amp; Source Text - Barc RA Char_8"/>
    <w:basedOn w:val="DefaultParagraphFont"/>
    <w:link w:val="NoteSourceText-BarcRA9"/>
    <w:rsid w:val="00536BCB"/>
    <w:rPr>
      <w:rFonts w:ascii="Expert Sans Regular" w:hAnsi="Expert Sans Regular"/>
      <w:i/>
      <w:iCs/>
      <w:sz w:val="14"/>
      <w:szCs w:val="14"/>
      <w:lang w:eastAsia="en-US"/>
    </w:rPr>
  </w:style>
  <w:style w:type="paragraph" w:customStyle="1" w:styleId="BodyText-BarcRA3700">
    <w:name w:val="Body Text - Barc RA_37_0_0"/>
    <w:link w:val="BodyText-BarcRAChar260"/>
    <w:rsid w:val="00446962"/>
    <w:pPr>
      <w:spacing w:before="180" w:after="180"/>
      <w:jc w:val="both"/>
    </w:pPr>
    <w:rPr>
      <w:rFonts w:ascii="Expert Sans Regular" w:hAnsi="Expert Sans Regular"/>
      <w:sz w:val="18"/>
      <w:lang w:eastAsia="en-US"/>
    </w:rPr>
  </w:style>
  <w:style w:type="character" w:customStyle="1" w:styleId="BodyText-BarcRAChar260">
    <w:name w:val="Body Text - Barc RA Char_26_0"/>
    <w:basedOn w:val="DefaultParagraphFont"/>
    <w:link w:val="BodyText-BarcRA3700"/>
    <w:locked/>
    <w:rsid w:val="00446962"/>
    <w:rPr>
      <w:rFonts w:ascii="Expert Sans Regular" w:hAnsi="Expert Sans Regular"/>
      <w:sz w:val="18"/>
      <w:lang w:val="en-GB" w:eastAsia="en-US" w:bidi="ar-SA"/>
    </w:rPr>
  </w:style>
  <w:style w:type="paragraph" w:customStyle="1" w:styleId="NoteSourceText-BarcRA100">
    <w:name w:val="Note &amp; Source Text - Barc RA_10"/>
    <w:basedOn w:val="Normal49"/>
    <w:link w:val="NoteSourceText-BarcRAChar9"/>
    <w:rsid w:val="00536BCB"/>
    <w:pPr>
      <w:tabs>
        <w:tab w:val="left" w:pos="284"/>
      </w:tabs>
      <w:spacing w:before="20" w:after="20"/>
      <w:ind w:left="284" w:hanging="284"/>
      <w:jc w:val="both"/>
    </w:pPr>
    <w:rPr>
      <w:i/>
      <w:iCs/>
      <w:sz w:val="14"/>
      <w:szCs w:val="14"/>
    </w:rPr>
  </w:style>
  <w:style w:type="character" w:customStyle="1" w:styleId="NoteSourceText-BarcRAChar9">
    <w:name w:val="Note &amp; Source Text - Barc RA Char_9"/>
    <w:basedOn w:val="DefaultParagraphFont"/>
    <w:link w:val="NoteSourceText-BarcRA100"/>
    <w:rsid w:val="00536BCB"/>
    <w:rPr>
      <w:rFonts w:ascii="Expert Sans Regular" w:hAnsi="Expert Sans Regular"/>
      <w:i/>
      <w:iCs/>
      <w:sz w:val="14"/>
      <w:szCs w:val="14"/>
      <w:lang w:eastAsia="en-US"/>
    </w:rPr>
  </w:style>
  <w:style w:type="paragraph" w:customStyle="1" w:styleId="BodyText-BarcRA380">
    <w:name w:val="Body Text - Barc RA_38_0"/>
    <w:rsid w:val="00142937"/>
    <w:pPr>
      <w:spacing w:before="180" w:after="180"/>
      <w:jc w:val="both"/>
    </w:pPr>
    <w:rPr>
      <w:rFonts w:ascii="Expert Sans Regular" w:hAnsi="Expert Sans Regular"/>
      <w:sz w:val="18"/>
      <w:lang w:eastAsia="en-US"/>
    </w:rPr>
  </w:style>
  <w:style w:type="paragraph" w:customStyle="1" w:styleId="NoteSourceText-BarcRA90">
    <w:name w:val="Note &amp; Source Text - Barc RA_9_0"/>
    <w:basedOn w:val="Normal50"/>
    <w:link w:val="NoteSourceText-BarcRAChar80"/>
    <w:rsid w:val="00814EDC"/>
    <w:pPr>
      <w:tabs>
        <w:tab w:val="left" w:pos="284"/>
      </w:tabs>
      <w:spacing w:before="20" w:after="20"/>
      <w:ind w:left="284" w:hanging="284"/>
      <w:jc w:val="both"/>
    </w:pPr>
    <w:rPr>
      <w:i/>
      <w:iCs/>
      <w:sz w:val="14"/>
      <w:szCs w:val="14"/>
    </w:rPr>
  </w:style>
  <w:style w:type="paragraph" w:customStyle="1" w:styleId="Normal50">
    <w:name w:val="Normal_50"/>
    <w:qFormat/>
    <w:rsid w:val="009705AC"/>
    <w:rPr>
      <w:rFonts w:ascii="Expert Sans Regular" w:hAnsi="Expert Sans Regular"/>
      <w:sz w:val="18"/>
      <w:szCs w:val="24"/>
      <w:lang w:eastAsia="en-US"/>
    </w:rPr>
  </w:style>
  <w:style w:type="character" w:customStyle="1" w:styleId="NoteSourceText-BarcRAChar80">
    <w:name w:val="Note &amp; Source Text - Barc RA Char_8_0"/>
    <w:basedOn w:val="DefaultParagraphFont"/>
    <w:link w:val="NoteSourceText-BarcRA90"/>
    <w:rsid w:val="00814EDC"/>
    <w:rPr>
      <w:rFonts w:ascii="Expert Sans Regular" w:hAnsi="Expert Sans Regular"/>
      <w:i/>
      <w:iCs/>
      <w:sz w:val="14"/>
      <w:szCs w:val="14"/>
      <w:lang w:eastAsia="en-US"/>
    </w:rPr>
  </w:style>
  <w:style w:type="paragraph" w:customStyle="1" w:styleId="NoteSourceText-BarcRA1000">
    <w:name w:val="Note &amp; Source Text - Barc RA_10_0"/>
    <w:basedOn w:val="Normal50"/>
    <w:link w:val="NoteSourceText-BarcRAChar90"/>
    <w:rsid w:val="00814EDC"/>
    <w:pPr>
      <w:tabs>
        <w:tab w:val="left" w:pos="284"/>
      </w:tabs>
      <w:spacing w:before="20" w:after="20"/>
      <w:ind w:left="284" w:hanging="284"/>
      <w:jc w:val="both"/>
    </w:pPr>
    <w:rPr>
      <w:i/>
      <w:iCs/>
      <w:sz w:val="14"/>
      <w:szCs w:val="14"/>
    </w:rPr>
  </w:style>
  <w:style w:type="character" w:customStyle="1" w:styleId="NoteSourceText-BarcRAChar90">
    <w:name w:val="Note &amp; Source Text - Barc RA Char_9_0"/>
    <w:basedOn w:val="DefaultParagraphFont"/>
    <w:link w:val="NoteSourceText-BarcRA1000"/>
    <w:rsid w:val="00814EDC"/>
    <w:rPr>
      <w:rFonts w:ascii="Expert Sans Regular" w:hAnsi="Expert Sans Regular"/>
      <w:i/>
      <w:iCs/>
      <w:sz w:val="14"/>
      <w:szCs w:val="14"/>
      <w:lang w:eastAsia="en-US"/>
    </w:rPr>
  </w:style>
  <w:style w:type="paragraph" w:customStyle="1" w:styleId="HeadingLevel2-BarcRA80">
    <w:name w:val="Heading Level 2 - Barc RA_8_0"/>
    <w:basedOn w:val="Normal51"/>
    <w:next w:val="BodyText-BarcRA390"/>
    <w:rsid w:val="0089381D"/>
    <w:pPr>
      <w:spacing w:before="240" w:after="0" w:line="240" w:lineRule="auto"/>
      <w:jc w:val="both"/>
    </w:pPr>
    <w:rPr>
      <w:rFonts w:ascii="Expert Sans Regular" w:hAnsi="Expert Sans Regular"/>
      <w:b/>
      <w:bCs/>
      <w:color w:val="000000"/>
      <w:sz w:val="20"/>
      <w:szCs w:val="20"/>
      <w:lang w:val="la-Latn"/>
    </w:rPr>
  </w:style>
  <w:style w:type="paragraph" w:customStyle="1" w:styleId="Normal51">
    <w:name w:val="Normal_51"/>
    <w:qFormat/>
    <w:rsid w:val="00DE0D86"/>
    <w:pPr>
      <w:spacing w:after="200" w:line="276" w:lineRule="auto"/>
    </w:pPr>
    <w:rPr>
      <w:sz w:val="22"/>
      <w:szCs w:val="22"/>
      <w:lang w:eastAsia="en-US"/>
    </w:rPr>
  </w:style>
  <w:style w:type="paragraph" w:customStyle="1" w:styleId="BodyText-BarcRA390">
    <w:name w:val="Body Text - Barc RA_39_0"/>
    <w:link w:val="BodyText-BarcRAChar280"/>
    <w:rsid w:val="00B53B49"/>
    <w:pPr>
      <w:spacing w:before="180" w:after="180"/>
      <w:jc w:val="both"/>
    </w:pPr>
    <w:rPr>
      <w:rFonts w:ascii="Expert Sans Regular" w:hAnsi="Expert Sans Regular"/>
      <w:sz w:val="18"/>
      <w:lang w:eastAsia="en-US"/>
    </w:rPr>
  </w:style>
  <w:style w:type="character" w:customStyle="1" w:styleId="BodyText-BarcRAChar280">
    <w:name w:val="Body Text - Barc RA Char_28_0"/>
    <w:basedOn w:val="DefaultParagraphFont"/>
    <w:link w:val="BodyText-BarcRA390"/>
    <w:locked/>
    <w:rsid w:val="00B53B49"/>
    <w:rPr>
      <w:rFonts w:ascii="Expert Sans Regular" w:hAnsi="Expert Sans Regular"/>
      <w:sz w:val="18"/>
      <w:lang w:val="en-GB" w:eastAsia="en-US" w:bidi="ar-SA"/>
    </w:rPr>
  </w:style>
  <w:style w:type="paragraph" w:customStyle="1" w:styleId="BodyText-BarcRA3900">
    <w:name w:val="Body Text - Barc RA_39_0_0"/>
    <w:link w:val="BodyText-BarcRAChar2800"/>
    <w:rsid w:val="004E16AE"/>
    <w:pPr>
      <w:spacing w:before="180" w:after="180"/>
      <w:jc w:val="both"/>
    </w:pPr>
    <w:rPr>
      <w:rFonts w:ascii="Expert Sans Regular" w:hAnsi="Expert Sans Regular"/>
      <w:sz w:val="18"/>
      <w:lang w:eastAsia="en-US"/>
    </w:rPr>
  </w:style>
  <w:style w:type="character" w:customStyle="1" w:styleId="BodyText-BarcRAChar2800">
    <w:name w:val="Body Text - Barc RA Char_28_0_0"/>
    <w:basedOn w:val="DefaultParagraphFont"/>
    <w:link w:val="BodyText-BarcRA3900"/>
    <w:locked/>
    <w:rsid w:val="004E16AE"/>
    <w:rPr>
      <w:rFonts w:ascii="Expert Sans Regular" w:hAnsi="Expert Sans Regular"/>
      <w:sz w:val="18"/>
      <w:lang w:val="en-GB" w:eastAsia="en-US" w:bidi="ar-SA"/>
    </w:rPr>
  </w:style>
  <w:style w:type="paragraph" w:customStyle="1" w:styleId="BodyText-BarcRA391">
    <w:name w:val="Body Text - Barc RA_39_1"/>
    <w:link w:val="BodyText-BarcRAChar281"/>
    <w:rsid w:val="00861283"/>
    <w:pPr>
      <w:spacing w:before="180" w:after="180"/>
      <w:jc w:val="both"/>
    </w:pPr>
    <w:rPr>
      <w:rFonts w:ascii="Expert Sans Regular" w:hAnsi="Expert Sans Regular"/>
      <w:sz w:val="18"/>
      <w:lang w:eastAsia="en-US"/>
    </w:rPr>
  </w:style>
  <w:style w:type="character" w:customStyle="1" w:styleId="BodyText-BarcRAChar281">
    <w:name w:val="Body Text - Barc RA Char_28_1"/>
    <w:basedOn w:val="DefaultParagraphFont"/>
    <w:link w:val="BodyText-BarcRA391"/>
    <w:locked/>
    <w:rsid w:val="00861283"/>
    <w:rPr>
      <w:rFonts w:ascii="Expert Sans Regular" w:hAnsi="Expert Sans Regular"/>
      <w:sz w:val="18"/>
      <w:lang w:val="en-GB" w:eastAsia="en-US" w:bidi="ar-SA"/>
    </w:rPr>
  </w:style>
  <w:style w:type="paragraph" w:customStyle="1" w:styleId="NoteSourceText-BarcRA71">
    <w:name w:val="Note &amp; Source Text - Barc RA_7_1"/>
    <w:basedOn w:val="Normal52"/>
    <w:link w:val="NoteSourceText-BarcRAChar71"/>
    <w:rsid w:val="00DC4A1A"/>
    <w:pPr>
      <w:tabs>
        <w:tab w:val="left" w:pos="284"/>
      </w:tabs>
      <w:spacing w:before="20" w:after="20"/>
      <w:ind w:left="284" w:hanging="284"/>
      <w:jc w:val="both"/>
    </w:pPr>
    <w:rPr>
      <w:i/>
      <w:iCs/>
      <w:sz w:val="14"/>
      <w:szCs w:val="14"/>
    </w:rPr>
  </w:style>
  <w:style w:type="paragraph" w:customStyle="1" w:styleId="Normal52">
    <w:name w:val="Normal_52"/>
    <w:qFormat/>
    <w:rsid w:val="009705AC"/>
    <w:rPr>
      <w:rFonts w:ascii="Expert Sans Regular" w:hAnsi="Expert Sans Regular"/>
      <w:sz w:val="18"/>
      <w:szCs w:val="24"/>
      <w:lang w:eastAsia="en-US"/>
    </w:rPr>
  </w:style>
  <w:style w:type="character" w:customStyle="1" w:styleId="NoteSourceText-BarcRAChar71">
    <w:name w:val="Note &amp; Source Text - Barc RA Char_7_1"/>
    <w:basedOn w:val="DefaultParagraphFont"/>
    <w:link w:val="NoteSourceText-BarcRA71"/>
    <w:locked/>
    <w:rsid w:val="00DC4A1A"/>
    <w:rPr>
      <w:rFonts w:ascii="Expert Sans Regular" w:hAnsi="Expert Sans Regular"/>
      <w:i/>
      <w:iCs/>
      <w:sz w:val="14"/>
      <w:szCs w:val="14"/>
      <w:lang w:eastAsia="en-US"/>
    </w:rPr>
  </w:style>
  <w:style w:type="paragraph" w:customStyle="1" w:styleId="HeadingLevel2-BarcRA13">
    <w:name w:val="Heading Level 2 - Barc RA_13"/>
    <w:basedOn w:val="Normal53"/>
    <w:next w:val="BodyText-BarcRA51"/>
    <w:rsid w:val="00C049E8"/>
    <w:pPr>
      <w:spacing w:before="240"/>
      <w:jc w:val="both"/>
    </w:pPr>
    <w:rPr>
      <w:rFonts w:ascii="Expert Sans Regular" w:hAnsi="Expert Sans Regular"/>
      <w:b/>
      <w:bCs/>
      <w:color w:val="000000"/>
      <w:sz w:val="20"/>
      <w:szCs w:val="20"/>
      <w:lang w:val="la-Latn" w:eastAsia="en-US"/>
    </w:rPr>
  </w:style>
  <w:style w:type="paragraph" w:customStyle="1" w:styleId="Normal53">
    <w:name w:val="Normal_53"/>
    <w:qFormat/>
    <w:rsid w:val="005268BB"/>
    <w:rPr>
      <w:sz w:val="24"/>
      <w:szCs w:val="24"/>
    </w:rPr>
  </w:style>
  <w:style w:type="paragraph" w:customStyle="1" w:styleId="BodyText-BarcRA51">
    <w:name w:val="Body Text - Barc RA_51"/>
    <w:link w:val="BodyText-BarcRAChar36"/>
    <w:qFormat/>
    <w:rsid w:val="00C049E8"/>
    <w:pPr>
      <w:spacing w:before="180" w:after="180"/>
      <w:jc w:val="both"/>
    </w:pPr>
    <w:rPr>
      <w:rFonts w:ascii="Expert Sans Regular" w:hAnsi="Expert Sans Regular"/>
      <w:sz w:val="18"/>
      <w:lang w:eastAsia="en-US"/>
    </w:rPr>
  </w:style>
  <w:style w:type="character" w:customStyle="1" w:styleId="BodyText-BarcRAChar36">
    <w:name w:val="Body Text - Barc RA Char_36"/>
    <w:basedOn w:val="DefaultParagraphFont"/>
    <w:link w:val="BodyText-BarcRA51"/>
    <w:rsid w:val="00C049E8"/>
    <w:rPr>
      <w:rFonts w:ascii="Expert Sans Regular" w:hAnsi="Expert Sans Regular"/>
      <w:sz w:val="18"/>
      <w:lang w:val="en-GB" w:eastAsia="en-US" w:bidi="ar-SA"/>
    </w:rPr>
  </w:style>
  <w:style w:type="paragraph" w:customStyle="1" w:styleId="BodyText-BarcRA400">
    <w:name w:val="Body Text - Barc RA_40_0"/>
    <w:link w:val="BodyText-BarcRAChar290"/>
    <w:qFormat/>
    <w:rsid w:val="0042622C"/>
    <w:pPr>
      <w:spacing w:before="180" w:after="180"/>
      <w:jc w:val="both"/>
    </w:pPr>
    <w:rPr>
      <w:rFonts w:ascii="Expert Sans Regular" w:hAnsi="Expert Sans Regular"/>
      <w:sz w:val="18"/>
      <w:lang w:eastAsia="en-US"/>
    </w:rPr>
  </w:style>
  <w:style w:type="character" w:customStyle="1" w:styleId="BodyText-BarcRAChar290">
    <w:name w:val="Body Text - Barc RA Char_29_0"/>
    <w:basedOn w:val="DefaultParagraphFont"/>
    <w:link w:val="BodyText-BarcRA400"/>
    <w:locked/>
    <w:rsid w:val="0042622C"/>
    <w:rPr>
      <w:rFonts w:ascii="Expert Sans Regular" w:hAnsi="Expert Sans Regular"/>
      <w:sz w:val="18"/>
      <w:lang w:val="en-GB" w:eastAsia="en-US" w:bidi="ar-SA"/>
    </w:rPr>
  </w:style>
  <w:style w:type="paragraph" w:customStyle="1" w:styleId="Level1Bullet-BarcRA60">
    <w:name w:val="Level 1 Bullet - Barc RA_6_0"/>
    <w:basedOn w:val="Normal54"/>
    <w:locked/>
    <w:rsid w:val="00846957"/>
    <w:pPr>
      <w:numPr>
        <w:numId w:val="90"/>
      </w:numPr>
      <w:spacing w:before="180" w:after="180"/>
      <w:jc w:val="both"/>
    </w:pPr>
    <w:rPr>
      <w:rFonts w:ascii="Expert Sans Regular" w:hAnsi="Expert Sans Regular"/>
      <w:sz w:val="18"/>
      <w:szCs w:val="20"/>
      <w:lang w:val="la-Latn" w:eastAsia="en-US"/>
    </w:rPr>
  </w:style>
  <w:style w:type="paragraph" w:customStyle="1" w:styleId="Normal54">
    <w:name w:val="Normal_54"/>
    <w:qFormat/>
    <w:rsid w:val="005268BB"/>
    <w:rPr>
      <w:sz w:val="24"/>
      <w:szCs w:val="24"/>
    </w:rPr>
  </w:style>
  <w:style w:type="paragraph" w:customStyle="1" w:styleId="NoteandSourceText-BarcRA8">
    <w:name w:val="Note and Source Text - Barc RA_8"/>
    <w:basedOn w:val="Normal54"/>
    <w:qFormat/>
    <w:rsid w:val="009F74CD"/>
    <w:pPr>
      <w:numPr>
        <w:numId w:val="91"/>
      </w:numPr>
      <w:tabs>
        <w:tab w:val="left" w:pos="284"/>
      </w:tabs>
      <w:spacing w:before="20" w:after="20"/>
      <w:jc w:val="both"/>
    </w:pPr>
    <w:rPr>
      <w:rFonts w:ascii="Expert Sans Regular" w:hAnsi="Expert Sans Regular"/>
      <w:i/>
      <w:iCs/>
      <w:sz w:val="14"/>
      <w:szCs w:val="14"/>
      <w:lang w:eastAsia="en-US"/>
    </w:rPr>
  </w:style>
  <w:style w:type="paragraph" w:customStyle="1" w:styleId="Level1Bullet-BarcRA24">
    <w:name w:val="Level 1 Bullet - Barc RA_24"/>
    <w:basedOn w:val="BodyText-BarcRA52"/>
    <w:link w:val="Level1Bullet-BarcRAChar18"/>
    <w:qFormat/>
    <w:rsid w:val="00A85CEE"/>
    <w:pPr>
      <w:numPr>
        <w:numId w:val="92"/>
      </w:numPr>
    </w:pPr>
    <w:rPr>
      <w:lang w:val="la-Latn"/>
    </w:rPr>
  </w:style>
  <w:style w:type="paragraph" w:customStyle="1" w:styleId="BodyText-BarcRA52">
    <w:name w:val="Body Text - Barc RA_52"/>
    <w:link w:val="BodyText-BarcRAChar37"/>
    <w:qFormat/>
    <w:rsid w:val="005D52ED"/>
    <w:pPr>
      <w:spacing w:before="180" w:after="180"/>
      <w:jc w:val="both"/>
    </w:pPr>
    <w:rPr>
      <w:rFonts w:ascii="Expert Sans Regular" w:hAnsi="Expert Sans Regular"/>
      <w:sz w:val="18"/>
      <w:lang w:eastAsia="en-US"/>
    </w:rPr>
  </w:style>
  <w:style w:type="character" w:customStyle="1" w:styleId="BodyText-BarcRAChar37">
    <w:name w:val="Body Text - Barc RA Char_37"/>
    <w:basedOn w:val="DefaultParagraphFont"/>
    <w:link w:val="BodyText-BarcRA52"/>
    <w:rsid w:val="005D52ED"/>
    <w:rPr>
      <w:rFonts w:ascii="Expert Sans Regular" w:hAnsi="Expert Sans Regular"/>
      <w:sz w:val="18"/>
      <w:lang w:val="en-GB" w:eastAsia="en-US" w:bidi="ar-SA"/>
    </w:rPr>
  </w:style>
  <w:style w:type="character" w:customStyle="1" w:styleId="Level1Bullet-BarcRAChar18">
    <w:name w:val="Level 1 Bullet - Barc RA Char_18"/>
    <w:basedOn w:val="BodyText-BarcRAChar37"/>
    <w:link w:val="Level1Bullet-BarcRA24"/>
    <w:rsid w:val="00A85CEE"/>
    <w:rPr>
      <w:rFonts w:ascii="Expert Sans Regular" w:hAnsi="Expert Sans Regular"/>
      <w:sz w:val="18"/>
      <w:lang w:val="la-Latn" w:eastAsia="en-US" w:bidi="ar-SA"/>
    </w:rPr>
  </w:style>
  <w:style w:type="paragraph" w:customStyle="1" w:styleId="NoteandSourceText-BarcRA9">
    <w:name w:val="Note and Source Text - Barc RA_9"/>
    <w:basedOn w:val="Normal55"/>
    <w:qFormat/>
    <w:rsid w:val="004C10F9"/>
    <w:pPr>
      <w:numPr>
        <w:numId w:val="93"/>
      </w:numPr>
      <w:tabs>
        <w:tab w:val="left" w:pos="284"/>
      </w:tabs>
      <w:spacing w:before="20" w:after="20"/>
      <w:jc w:val="both"/>
    </w:pPr>
    <w:rPr>
      <w:rFonts w:ascii="Expert Sans Regular" w:hAnsi="Expert Sans Regular"/>
      <w:i/>
      <w:iCs/>
      <w:sz w:val="14"/>
      <w:szCs w:val="14"/>
      <w:lang w:eastAsia="en-US"/>
    </w:rPr>
  </w:style>
  <w:style w:type="paragraph" w:customStyle="1" w:styleId="Normal55">
    <w:name w:val="Normal_55"/>
    <w:qFormat/>
    <w:rsid w:val="00EE7184"/>
    <w:rPr>
      <w:sz w:val="24"/>
      <w:szCs w:val="24"/>
    </w:rPr>
  </w:style>
  <w:style w:type="paragraph" w:customStyle="1" w:styleId="HeadingLevel2-BarcRA14">
    <w:name w:val="Heading Level 2 - Barc RA_14"/>
    <w:basedOn w:val="HeadingLevel1-BarcRA38"/>
    <w:next w:val="BodyText-BarcRA53"/>
    <w:qFormat/>
    <w:rsid w:val="00EE71E7"/>
    <w:pPr>
      <w:spacing w:before="240" w:after="0"/>
    </w:pPr>
    <w:rPr>
      <w:sz w:val="20"/>
    </w:rPr>
  </w:style>
  <w:style w:type="paragraph" w:customStyle="1" w:styleId="HeadingLevel1-BarcRA38">
    <w:name w:val="Heading Level 1 - Barc RA_38"/>
    <w:basedOn w:val="BodyText-BarcRA53"/>
    <w:next w:val="BodyText-BarcRA53"/>
    <w:link w:val="HeadingLevel1-BarcRAChar25"/>
    <w:rsid w:val="002611B5"/>
    <w:pPr>
      <w:spacing w:before="0"/>
    </w:pPr>
    <w:rPr>
      <w:b/>
      <w:bCs/>
      <w:color w:val="000000"/>
      <w:sz w:val="24"/>
      <w:lang w:val="la-Latn"/>
    </w:rPr>
  </w:style>
  <w:style w:type="paragraph" w:customStyle="1" w:styleId="BodyText-BarcRA53">
    <w:name w:val="Body Text - Barc RA_53"/>
    <w:link w:val="BodyText-BarcRAChar38"/>
    <w:qFormat/>
    <w:rsid w:val="005D52ED"/>
    <w:pPr>
      <w:spacing w:before="180" w:after="180"/>
      <w:jc w:val="both"/>
    </w:pPr>
    <w:rPr>
      <w:rFonts w:ascii="Expert Sans Regular" w:hAnsi="Expert Sans Regular"/>
      <w:sz w:val="18"/>
      <w:lang w:eastAsia="en-US"/>
    </w:rPr>
  </w:style>
  <w:style w:type="character" w:customStyle="1" w:styleId="BodyText-BarcRAChar38">
    <w:name w:val="Body Text - Barc RA Char_38"/>
    <w:basedOn w:val="DefaultParagraphFont"/>
    <w:link w:val="BodyText-BarcRA53"/>
    <w:rsid w:val="005D52ED"/>
    <w:rPr>
      <w:rFonts w:ascii="Expert Sans Regular" w:hAnsi="Expert Sans Regular"/>
      <w:sz w:val="18"/>
      <w:lang w:val="en-GB" w:eastAsia="en-US" w:bidi="ar-SA"/>
    </w:rPr>
  </w:style>
  <w:style w:type="character" w:customStyle="1" w:styleId="HeadingLevel1-BarcRAChar25">
    <w:name w:val="Heading Level 1 - Barc RA Char_25"/>
    <w:basedOn w:val="DefaultParagraphFont"/>
    <w:link w:val="HeadingLevel1-BarcRA38"/>
    <w:rsid w:val="009705AC"/>
    <w:rPr>
      <w:rFonts w:ascii="Expert Sans Regular" w:hAnsi="Expert Sans Regular"/>
      <w:b/>
      <w:bCs/>
      <w:color w:val="000000"/>
      <w:sz w:val="24"/>
      <w:lang w:val="la-Latn"/>
    </w:rPr>
  </w:style>
  <w:style w:type="paragraph" w:customStyle="1" w:styleId="Level1Bullet-BarcRA25">
    <w:name w:val="Level 1 Bullet - Barc RA_25"/>
    <w:basedOn w:val="BodyText-BarcRA53"/>
    <w:link w:val="Level1Bullet-BarcRAChar19"/>
    <w:qFormat/>
    <w:rsid w:val="00A85CEE"/>
    <w:pPr>
      <w:numPr>
        <w:numId w:val="94"/>
      </w:numPr>
    </w:pPr>
    <w:rPr>
      <w:lang w:val="la-Latn"/>
    </w:rPr>
  </w:style>
  <w:style w:type="character" w:customStyle="1" w:styleId="Level1Bullet-BarcRAChar19">
    <w:name w:val="Level 1 Bullet - Barc RA Char_19"/>
    <w:basedOn w:val="BodyText-BarcRAChar38"/>
    <w:link w:val="Level1Bullet-BarcRA25"/>
    <w:rsid w:val="00A85CEE"/>
    <w:rPr>
      <w:rFonts w:ascii="Expert Sans Regular" w:hAnsi="Expert Sans Regular"/>
      <w:sz w:val="18"/>
      <w:lang w:val="la-Latn" w:eastAsia="en-US" w:bidi="ar-SA"/>
    </w:rPr>
  </w:style>
  <w:style w:type="paragraph" w:customStyle="1" w:styleId="BodyText-BarcRA350">
    <w:name w:val="Body Text - Barc RA_35_0"/>
    <w:link w:val="BodyText-BarcRAChar230"/>
    <w:qFormat/>
    <w:rsid w:val="00FE7175"/>
    <w:pPr>
      <w:spacing w:before="180" w:after="180"/>
      <w:jc w:val="both"/>
    </w:pPr>
    <w:rPr>
      <w:rFonts w:ascii="Expert Sans Regular" w:hAnsi="Expert Sans Regular"/>
      <w:sz w:val="18"/>
      <w:lang w:eastAsia="en-US"/>
    </w:rPr>
  </w:style>
  <w:style w:type="character" w:customStyle="1" w:styleId="BodyText-BarcRAChar230">
    <w:name w:val="Body Text - Barc RA Char_23_0"/>
    <w:basedOn w:val="DefaultParagraphFont"/>
    <w:link w:val="BodyText-BarcRA350"/>
    <w:rsid w:val="00FE7175"/>
    <w:rPr>
      <w:rFonts w:ascii="Expert Sans Regular" w:hAnsi="Expert Sans Regular"/>
      <w:sz w:val="18"/>
      <w:lang w:val="en-GB" w:eastAsia="en-US" w:bidi="ar-SA"/>
    </w:rPr>
  </w:style>
  <w:style w:type="paragraph" w:customStyle="1" w:styleId="NoteSourceText-BarcRA4">
    <w:name w:val="Note &amp; Source Text - Barc RA_4"/>
    <w:basedOn w:val="Normal56"/>
    <w:link w:val="NoteSourceText-BarcRAChar4"/>
    <w:rsid w:val="00E75B5D"/>
    <w:pPr>
      <w:tabs>
        <w:tab w:val="left" w:pos="284"/>
      </w:tabs>
      <w:spacing w:before="20" w:after="20"/>
      <w:ind w:left="284" w:hanging="284"/>
      <w:jc w:val="both"/>
    </w:pPr>
    <w:rPr>
      <w:i/>
      <w:iCs/>
      <w:sz w:val="14"/>
      <w:szCs w:val="14"/>
    </w:rPr>
  </w:style>
  <w:style w:type="paragraph" w:customStyle="1" w:styleId="Normal56">
    <w:name w:val="Normal_56"/>
    <w:qFormat/>
    <w:rsid w:val="009705AC"/>
    <w:rPr>
      <w:rFonts w:ascii="Expert Sans Regular" w:hAnsi="Expert Sans Regular"/>
      <w:sz w:val="18"/>
      <w:szCs w:val="24"/>
      <w:lang w:eastAsia="en-US"/>
    </w:rPr>
  </w:style>
  <w:style w:type="character" w:customStyle="1" w:styleId="NoteSourceText-BarcRAChar4">
    <w:name w:val="Note &amp; Source Text - Barc RA Char_4"/>
    <w:basedOn w:val="DefaultParagraphFont"/>
    <w:link w:val="NoteSourceText-BarcRA4"/>
    <w:rsid w:val="00E75B5D"/>
    <w:rPr>
      <w:rFonts w:ascii="Expert Sans Regular" w:hAnsi="Expert Sans Regular"/>
      <w:i/>
      <w:iCs/>
      <w:sz w:val="14"/>
      <w:szCs w:val="14"/>
      <w:lang w:eastAsia="en-US"/>
    </w:rPr>
  </w:style>
  <w:style w:type="paragraph" w:customStyle="1" w:styleId="HeadingLevel1-BarcRA39">
    <w:name w:val="Heading Level 1 - Barc RA_39"/>
    <w:basedOn w:val="BodyText-BarcRA54"/>
    <w:next w:val="BodyText-BarcRA54"/>
    <w:link w:val="HeadingLevel1-BarcRAChar26"/>
    <w:qFormat/>
    <w:rsid w:val="002611B5"/>
    <w:pPr>
      <w:spacing w:before="0"/>
    </w:pPr>
    <w:rPr>
      <w:b/>
      <w:bCs/>
      <w:color w:val="000000"/>
      <w:sz w:val="24"/>
      <w:lang w:val="la-Latn"/>
    </w:rPr>
  </w:style>
  <w:style w:type="paragraph" w:customStyle="1" w:styleId="BodyText-BarcRA54">
    <w:name w:val="Body Text - Barc RA_54"/>
    <w:link w:val="BodyText-BarcRAChar39"/>
    <w:qFormat/>
    <w:rsid w:val="005D52ED"/>
    <w:pPr>
      <w:spacing w:before="180" w:after="180"/>
      <w:jc w:val="both"/>
    </w:pPr>
    <w:rPr>
      <w:rFonts w:ascii="Expert Sans Regular" w:hAnsi="Expert Sans Regular"/>
      <w:sz w:val="18"/>
      <w:lang w:eastAsia="en-US"/>
    </w:rPr>
  </w:style>
  <w:style w:type="character" w:customStyle="1" w:styleId="BodyText-BarcRAChar39">
    <w:name w:val="Body Text - Barc RA Char_39"/>
    <w:basedOn w:val="DefaultParagraphFont"/>
    <w:link w:val="BodyText-BarcRA54"/>
    <w:rsid w:val="005D52ED"/>
    <w:rPr>
      <w:rFonts w:ascii="Expert Sans Regular" w:hAnsi="Expert Sans Regular"/>
      <w:sz w:val="18"/>
      <w:lang w:val="en-GB" w:eastAsia="en-US" w:bidi="ar-SA"/>
    </w:rPr>
  </w:style>
  <w:style w:type="character" w:customStyle="1" w:styleId="HeadingLevel1-BarcRAChar26">
    <w:name w:val="Heading Level 1 - Barc RA Char_26"/>
    <w:basedOn w:val="DefaultParagraphFont"/>
    <w:link w:val="HeadingLevel1-BarcRA39"/>
    <w:uiPriority w:val="99"/>
    <w:rsid w:val="009705AC"/>
    <w:rPr>
      <w:rFonts w:ascii="Expert Sans Regular" w:hAnsi="Expert Sans Regular"/>
      <w:b/>
      <w:bCs/>
      <w:color w:val="000000"/>
      <w:sz w:val="24"/>
      <w:lang w:val="la-Latn"/>
    </w:rPr>
  </w:style>
  <w:style w:type="paragraph" w:customStyle="1" w:styleId="Level1Bullet-BarcRA26">
    <w:name w:val="Level 1 Bullet - Barc RA_26"/>
    <w:basedOn w:val="BodyText-BarcRA54"/>
    <w:link w:val="Level1Bullet-BarcRAChar20"/>
    <w:qFormat/>
    <w:rsid w:val="00A85CEE"/>
    <w:pPr>
      <w:numPr>
        <w:numId w:val="95"/>
      </w:numPr>
    </w:pPr>
    <w:rPr>
      <w:lang w:val="la-Latn"/>
    </w:rPr>
  </w:style>
  <w:style w:type="character" w:customStyle="1" w:styleId="Level1Bullet-BarcRAChar20">
    <w:name w:val="Level 1 Bullet - Barc RA Char_20"/>
    <w:basedOn w:val="BodyText-BarcRAChar39"/>
    <w:link w:val="Level1Bullet-BarcRA26"/>
    <w:rsid w:val="00A85CEE"/>
    <w:rPr>
      <w:rFonts w:ascii="Expert Sans Regular" w:hAnsi="Expert Sans Regular"/>
      <w:sz w:val="18"/>
      <w:lang w:val="la-Latn" w:eastAsia="en-US" w:bidi="ar-SA"/>
    </w:rPr>
  </w:style>
  <w:style w:type="paragraph" w:customStyle="1" w:styleId="Level2Bullet-BarcRA9">
    <w:name w:val="Level 2 Bullet - Barc RA_9"/>
    <w:basedOn w:val="Level1Bullet-BarcRA26"/>
    <w:qFormat/>
    <w:rsid w:val="00A85CEE"/>
    <w:pPr>
      <w:numPr>
        <w:ilvl w:val="2"/>
        <w:numId w:val="96"/>
      </w:numPr>
    </w:pPr>
  </w:style>
  <w:style w:type="paragraph" w:customStyle="1" w:styleId="Level1Bullet-BarcRA27">
    <w:name w:val="Level 1 Bullet - Barc RA_27"/>
    <w:basedOn w:val="BodyText-BarcRA55"/>
    <w:link w:val="Level1Bullet-BarcRAChar21"/>
    <w:qFormat/>
    <w:locked/>
    <w:rsid w:val="00124CFD"/>
    <w:pPr>
      <w:numPr>
        <w:numId w:val="97"/>
      </w:numPr>
    </w:pPr>
    <w:rPr>
      <w:lang w:val="la-Latn"/>
    </w:rPr>
  </w:style>
  <w:style w:type="paragraph" w:customStyle="1" w:styleId="BodyText-BarcRA55">
    <w:name w:val="Body Text - Barc RA_55"/>
    <w:qFormat/>
    <w:locked/>
    <w:rsid w:val="007573BB"/>
    <w:pPr>
      <w:spacing w:before="180" w:after="180"/>
      <w:jc w:val="both"/>
    </w:pPr>
    <w:rPr>
      <w:rFonts w:ascii="Expert Sans Regular" w:hAnsi="Expert Sans Regular"/>
      <w:sz w:val="18"/>
      <w:lang w:eastAsia="en-US"/>
    </w:rPr>
  </w:style>
  <w:style w:type="character" w:customStyle="1" w:styleId="Level1Bullet-BarcRAChar21">
    <w:name w:val="Level 1 Bullet - Barc RA Char_21"/>
    <w:basedOn w:val="DefaultParagraphFont"/>
    <w:link w:val="Level1Bullet-BarcRA27"/>
    <w:rsid w:val="000718BB"/>
    <w:rPr>
      <w:rFonts w:ascii="Expert Sans Regular" w:hAnsi="Expert Sans Regular"/>
      <w:sz w:val="18"/>
      <w:lang w:val="la-Latn" w:eastAsia="en-US"/>
    </w:rPr>
  </w:style>
  <w:style w:type="paragraph" w:customStyle="1" w:styleId="Level2Bullet-BarcRA10">
    <w:name w:val="Level 2 Bullet - Barc RA_10"/>
    <w:basedOn w:val="Level1Bullet-BarcRA27"/>
    <w:qFormat/>
    <w:rsid w:val="000718BB"/>
    <w:pPr>
      <w:numPr>
        <w:ilvl w:val="2"/>
        <w:numId w:val="98"/>
      </w:numPr>
      <w:tabs>
        <w:tab w:val="clear" w:pos="1401"/>
        <w:tab w:val="num" w:pos="360"/>
      </w:tabs>
    </w:pPr>
  </w:style>
  <w:style w:type="paragraph" w:customStyle="1" w:styleId="HeadingLevel2-BarcRA15">
    <w:name w:val="Heading Level 2 - Barc RA_15"/>
    <w:basedOn w:val="Normal57"/>
    <w:next w:val="BodyText-BarcRA56"/>
    <w:qFormat/>
    <w:locked/>
    <w:rsid w:val="00124CFD"/>
    <w:pPr>
      <w:spacing w:before="240" w:after="0" w:line="240" w:lineRule="auto"/>
      <w:jc w:val="both"/>
    </w:pPr>
    <w:rPr>
      <w:rFonts w:ascii="Expert Sans Regular" w:hAnsi="Expert Sans Regular"/>
      <w:b/>
      <w:bCs/>
      <w:color w:val="000000"/>
      <w:sz w:val="20"/>
      <w:szCs w:val="20"/>
      <w:lang w:val="la-Latn"/>
    </w:rPr>
  </w:style>
  <w:style w:type="paragraph" w:customStyle="1" w:styleId="Normal57">
    <w:name w:val="Normal_57"/>
    <w:qFormat/>
    <w:rsid w:val="00DE0D86"/>
    <w:pPr>
      <w:spacing w:after="200" w:line="276" w:lineRule="auto"/>
    </w:pPr>
    <w:rPr>
      <w:sz w:val="22"/>
      <w:szCs w:val="22"/>
      <w:lang w:eastAsia="en-US"/>
    </w:rPr>
  </w:style>
  <w:style w:type="paragraph" w:customStyle="1" w:styleId="BodyText-BarcRA56">
    <w:name w:val="Body Text - Barc RA_56"/>
    <w:qFormat/>
    <w:locked/>
    <w:rsid w:val="007573BB"/>
    <w:pPr>
      <w:spacing w:before="180" w:after="180"/>
      <w:jc w:val="both"/>
    </w:pPr>
    <w:rPr>
      <w:rFonts w:ascii="Expert Sans Regular" w:hAnsi="Expert Sans Regular"/>
      <w:sz w:val="18"/>
      <w:lang w:eastAsia="en-US"/>
    </w:rPr>
  </w:style>
  <w:style w:type="paragraph" w:customStyle="1" w:styleId="Level1Bullet-BarcRA29">
    <w:name w:val="Level 1 Bullet - Barc RA_29"/>
    <w:basedOn w:val="Normal57"/>
    <w:link w:val="Level1Bullet-BarcRAChar25"/>
    <w:qFormat/>
    <w:rsid w:val="00534042"/>
    <w:pPr>
      <w:numPr>
        <w:numId w:val="99"/>
      </w:numPr>
      <w:spacing w:before="180" w:after="180" w:line="240" w:lineRule="auto"/>
      <w:jc w:val="both"/>
    </w:pPr>
    <w:rPr>
      <w:rFonts w:ascii="Expert Sans Regular" w:hAnsi="Expert Sans Regular"/>
      <w:sz w:val="18"/>
      <w:szCs w:val="20"/>
      <w:lang w:val="la-Latn"/>
    </w:rPr>
  </w:style>
  <w:style w:type="character" w:customStyle="1" w:styleId="Level1Bullet-BarcRAChar25">
    <w:name w:val="Level 1 Bullet - Barc RA Char_25"/>
    <w:basedOn w:val="DefaultParagraphFont"/>
    <w:link w:val="Level1Bullet-BarcRA29"/>
    <w:locked/>
    <w:rsid w:val="00534042"/>
    <w:rPr>
      <w:rFonts w:ascii="Expert Sans Regular" w:hAnsi="Expert Sans Regular"/>
      <w:sz w:val="18"/>
      <w:lang w:val="la-Latn" w:eastAsia="en-US"/>
    </w:rPr>
  </w:style>
  <w:style w:type="paragraph" w:customStyle="1" w:styleId="NoteandSourceText-BarcRA10">
    <w:name w:val="Note and Source Text - Barc RA_10"/>
    <w:basedOn w:val="Normal57"/>
    <w:qFormat/>
    <w:rsid w:val="00CA5A86"/>
    <w:pPr>
      <w:numPr>
        <w:numId w:val="100"/>
      </w:numPr>
      <w:tabs>
        <w:tab w:val="left" w:pos="284"/>
      </w:tabs>
      <w:spacing w:before="20" w:after="20" w:line="240" w:lineRule="auto"/>
      <w:jc w:val="both"/>
    </w:pPr>
    <w:rPr>
      <w:rFonts w:ascii="Expert Sans Regular" w:hAnsi="Expert Sans Regular"/>
      <w:i/>
      <w:iCs/>
      <w:sz w:val="14"/>
      <w:szCs w:val="14"/>
    </w:rPr>
  </w:style>
  <w:style w:type="paragraph" w:customStyle="1" w:styleId="Level1Bullet-BarcRA05">
    <w:name w:val="Level 1 Bullet - Barc RA_0_5"/>
    <w:basedOn w:val="BodyText-BarcRA00"/>
    <w:link w:val="Level1Bullet-BarcRAChar01"/>
    <w:rsid w:val="006E6EE3"/>
    <w:pPr>
      <w:numPr>
        <w:numId w:val="102"/>
      </w:numPr>
    </w:pPr>
    <w:rPr>
      <w:lang w:val="la-Latn"/>
    </w:rPr>
  </w:style>
  <w:style w:type="paragraph" w:customStyle="1" w:styleId="BodyText-BarcRA00">
    <w:name w:val="Body Text - Barc RA_0_0"/>
    <w:link w:val="BodyText-BarcRAChar00"/>
    <w:qFormat/>
    <w:rsid w:val="009C25DF"/>
    <w:pPr>
      <w:spacing w:before="180" w:after="180"/>
      <w:jc w:val="both"/>
    </w:pPr>
    <w:rPr>
      <w:rFonts w:ascii="Expert Sans Regular" w:hAnsi="Expert Sans Regular"/>
      <w:sz w:val="18"/>
      <w:lang w:eastAsia="en-US"/>
    </w:rPr>
  </w:style>
  <w:style w:type="character" w:customStyle="1" w:styleId="BodyText-BarcRAChar00">
    <w:name w:val="Body Text - Barc RA Char_0_0"/>
    <w:basedOn w:val="DefaultParagraphFont"/>
    <w:link w:val="BodyText-BarcRA00"/>
    <w:locked/>
    <w:rsid w:val="009C25DF"/>
    <w:rPr>
      <w:rFonts w:ascii="Expert Sans Regular" w:hAnsi="Expert Sans Regular"/>
      <w:sz w:val="18"/>
      <w:lang w:val="en-GB" w:eastAsia="en-US" w:bidi="ar-SA"/>
    </w:rPr>
  </w:style>
  <w:style w:type="character" w:customStyle="1" w:styleId="Level1Bullet-BarcRAChar01">
    <w:name w:val="Level 1 Bullet - Barc RA Char_0_1"/>
    <w:basedOn w:val="BodyText-BarcRAChar00"/>
    <w:link w:val="Level1Bullet-BarcRA05"/>
    <w:locked/>
    <w:rsid w:val="006E6EE3"/>
    <w:rPr>
      <w:rFonts w:ascii="Expert Sans Regular" w:hAnsi="Expert Sans Regular"/>
      <w:sz w:val="18"/>
      <w:lang w:val="la-Latn" w:eastAsia="en-US" w:bidi="ar-SA"/>
    </w:rPr>
  </w:style>
  <w:style w:type="paragraph" w:customStyle="1" w:styleId="Level2Bullet-BarcRA11">
    <w:name w:val="Level 2 Bullet - Barc RA_11"/>
    <w:basedOn w:val="Level1Bullet-BarcRA28"/>
    <w:qFormat/>
    <w:rsid w:val="00A85CEE"/>
    <w:pPr>
      <w:numPr>
        <w:ilvl w:val="2"/>
        <w:numId w:val="103"/>
      </w:numPr>
    </w:pPr>
  </w:style>
  <w:style w:type="paragraph" w:customStyle="1" w:styleId="Level1Bullet-BarcRA28">
    <w:name w:val="Level 1 Bullet - Barc RA_28"/>
    <w:basedOn w:val="BodyText-BarcRA57"/>
    <w:link w:val="Level1Bullet-BarcRAChar22"/>
    <w:qFormat/>
    <w:rsid w:val="00A85CEE"/>
    <w:pPr>
      <w:numPr>
        <w:numId w:val="104"/>
      </w:numPr>
    </w:pPr>
    <w:rPr>
      <w:lang w:val="la-Latn"/>
    </w:rPr>
  </w:style>
  <w:style w:type="paragraph" w:customStyle="1" w:styleId="BodyText-BarcRA57">
    <w:name w:val="Body Text - Barc RA_57"/>
    <w:link w:val="BodyText-BarcRAChar40"/>
    <w:qFormat/>
    <w:rsid w:val="005D52ED"/>
    <w:pPr>
      <w:spacing w:before="180" w:after="180"/>
      <w:jc w:val="both"/>
    </w:pPr>
    <w:rPr>
      <w:rFonts w:ascii="Expert Sans Regular" w:hAnsi="Expert Sans Regular"/>
      <w:sz w:val="18"/>
      <w:lang w:eastAsia="en-US"/>
    </w:rPr>
  </w:style>
  <w:style w:type="character" w:customStyle="1" w:styleId="BodyText-BarcRAChar40">
    <w:name w:val="Body Text - Barc RA Char_40"/>
    <w:basedOn w:val="DefaultParagraphFont"/>
    <w:link w:val="BodyText-BarcRA57"/>
    <w:rsid w:val="005D52ED"/>
    <w:rPr>
      <w:rFonts w:ascii="Expert Sans Regular" w:hAnsi="Expert Sans Regular"/>
      <w:sz w:val="18"/>
      <w:lang w:val="en-GB" w:eastAsia="en-US" w:bidi="ar-SA"/>
    </w:rPr>
  </w:style>
  <w:style w:type="character" w:customStyle="1" w:styleId="Level1Bullet-BarcRAChar22">
    <w:name w:val="Level 1 Bullet - Barc RA Char_22"/>
    <w:basedOn w:val="BodyText-BarcRAChar40"/>
    <w:link w:val="Level1Bullet-BarcRA28"/>
    <w:rsid w:val="00A85CEE"/>
    <w:rPr>
      <w:rFonts w:ascii="Expert Sans Regular" w:hAnsi="Expert Sans Regular"/>
      <w:sz w:val="18"/>
      <w:lang w:val="la-Latn" w:eastAsia="en-US" w:bidi="ar-SA"/>
    </w:rPr>
  </w:style>
  <w:style w:type="paragraph" w:customStyle="1" w:styleId="NoteandSourceText-BarcRA11">
    <w:name w:val="Note and Source Text - Barc RA_11"/>
    <w:basedOn w:val="Normal58"/>
    <w:qFormat/>
    <w:rsid w:val="00F272E3"/>
    <w:pPr>
      <w:numPr>
        <w:numId w:val="105"/>
      </w:numPr>
      <w:spacing w:before="20" w:after="20"/>
      <w:jc w:val="both"/>
    </w:pPr>
    <w:rPr>
      <w:i/>
      <w:iCs/>
      <w:sz w:val="14"/>
      <w:szCs w:val="14"/>
    </w:rPr>
  </w:style>
  <w:style w:type="paragraph" w:customStyle="1" w:styleId="Normal58">
    <w:name w:val="Normal_58"/>
    <w:qFormat/>
    <w:rsid w:val="009705AC"/>
    <w:rPr>
      <w:rFonts w:ascii="Expert Sans Regular" w:hAnsi="Expert Sans Regular"/>
      <w:sz w:val="18"/>
      <w:szCs w:val="24"/>
      <w:lang w:eastAsia="en-US"/>
    </w:rPr>
  </w:style>
  <w:style w:type="paragraph" w:customStyle="1" w:styleId="Level1Bullet-BarcRA301">
    <w:name w:val="Level 1 Bullet - Barc RA_30"/>
    <w:basedOn w:val="BodyText-BarcRA58"/>
    <w:link w:val="Level1Bullet-BarcRAChar23"/>
    <w:qFormat/>
    <w:rsid w:val="00A85CEE"/>
    <w:pPr>
      <w:numPr>
        <w:numId w:val="106"/>
      </w:numPr>
    </w:pPr>
    <w:rPr>
      <w:lang w:val="la-Latn"/>
    </w:rPr>
  </w:style>
  <w:style w:type="paragraph" w:customStyle="1" w:styleId="BodyText-BarcRA58">
    <w:name w:val="Body Text - Barc RA_58"/>
    <w:link w:val="BodyText-BarcRAChar41"/>
    <w:qFormat/>
    <w:rsid w:val="005D52ED"/>
    <w:pPr>
      <w:spacing w:before="180" w:after="180"/>
      <w:jc w:val="both"/>
    </w:pPr>
    <w:rPr>
      <w:rFonts w:ascii="Expert Sans Regular" w:hAnsi="Expert Sans Regular"/>
      <w:sz w:val="18"/>
      <w:lang w:eastAsia="en-US"/>
    </w:rPr>
  </w:style>
  <w:style w:type="character" w:customStyle="1" w:styleId="BodyText-BarcRAChar41">
    <w:name w:val="Body Text - Barc RA Char_41"/>
    <w:basedOn w:val="DefaultParagraphFont"/>
    <w:link w:val="BodyText-BarcRA58"/>
    <w:rsid w:val="005D52ED"/>
    <w:rPr>
      <w:rFonts w:ascii="Expert Sans Regular" w:hAnsi="Expert Sans Regular"/>
      <w:sz w:val="18"/>
      <w:lang w:val="en-GB" w:eastAsia="en-US" w:bidi="ar-SA"/>
    </w:rPr>
  </w:style>
  <w:style w:type="character" w:customStyle="1" w:styleId="Level1Bullet-BarcRAChar23">
    <w:name w:val="Level 1 Bullet - Barc RA Char_23"/>
    <w:basedOn w:val="BodyText-BarcRAChar41"/>
    <w:link w:val="Level1Bullet-BarcRA301"/>
    <w:rsid w:val="00A85CEE"/>
    <w:rPr>
      <w:rFonts w:ascii="Expert Sans Regular" w:hAnsi="Expert Sans Regular"/>
      <w:sz w:val="18"/>
      <w:lang w:val="la-Latn" w:eastAsia="en-US" w:bidi="ar-SA"/>
    </w:rPr>
  </w:style>
  <w:style w:type="paragraph" w:customStyle="1" w:styleId="Level2Bullet-BarcRA12">
    <w:name w:val="Level 2 Bullet - Barc RA_12"/>
    <w:basedOn w:val="Level1Bullet-BarcRA301"/>
    <w:qFormat/>
    <w:rsid w:val="00A85CEE"/>
    <w:pPr>
      <w:numPr>
        <w:ilvl w:val="2"/>
        <w:numId w:val="107"/>
      </w:numPr>
    </w:pPr>
  </w:style>
  <w:style w:type="paragraph" w:customStyle="1" w:styleId="NoteandSourceText-BarcRA12">
    <w:name w:val="Note and Source Text - Barc RA_12"/>
    <w:basedOn w:val="Normal59"/>
    <w:qFormat/>
    <w:rsid w:val="00DB690B"/>
    <w:pPr>
      <w:numPr>
        <w:numId w:val="108"/>
      </w:numPr>
      <w:tabs>
        <w:tab w:val="left" w:pos="284"/>
      </w:tabs>
      <w:spacing w:before="20" w:after="20"/>
      <w:jc w:val="both"/>
    </w:pPr>
    <w:rPr>
      <w:i/>
      <w:iCs/>
      <w:sz w:val="14"/>
      <w:szCs w:val="14"/>
    </w:rPr>
  </w:style>
  <w:style w:type="paragraph" w:customStyle="1" w:styleId="Normal59">
    <w:name w:val="Normal_59"/>
    <w:qFormat/>
    <w:rsid w:val="009705AC"/>
    <w:rPr>
      <w:rFonts w:ascii="Expert Sans Regular" w:hAnsi="Expert Sans Regular"/>
      <w:sz w:val="18"/>
      <w:szCs w:val="24"/>
      <w:lang w:eastAsia="en-US"/>
    </w:rPr>
  </w:style>
  <w:style w:type="paragraph" w:customStyle="1" w:styleId="Level1Bullet-BarcRA310">
    <w:name w:val="Level 1 Bullet - Barc RA_31"/>
    <w:basedOn w:val="BodyText-BarcRA59"/>
    <w:link w:val="Level1Bullet-BarcRAChar24"/>
    <w:qFormat/>
    <w:rsid w:val="00A85CEE"/>
    <w:pPr>
      <w:numPr>
        <w:numId w:val="109"/>
      </w:numPr>
    </w:pPr>
    <w:rPr>
      <w:lang w:val="la-Latn"/>
    </w:rPr>
  </w:style>
  <w:style w:type="paragraph" w:customStyle="1" w:styleId="BodyText-BarcRA59">
    <w:name w:val="Body Text - Barc RA_59"/>
    <w:link w:val="BodyText-BarcRAChar42"/>
    <w:qFormat/>
    <w:rsid w:val="005D52ED"/>
    <w:pPr>
      <w:spacing w:before="180" w:after="180"/>
      <w:jc w:val="both"/>
    </w:pPr>
    <w:rPr>
      <w:rFonts w:ascii="Expert Sans Regular" w:hAnsi="Expert Sans Regular"/>
      <w:sz w:val="18"/>
      <w:lang w:eastAsia="en-US"/>
    </w:rPr>
  </w:style>
  <w:style w:type="character" w:customStyle="1" w:styleId="BodyText-BarcRAChar42">
    <w:name w:val="Body Text - Barc RA Char_42"/>
    <w:basedOn w:val="DefaultParagraphFont"/>
    <w:link w:val="BodyText-BarcRA59"/>
    <w:rsid w:val="005D52ED"/>
    <w:rPr>
      <w:rFonts w:ascii="Expert Sans Regular" w:hAnsi="Expert Sans Regular"/>
      <w:sz w:val="18"/>
      <w:lang w:val="en-GB" w:eastAsia="en-US" w:bidi="ar-SA"/>
    </w:rPr>
  </w:style>
  <w:style w:type="character" w:customStyle="1" w:styleId="Level1Bullet-BarcRAChar24">
    <w:name w:val="Level 1 Bullet - Barc RA Char_24"/>
    <w:basedOn w:val="BodyText-BarcRAChar42"/>
    <w:link w:val="Level1Bullet-BarcRA310"/>
    <w:rsid w:val="00A85CEE"/>
    <w:rPr>
      <w:rFonts w:ascii="Expert Sans Regular" w:hAnsi="Expert Sans Regular"/>
      <w:sz w:val="18"/>
      <w:lang w:val="la-Latn" w:eastAsia="en-US" w:bidi="ar-SA"/>
    </w:rPr>
  </w:style>
  <w:style w:type="paragraph" w:customStyle="1" w:styleId="Level2Bullet-BarcRA13">
    <w:name w:val="Level 2 Bullet - Barc RA_13"/>
    <w:basedOn w:val="Level1Bullet-BarcRA310"/>
    <w:qFormat/>
    <w:rsid w:val="00A85CEE"/>
    <w:pPr>
      <w:numPr>
        <w:ilvl w:val="2"/>
        <w:numId w:val="110"/>
      </w:numPr>
    </w:pPr>
  </w:style>
  <w:style w:type="paragraph" w:customStyle="1" w:styleId="NoteandSourceText-BarcRA13">
    <w:name w:val="Note and Source Text - Barc RA_13"/>
    <w:basedOn w:val="Normal600"/>
    <w:qFormat/>
    <w:rsid w:val="002D309A"/>
    <w:pPr>
      <w:numPr>
        <w:numId w:val="111"/>
      </w:numPr>
      <w:tabs>
        <w:tab w:val="left" w:pos="284"/>
      </w:tabs>
      <w:spacing w:before="20" w:after="20"/>
      <w:jc w:val="both"/>
    </w:pPr>
    <w:rPr>
      <w:i/>
      <w:iCs/>
      <w:sz w:val="14"/>
      <w:szCs w:val="14"/>
    </w:rPr>
  </w:style>
  <w:style w:type="paragraph" w:customStyle="1" w:styleId="Normal600">
    <w:name w:val="Normal_60"/>
    <w:qFormat/>
    <w:rsid w:val="009705AC"/>
    <w:rPr>
      <w:rFonts w:ascii="Expert Sans Regular" w:hAnsi="Expert Sans Regular"/>
      <w:sz w:val="18"/>
      <w:szCs w:val="24"/>
      <w:lang w:eastAsia="en-US"/>
    </w:rPr>
  </w:style>
  <w:style w:type="paragraph" w:customStyle="1" w:styleId="Level1Bullet-BarcRA32">
    <w:name w:val="Level 1 Bullet - Barc RA_32"/>
    <w:basedOn w:val="BodyText-BarcRA60"/>
    <w:link w:val="Level1Bullet-BarcRAChar26"/>
    <w:qFormat/>
    <w:rsid w:val="00A85CEE"/>
    <w:pPr>
      <w:numPr>
        <w:numId w:val="112"/>
      </w:numPr>
    </w:pPr>
    <w:rPr>
      <w:lang w:val="la-Latn"/>
    </w:rPr>
  </w:style>
  <w:style w:type="paragraph" w:customStyle="1" w:styleId="BodyText-BarcRA60">
    <w:name w:val="Body Text - Barc RA_60"/>
    <w:link w:val="BodyText-BarcRAChar43"/>
    <w:qFormat/>
    <w:rsid w:val="005D52ED"/>
    <w:pPr>
      <w:spacing w:before="180" w:after="180"/>
      <w:jc w:val="both"/>
    </w:pPr>
    <w:rPr>
      <w:rFonts w:ascii="Expert Sans Regular" w:hAnsi="Expert Sans Regular"/>
      <w:sz w:val="18"/>
      <w:lang w:eastAsia="en-US"/>
    </w:rPr>
  </w:style>
  <w:style w:type="character" w:customStyle="1" w:styleId="BodyText-BarcRAChar43">
    <w:name w:val="Body Text - Barc RA Char_43"/>
    <w:basedOn w:val="DefaultParagraphFont"/>
    <w:link w:val="BodyText-BarcRA60"/>
    <w:rsid w:val="005D52ED"/>
    <w:rPr>
      <w:rFonts w:ascii="Expert Sans Regular" w:hAnsi="Expert Sans Regular"/>
      <w:sz w:val="18"/>
      <w:lang w:val="en-GB" w:eastAsia="en-US" w:bidi="ar-SA"/>
    </w:rPr>
  </w:style>
  <w:style w:type="character" w:customStyle="1" w:styleId="Level1Bullet-BarcRAChar26">
    <w:name w:val="Level 1 Bullet - Barc RA Char_26"/>
    <w:basedOn w:val="BodyText-BarcRAChar43"/>
    <w:link w:val="Level1Bullet-BarcRA32"/>
    <w:rsid w:val="00A85CEE"/>
    <w:rPr>
      <w:rFonts w:ascii="Expert Sans Regular" w:hAnsi="Expert Sans Regular"/>
      <w:sz w:val="18"/>
      <w:lang w:val="la-Latn" w:eastAsia="en-US" w:bidi="ar-SA"/>
    </w:rPr>
  </w:style>
  <w:style w:type="paragraph" w:customStyle="1" w:styleId="Level2Bullet-BarcRA14">
    <w:name w:val="Level 2 Bullet - Barc RA_14"/>
    <w:basedOn w:val="Level1Bullet-BarcRA32"/>
    <w:qFormat/>
    <w:rsid w:val="00A85CEE"/>
    <w:pPr>
      <w:numPr>
        <w:ilvl w:val="2"/>
        <w:numId w:val="113"/>
      </w:numPr>
    </w:pPr>
  </w:style>
  <w:style w:type="paragraph" w:customStyle="1" w:styleId="NoteandSourceText-BarcRA14">
    <w:name w:val="Note and Source Text - Barc RA_14"/>
    <w:basedOn w:val="Normal61"/>
    <w:qFormat/>
    <w:rsid w:val="00EE7281"/>
    <w:pPr>
      <w:numPr>
        <w:numId w:val="114"/>
      </w:numPr>
      <w:tabs>
        <w:tab w:val="left" w:pos="284"/>
      </w:tabs>
      <w:spacing w:before="20" w:after="20"/>
      <w:jc w:val="both"/>
    </w:pPr>
    <w:rPr>
      <w:i/>
      <w:iCs/>
      <w:sz w:val="14"/>
      <w:szCs w:val="14"/>
    </w:rPr>
  </w:style>
  <w:style w:type="paragraph" w:customStyle="1" w:styleId="Normal61">
    <w:name w:val="Normal_61"/>
    <w:qFormat/>
    <w:rsid w:val="009705AC"/>
    <w:rPr>
      <w:rFonts w:ascii="Expert Sans Regular" w:hAnsi="Expert Sans Regular"/>
      <w:sz w:val="18"/>
      <w:szCs w:val="24"/>
      <w:lang w:eastAsia="en-US"/>
    </w:rPr>
  </w:style>
  <w:style w:type="paragraph" w:customStyle="1" w:styleId="BodyText-BarcRA66">
    <w:name w:val="Body Text - Barc RA_66"/>
    <w:qFormat/>
    <w:locked/>
    <w:rsid w:val="006504D3"/>
    <w:pPr>
      <w:spacing w:before="180" w:after="180"/>
      <w:jc w:val="both"/>
    </w:pPr>
    <w:rPr>
      <w:rFonts w:ascii="Expert Sans Regular" w:hAnsi="Expert Sans Regular"/>
      <w:sz w:val="18"/>
      <w:lang w:eastAsia="en-US"/>
    </w:rPr>
  </w:style>
  <w:style w:type="paragraph" w:customStyle="1" w:styleId="Level1Bullet-BarcRA290">
    <w:name w:val="Level 1 Bullet - Barc RA_29_0"/>
    <w:basedOn w:val="Normal62"/>
    <w:link w:val="Level1Bullet-BarcRAChar250"/>
    <w:qFormat/>
    <w:rsid w:val="00DC7AD7"/>
    <w:pPr>
      <w:numPr>
        <w:numId w:val="115"/>
      </w:numPr>
      <w:spacing w:before="180" w:after="180" w:line="240" w:lineRule="auto"/>
      <w:jc w:val="both"/>
    </w:pPr>
    <w:rPr>
      <w:rFonts w:ascii="Expert Sans Regular" w:hAnsi="Expert Sans Regular"/>
      <w:sz w:val="18"/>
      <w:szCs w:val="20"/>
      <w:lang w:val="la-Latn"/>
    </w:rPr>
  </w:style>
  <w:style w:type="paragraph" w:customStyle="1" w:styleId="Normal62">
    <w:name w:val="Normal_62"/>
    <w:qFormat/>
    <w:rsid w:val="00DE0D86"/>
    <w:pPr>
      <w:spacing w:after="200" w:line="276" w:lineRule="auto"/>
    </w:pPr>
    <w:rPr>
      <w:sz w:val="22"/>
      <w:szCs w:val="22"/>
      <w:lang w:eastAsia="en-US"/>
    </w:rPr>
  </w:style>
  <w:style w:type="character" w:customStyle="1" w:styleId="Level1Bullet-BarcRAChar250">
    <w:name w:val="Level 1 Bullet - Barc RA Char_25_0"/>
    <w:basedOn w:val="DefaultParagraphFont"/>
    <w:link w:val="Level1Bullet-BarcRA290"/>
    <w:locked/>
    <w:rsid w:val="00DC7AD7"/>
    <w:rPr>
      <w:rFonts w:ascii="Expert Sans Regular" w:hAnsi="Expert Sans Regular"/>
      <w:sz w:val="18"/>
      <w:lang w:val="la-Latn" w:eastAsia="en-US"/>
    </w:rPr>
  </w:style>
  <w:style w:type="paragraph" w:customStyle="1" w:styleId="NoteandSourceText-BarcRA15">
    <w:name w:val="Note and Source Text - Barc RA_15"/>
    <w:basedOn w:val="Normal62"/>
    <w:qFormat/>
    <w:rsid w:val="007675B0"/>
    <w:pPr>
      <w:numPr>
        <w:numId w:val="116"/>
      </w:numPr>
      <w:tabs>
        <w:tab w:val="left" w:pos="284"/>
      </w:tabs>
      <w:spacing w:before="20" w:after="20" w:line="240" w:lineRule="auto"/>
      <w:jc w:val="both"/>
    </w:pPr>
    <w:rPr>
      <w:rFonts w:ascii="Expert Sans Regular" w:hAnsi="Expert Sans Regular"/>
      <w:i/>
      <w:iCs/>
      <w:sz w:val="14"/>
      <w:szCs w:val="14"/>
    </w:rPr>
  </w:style>
  <w:style w:type="paragraph" w:customStyle="1" w:styleId="Level1Bullet-BarcRA33">
    <w:name w:val="Level 1 Bullet - Barc RA_33"/>
    <w:basedOn w:val="Normal63"/>
    <w:link w:val="Level1Bullet-BarcRAChar27"/>
    <w:qFormat/>
    <w:rsid w:val="007675B0"/>
    <w:pPr>
      <w:numPr>
        <w:numId w:val="117"/>
      </w:numPr>
      <w:spacing w:before="180" w:after="180" w:line="240" w:lineRule="auto"/>
      <w:jc w:val="both"/>
    </w:pPr>
    <w:rPr>
      <w:rFonts w:ascii="Expert Sans Regular" w:hAnsi="Expert Sans Regular"/>
      <w:sz w:val="20"/>
      <w:szCs w:val="20"/>
      <w:lang w:eastAsia="en-GB"/>
    </w:rPr>
  </w:style>
  <w:style w:type="paragraph" w:customStyle="1" w:styleId="Normal63">
    <w:name w:val="Normal_63"/>
    <w:qFormat/>
    <w:rsid w:val="00DE0D86"/>
    <w:pPr>
      <w:spacing w:after="200" w:line="276" w:lineRule="auto"/>
    </w:pPr>
    <w:rPr>
      <w:sz w:val="22"/>
      <w:szCs w:val="22"/>
      <w:lang w:eastAsia="en-US"/>
    </w:rPr>
  </w:style>
  <w:style w:type="character" w:customStyle="1" w:styleId="Level1Bullet-BarcRAChar27">
    <w:name w:val="Level 1 Bullet - Barc RA Char_27"/>
    <w:basedOn w:val="DefaultParagraphFont"/>
    <w:link w:val="Level1Bullet-BarcRA33"/>
    <w:locked/>
    <w:rsid w:val="007675B0"/>
    <w:rPr>
      <w:rFonts w:ascii="Expert Sans Regular" w:hAnsi="Expert Sans Regular"/>
    </w:rPr>
  </w:style>
  <w:style w:type="paragraph" w:customStyle="1" w:styleId="Level1Bullet-BarcRA291">
    <w:name w:val="Level 1 Bullet - Barc RA_29_1"/>
    <w:basedOn w:val="Normal63"/>
    <w:link w:val="Level1Bullet-BarcRAChar251"/>
    <w:qFormat/>
    <w:rsid w:val="007F1B77"/>
    <w:pPr>
      <w:numPr>
        <w:numId w:val="118"/>
      </w:numPr>
      <w:spacing w:before="180" w:after="180" w:line="240" w:lineRule="auto"/>
      <w:jc w:val="both"/>
    </w:pPr>
    <w:rPr>
      <w:rFonts w:ascii="Expert Sans Regular" w:hAnsi="Expert Sans Regular"/>
      <w:sz w:val="18"/>
      <w:szCs w:val="20"/>
      <w:lang w:val="la-Latn"/>
    </w:rPr>
  </w:style>
  <w:style w:type="character" w:customStyle="1" w:styleId="Level1Bullet-BarcRAChar251">
    <w:name w:val="Level 1 Bullet - Barc RA Char_25_1"/>
    <w:basedOn w:val="DefaultParagraphFont"/>
    <w:link w:val="Level1Bullet-BarcRA291"/>
    <w:locked/>
    <w:rsid w:val="007F1B77"/>
    <w:rPr>
      <w:rFonts w:ascii="Expert Sans Regular" w:hAnsi="Expert Sans Regular"/>
      <w:sz w:val="18"/>
      <w:lang w:val="la-Latn" w:eastAsia="en-US"/>
    </w:rPr>
  </w:style>
  <w:style w:type="paragraph" w:customStyle="1" w:styleId="HeadingLevel2-BarcRA110">
    <w:name w:val="Heading Level 2 - Barc RA_11_0"/>
    <w:basedOn w:val="Normal64"/>
    <w:next w:val="Normal64"/>
    <w:uiPriority w:val="99"/>
    <w:locked/>
    <w:rsid w:val="001A44A3"/>
    <w:pPr>
      <w:spacing w:before="240" w:after="0" w:line="240" w:lineRule="auto"/>
      <w:jc w:val="both"/>
    </w:pPr>
    <w:rPr>
      <w:rFonts w:ascii="Expert Sans Regular" w:hAnsi="Expert Sans Regular"/>
      <w:b/>
      <w:bCs/>
      <w:color w:val="000000"/>
      <w:sz w:val="20"/>
      <w:szCs w:val="20"/>
      <w:lang w:val="la-Latn"/>
    </w:rPr>
  </w:style>
  <w:style w:type="paragraph" w:customStyle="1" w:styleId="Normal64">
    <w:name w:val="Normal_64"/>
    <w:qFormat/>
    <w:rsid w:val="00DE0D86"/>
    <w:pPr>
      <w:spacing w:after="200" w:line="276" w:lineRule="auto"/>
    </w:pPr>
    <w:rPr>
      <w:sz w:val="22"/>
      <w:szCs w:val="22"/>
      <w:lang w:eastAsia="en-US"/>
    </w:rPr>
  </w:style>
  <w:style w:type="paragraph" w:customStyle="1" w:styleId="Level1Bullet-BarcRA2000">
    <w:name w:val="Level 1 Bullet - Barc RA_20_0"/>
    <w:basedOn w:val="Normal64"/>
    <w:qFormat/>
    <w:locked/>
    <w:rsid w:val="001A44A3"/>
    <w:pPr>
      <w:numPr>
        <w:numId w:val="119"/>
      </w:numPr>
      <w:spacing w:before="180" w:after="180" w:line="240" w:lineRule="auto"/>
      <w:jc w:val="both"/>
    </w:pPr>
    <w:rPr>
      <w:rFonts w:ascii="Expert Sans Regular" w:hAnsi="Expert Sans Regular"/>
      <w:sz w:val="18"/>
      <w:szCs w:val="20"/>
      <w:lang w:val="la-Latn"/>
    </w:rPr>
  </w:style>
  <w:style w:type="paragraph" w:customStyle="1" w:styleId="Level1Bullet-BarcRA20000">
    <w:name w:val="Level 1 Bullet - Barc RA_20_0_0"/>
    <w:basedOn w:val="Normal64"/>
    <w:qFormat/>
    <w:locked/>
    <w:rsid w:val="0023330F"/>
    <w:pPr>
      <w:numPr>
        <w:numId w:val="120"/>
      </w:numPr>
      <w:spacing w:before="180" w:after="180" w:line="240" w:lineRule="auto"/>
      <w:jc w:val="both"/>
    </w:pPr>
    <w:rPr>
      <w:rFonts w:ascii="Expert Sans Regular" w:hAnsi="Expert Sans Regular"/>
      <w:sz w:val="18"/>
      <w:szCs w:val="20"/>
      <w:lang w:val="la-Latn"/>
    </w:rPr>
  </w:style>
  <w:style w:type="paragraph" w:customStyle="1" w:styleId="HeadingLevel1-BarcRA40">
    <w:name w:val="Heading Level 1 - Barc RA_40"/>
    <w:basedOn w:val="BodyText-BarcRA61"/>
    <w:next w:val="BodyText-BarcRA61"/>
    <w:link w:val="HeadingLevel1-BarcRAChar27"/>
    <w:rsid w:val="002611B5"/>
    <w:pPr>
      <w:spacing w:before="0"/>
    </w:pPr>
    <w:rPr>
      <w:b/>
      <w:bCs/>
      <w:color w:val="000000"/>
      <w:sz w:val="24"/>
      <w:lang w:val="la-Latn"/>
    </w:rPr>
  </w:style>
  <w:style w:type="paragraph" w:customStyle="1" w:styleId="BodyText-BarcRA61">
    <w:name w:val="Body Text - Barc RA_61"/>
    <w:link w:val="BodyText-BarcRAChar44"/>
    <w:qFormat/>
    <w:rsid w:val="005D52ED"/>
    <w:pPr>
      <w:spacing w:before="180" w:after="180"/>
      <w:jc w:val="both"/>
    </w:pPr>
    <w:rPr>
      <w:rFonts w:ascii="Expert Sans Regular" w:hAnsi="Expert Sans Regular"/>
      <w:sz w:val="18"/>
      <w:lang w:eastAsia="en-US"/>
    </w:rPr>
  </w:style>
  <w:style w:type="character" w:customStyle="1" w:styleId="BodyText-BarcRAChar44">
    <w:name w:val="Body Text - Barc RA Char_44"/>
    <w:basedOn w:val="DefaultParagraphFont"/>
    <w:link w:val="BodyText-BarcRA61"/>
    <w:rsid w:val="005D52ED"/>
    <w:rPr>
      <w:rFonts w:ascii="Expert Sans Regular" w:hAnsi="Expert Sans Regular"/>
      <w:sz w:val="18"/>
      <w:lang w:val="en-GB" w:eastAsia="en-US" w:bidi="ar-SA"/>
    </w:rPr>
  </w:style>
  <w:style w:type="character" w:customStyle="1" w:styleId="HeadingLevel1-BarcRAChar27">
    <w:name w:val="Heading Level 1 - Barc RA Char_27"/>
    <w:basedOn w:val="DefaultParagraphFont"/>
    <w:link w:val="HeadingLevel1-BarcRA40"/>
    <w:rsid w:val="009705AC"/>
    <w:rPr>
      <w:rFonts w:ascii="Expert Sans Regular" w:hAnsi="Expert Sans Regular"/>
      <w:b/>
      <w:bCs/>
      <w:color w:val="000000"/>
      <w:sz w:val="24"/>
      <w:lang w:val="la-Latn"/>
    </w:rPr>
  </w:style>
  <w:style w:type="paragraph" w:customStyle="1" w:styleId="Level1Bullet-BarcRA34">
    <w:name w:val="Level 1 Bullet - Barc RA_34"/>
    <w:basedOn w:val="BodyText-BarcRA62"/>
    <w:link w:val="Level1Bullet-BarcRAChar28"/>
    <w:rsid w:val="00A85CEE"/>
    <w:pPr>
      <w:numPr>
        <w:numId w:val="121"/>
      </w:numPr>
    </w:pPr>
    <w:rPr>
      <w:lang w:val="la-Latn"/>
    </w:rPr>
  </w:style>
  <w:style w:type="paragraph" w:customStyle="1" w:styleId="BodyText-BarcRA62">
    <w:name w:val="Body Text - Barc RA_62"/>
    <w:link w:val="BodyText-BarcRAChar45"/>
    <w:qFormat/>
    <w:rsid w:val="005D52ED"/>
    <w:pPr>
      <w:spacing w:before="180" w:after="180"/>
      <w:jc w:val="both"/>
    </w:pPr>
    <w:rPr>
      <w:rFonts w:ascii="Expert Sans Regular" w:hAnsi="Expert Sans Regular"/>
      <w:sz w:val="18"/>
      <w:lang w:eastAsia="en-US"/>
    </w:rPr>
  </w:style>
  <w:style w:type="character" w:customStyle="1" w:styleId="BodyText-BarcRAChar45">
    <w:name w:val="Body Text - Barc RA Char_45"/>
    <w:basedOn w:val="DefaultParagraphFont"/>
    <w:link w:val="BodyText-BarcRA62"/>
    <w:rsid w:val="005D52ED"/>
    <w:rPr>
      <w:rFonts w:ascii="Expert Sans Regular" w:hAnsi="Expert Sans Regular"/>
      <w:sz w:val="18"/>
      <w:lang w:val="en-GB" w:eastAsia="en-US" w:bidi="ar-SA"/>
    </w:rPr>
  </w:style>
  <w:style w:type="character" w:customStyle="1" w:styleId="Level1Bullet-BarcRAChar28">
    <w:name w:val="Level 1 Bullet - Barc RA Char_28"/>
    <w:basedOn w:val="BodyText-BarcRAChar45"/>
    <w:link w:val="Level1Bullet-BarcRA34"/>
    <w:rsid w:val="00A85CEE"/>
    <w:rPr>
      <w:rFonts w:ascii="Expert Sans Regular" w:hAnsi="Expert Sans Regular"/>
      <w:sz w:val="18"/>
      <w:lang w:val="la-Latn" w:eastAsia="en-US" w:bidi="ar-SA"/>
    </w:rPr>
  </w:style>
  <w:style w:type="paragraph" w:customStyle="1" w:styleId="Level1Bullet-BarcRA13000">
    <w:name w:val="Level 1 Bullet - Barc RA_13_0_0_0"/>
    <w:basedOn w:val="Normal65"/>
    <w:uiPriority w:val="99"/>
    <w:rsid w:val="006A4E48"/>
    <w:pPr>
      <w:numPr>
        <w:numId w:val="122"/>
      </w:numPr>
      <w:spacing w:before="180" w:after="180"/>
      <w:jc w:val="both"/>
    </w:pPr>
    <w:rPr>
      <w:szCs w:val="20"/>
      <w:lang w:val="la-Latn"/>
    </w:rPr>
  </w:style>
  <w:style w:type="paragraph" w:customStyle="1" w:styleId="Normal65">
    <w:name w:val="Normal_65"/>
    <w:qFormat/>
    <w:rsid w:val="009705AC"/>
    <w:rPr>
      <w:rFonts w:ascii="Expert Sans Regular" w:hAnsi="Expert Sans Regular"/>
      <w:sz w:val="18"/>
      <w:szCs w:val="24"/>
      <w:lang w:eastAsia="en-US"/>
    </w:rPr>
  </w:style>
  <w:style w:type="paragraph" w:customStyle="1" w:styleId="Level2Bullet-BarcRA90">
    <w:name w:val="Level 2 Bullet - Barc RA_9_0"/>
    <w:basedOn w:val="Normal65"/>
    <w:uiPriority w:val="99"/>
    <w:qFormat/>
    <w:rsid w:val="006A4E48"/>
    <w:pPr>
      <w:numPr>
        <w:numId w:val="123"/>
      </w:numPr>
      <w:spacing w:before="180" w:after="180"/>
      <w:jc w:val="both"/>
    </w:pPr>
    <w:rPr>
      <w:szCs w:val="20"/>
      <w:lang w:val="la-Latn"/>
    </w:rPr>
  </w:style>
  <w:style w:type="paragraph" w:customStyle="1" w:styleId="NoteSourceText-BarcRA00">
    <w:name w:val="Note &amp; Source Text - Barc RA_0_0"/>
    <w:basedOn w:val="Normal65"/>
    <w:rsid w:val="00CA5AFB"/>
    <w:pPr>
      <w:tabs>
        <w:tab w:val="left" w:pos="284"/>
      </w:tabs>
      <w:spacing w:before="20" w:after="20"/>
      <w:ind w:left="284" w:hanging="284"/>
      <w:jc w:val="both"/>
    </w:pPr>
    <w:rPr>
      <w:i/>
      <w:iCs/>
      <w:sz w:val="14"/>
      <w:szCs w:val="14"/>
    </w:rPr>
  </w:style>
  <w:style w:type="paragraph" w:customStyle="1" w:styleId="NoteSourceText-BarcRA5">
    <w:name w:val="Note &amp; Source Text - Barc RA_5"/>
    <w:basedOn w:val="Normal65"/>
    <w:link w:val="NoteSourceText-BarcRAChar5"/>
    <w:rsid w:val="00E75B5D"/>
    <w:pPr>
      <w:tabs>
        <w:tab w:val="left" w:pos="284"/>
      </w:tabs>
      <w:spacing w:before="20" w:after="20"/>
      <w:ind w:left="284" w:hanging="284"/>
      <w:jc w:val="both"/>
    </w:pPr>
    <w:rPr>
      <w:i/>
      <w:iCs/>
      <w:sz w:val="14"/>
      <w:szCs w:val="14"/>
    </w:rPr>
  </w:style>
  <w:style w:type="character" w:customStyle="1" w:styleId="NoteSourceText-BarcRAChar5">
    <w:name w:val="Note &amp; Source Text - Barc RA Char_5"/>
    <w:basedOn w:val="DefaultParagraphFont"/>
    <w:link w:val="NoteSourceText-BarcRA5"/>
    <w:rsid w:val="00E75B5D"/>
    <w:rPr>
      <w:rFonts w:ascii="Expert Sans Regular" w:hAnsi="Expert Sans Regular"/>
      <w:i/>
      <w:iCs/>
      <w:sz w:val="14"/>
      <w:szCs w:val="14"/>
      <w:lang w:eastAsia="en-US"/>
    </w:rPr>
  </w:style>
  <w:style w:type="paragraph" w:customStyle="1" w:styleId="NoteSourceText-BarcRA000">
    <w:name w:val="Note &amp; Source Text - Barc RA_0_0_0"/>
    <w:basedOn w:val="Normal65"/>
    <w:uiPriority w:val="99"/>
    <w:rsid w:val="006A4E48"/>
    <w:pPr>
      <w:tabs>
        <w:tab w:val="left" w:pos="284"/>
      </w:tabs>
      <w:spacing w:before="20" w:after="20"/>
      <w:ind w:left="284" w:hanging="284"/>
      <w:jc w:val="both"/>
    </w:pPr>
    <w:rPr>
      <w:i/>
      <w:iCs/>
      <w:sz w:val="14"/>
      <w:szCs w:val="14"/>
    </w:rPr>
  </w:style>
  <w:style w:type="paragraph" w:customStyle="1" w:styleId="HeadingLevel1-BarcRA41">
    <w:name w:val="Heading Level 1 - Barc RA_41"/>
    <w:basedOn w:val="BodyText-BarcRA63"/>
    <w:next w:val="BodyText-BarcRA63"/>
    <w:link w:val="HeadingLevel1-BarcRAChar28"/>
    <w:rsid w:val="002611B5"/>
    <w:pPr>
      <w:spacing w:before="0"/>
    </w:pPr>
    <w:rPr>
      <w:b/>
      <w:bCs/>
      <w:color w:val="000000"/>
      <w:sz w:val="24"/>
      <w:lang w:val="la-Latn"/>
    </w:rPr>
  </w:style>
  <w:style w:type="paragraph" w:customStyle="1" w:styleId="BodyText-BarcRA63">
    <w:name w:val="Body Text - Barc RA_63"/>
    <w:link w:val="BodyText-BarcRAChar46"/>
    <w:qFormat/>
    <w:rsid w:val="005D52ED"/>
    <w:pPr>
      <w:spacing w:before="180" w:after="180"/>
      <w:jc w:val="both"/>
    </w:pPr>
    <w:rPr>
      <w:rFonts w:ascii="Expert Sans Regular" w:hAnsi="Expert Sans Regular"/>
      <w:sz w:val="18"/>
      <w:lang w:eastAsia="en-US"/>
    </w:rPr>
  </w:style>
  <w:style w:type="character" w:customStyle="1" w:styleId="BodyText-BarcRAChar46">
    <w:name w:val="Body Text - Barc RA Char_46"/>
    <w:basedOn w:val="DefaultParagraphFont"/>
    <w:link w:val="BodyText-BarcRA63"/>
    <w:rsid w:val="005D52ED"/>
    <w:rPr>
      <w:rFonts w:ascii="Expert Sans Regular" w:hAnsi="Expert Sans Regular"/>
      <w:sz w:val="18"/>
      <w:lang w:val="en-GB" w:eastAsia="en-US" w:bidi="ar-SA"/>
    </w:rPr>
  </w:style>
  <w:style w:type="character" w:customStyle="1" w:styleId="HeadingLevel1-BarcRAChar28">
    <w:name w:val="Heading Level 1 - Barc RA Char_28"/>
    <w:basedOn w:val="DefaultParagraphFont"/>
    <w:link w:val="HeadingLevel1-BarcRA41"/>
    <w:rsid w:val="009705AC"/>
    <w:rPr>
      <w:rFonts w:ascii="Expert Sans Regular" w:hAnsi="Expert Sans Regular"/>
      <w:b/>
      <w:bCs/>
      <w:color w:val="000000"/>
      <w:sz w:val="24"/>
      <w:lang w:val="la-Latn"/>
    </w:rPr>
  </w:style>
  <w:style w:type="paragraph" w:customStyle="1" w:styleId="HeaderSpacerwithLine-BarcRA13">
    <w:name w:val="Header Spacer with Line - Barc RA_13"/>
    <w:basedOn w:val="BodyText-BarcRA63"/>
    <w:link w:val="HeaderSpacerwithLine-BarcRAChar6"/>
    <w:rsid w:val="00016DD8"/>
    <w:pPr>
      <w:pBdr>
        <w:top w:val="single" w:sz="4" w:space="1" w:color="auto"/>
      </w:pBdr>
      <w:spacing w:before="0" w:after="0"/>
    </w:pPr>
    <w:rPr>
      <w:sz w:val="10"/>
      <w:szCs w:val="10"/>
    </w:rPr>
  </w:style>
  <w:style w:type="character" w:customStyle="1" w:styleId="HeaderSpacerwithLine-BarcRAChar6">
    <w:name w:val="Header Spacer with Line - Barc RA Char_6"/>
    <w:basedOn w:val="BodyText-BarcRAChar46"/>
    <w:link w:val="HeaderSpacerwithLine-BarcRA13"/>
    <w:rsid w:val="000E2451"/>
    <w:rPr>
      <w:rFonts w:ascii="Expert Sans Regular" w:hAnsi="Expert Sans Regular"/>
      <w:sz w:val="10"/>
      <w:szCs w:val="10"/>
      <w:lang w:val="en-GB" w:eastAsia="en-US" w:bidi="ar-SA"/>
    </w:rPr>
  </w:style>
  <w:style w:type="paragraph" w:customStyle="1" w:styleId="HeadingLevel2-BarcRA16">
    <w:name w:val="Heading Level 2 - Barc RA_16"/>
    <w:basedOn w:val="HeadingLevel1-BarcRA42"/>
    <w:next w:val="BodyText-BarcRA64"/>
    <w:rsid w:val="00EE71E7"/>
    <w:pPr>
      <w:spacing w:before="240" w:after="0"/>
    </w:pPr>
    <w:rPr>
      <w:sz w:val="20"/>
    </w:rPr>
  </w:style>
  <w:style w:type="paragraph" w:customStyle="1" w:styleId="HeadingLevel1-BarcRA42">
    <w:name w:val="Heading Level 1 - Barc RA_42"/>
    <w:basedOn w:val="BodyText-BarcRA64"/>
    <w:next w:val="BodyText-BarcRA64"/>
    <w:link w:val="HeadingLevel1-BarcRAChar29"/>
    <w:rsid w:val="002611B5"/>
    <w:pPr>
      <w:spacing w:before="0"/>
    </w:pPr>
    <w:rPr>
      <w:b/>
      <w:bCs/>
      <w:color w:val="000000"/>
      <w:sz w:val="24"/>
      <w:lang w:val="la-Latn"/>
    </w:rPr>
  </w:style>
  <w:style w:type="paragraph" w:customStyle="1" w:styleId="BodyText-BarcRA64">
    <w:name w:val="Body Text - Barc RA_64"/>
    <w:link w:val="BodyText-BarcRAChar47"/>
    <w:qFormat/>
    <w:rsid w:val="005D52ED"/>
    <w:pPr>
      <w:spacing w:before="180" w:after="180"/>
      <w:jc w:val="both"/>
    </w:pPr>
    <w:rPr>
      <w:rFonts w:ascii="Expert Sans Regular" w:hAnsi="Expert Sans Regular"/>
      <w:sz w:val="18"/>
      <w:lang w:eastAsia="en-US"/>
    </w:rPr>
  </w:style>
  <w:style w:type="character" w:customStyle="1" w:styleId="BodyText-BarcRAChar47">
    <w:name w:val="Body Text - Barc RA Char_47"/>
    <w:basedOn w:val="DefaultParagraphFont"/>
    <w:link w:val="BodyText-BarcRA64"/>
    <w:rsid w:val="005D52ED"/>
    <w:rPr>
      <w:rFonts w:ascii="Expert Sans Regular" w:hAnsi="Expert Sans Regular"/>
      <w:sz w:val="18"/>
      <w:lang w:val="en-GB" w:eastAsia="en-US" w:bidi="ar-SA"/>
    </w:rPr>
  </w:style>
  <w:style w:type="character" w:customStyle="1" w:styleId="HeadingLevel1-BarcRAChar29">
    <w:name w:val="Heading Level 1 - Barc RA Char_29"/>
    <w:basedOn w:val="DefaultParagraphFont"/>
    <w:link w:val="HeadingLevel1-BarcRA42"/>
    <w:rsid w:val="009705AC"/>
    <w:rPr>
      <w:rFonts w:ascii="Expert Sans Regular" w:hAnsi="Expert Sans Regular"/>
      <w:b/>
      <w:bCs/>
      <w:color w:val="000000"/>
      <w:sz w:val="24"/>
      <w:lang w:val="la-Latn"/>
    </w:rPr>
  </w:style>
  <w:style w:type="paragraph" w:customStyle="1" w:styleId="Level1Bullet-BarcRA35">
    <w:name w:val="Level 1 Bullet - Barc RA_35"/>
    <w:basedOn w:val="BodyText-BarcRA64"/>
    <w:link w:val="Level1Bullet-BarcRAChar29"/>
    <w:qFormat/>
    <w:rsid w:val="00A85CEE"/>
    <w:pPr>
      <w:numPr>
        <w:numId w:val="124"/>
      </w:numPr>
    </w:pPr>
    <w:rPr>
      <w:lang w:val="la-Latn"/>
    </w:rPr>
  </w:style>
  <w:style w:type="character" w:customStyle="1" w:styleId="Level1Bullet-BarcRAChar29">
    <w:name w:val="Level 1 Bullet - Barc RA Char_29"/>
    <w:basedOn w:val="BodyText-BarcRAChar47"/>
    <w:link w:val="Level1Bullet-BarcRA35"/>
    <w:rsid w:val="00A85CEE"/>
    <w:rPr>
      <w:rFonts w:ascii="Expert Sans Regular" w:hAnsi="Expert Sans Regular"/>
      <w:sz w:val="18"/>
      <w:lang w:val="la-Latn" w:eastAsia="en-US" w:bidi="ar-SA"/>
    </w:rPr>
  </w:style>
  <w:style w:type="paragraph" w:customStyle="1" w:styleId="Level1Bullet-BarcRA36">
    <w:name w:val="Level 1 Bullet - Barc RA_36"/>
    <w:basedOn w:val="Normal66"/>
    <w:link w:val="Level1Bullet-BarcRAChar30"/>
    <w:qFormat/>
    <w:locked/>
    <w:rsid w:val="00113FD1"/>
    <w:pPr>
      <w:numPr>
        <w:numId w:val="125"/>
      </w:numPr>
      <w:spacing w:before="180" w:after="180" w:line="240" w:lineRule="auto"/>
      <w:jc w:val="both"/>
    </w:pPr>
    <w:rPr>
      <w:rFonts w:ascii="Expert Sans Regular" w:hAnsi="Expert Sans Regular"/>
      <w:sz w:val="18"/>
      <w:szCs w:val="20"/>
      <w:lang w:val="la-Latn"/>
    </w:rPr>
  </w:style>
  <w:style w:type="paragraph" w:customStyle="1" w:styleId="Normal66">
    <w:name w:val="Normal_66"/>
    <w:qFormat/>
    <w:rsid w:val="007E0007"/>
    <w:pPr>
      <w:spacing w:after="200" w:line="276" w:lineRule="auto"/>
    </w:pPr>
    <w:rPr>
      <w:sz w:val="22"/>
      <w:szCs w:val="22"/>
      <w:lang w:eastAsia="en-US"/>
    </w:rPr>
  </w:style>
  <w:style w:type="character" w:customStyle="1" w:styleId="Level1Bullet-BarcRAChar30">
    <w:name w:val="Level 1 Bullet - Barc RA Char_30"/>
    <w:basedOn w:val="DefaultParagraphFont"/>
    <w:link w:val="Level1Bullet-BarcRA36"/>
    <w:rsid w:val="008A374C"/>
    <w:rPr>
      <w:rFonts w:ascii="Expert Sans Regular" w:hAnsi="Expert Sans Regular"/>
      <w:sz w:val="18"/>
      <w:lang w:val="la-Latn" w:eastAsia="en-US"/>
    </w:rPr>
  </w:style>
  <w:style w:type="paragraph" w:customStyle="1" w:styleId="NoteSourceText-BarcRA11">
    <w:name w:val="Note &amp; Source Text - Barc RA_11"/>
    <w:basedOn w:val="Normal66"/>
    <w:link w:val="NoteSourceText-BarcRAChar100"/>
    <w:rsid w:val="00B268DD"/>
    <w:pPr>
      <w:tabs>
        <w:tab w:val="left" w:pos="284"/>
      </w:tabs>
      <w:spacing w:before="20" w:after="20" w:line="240" w:lineRule="auto"/>
      <w:ind w:left="284" w:hanging="284"/>
      <w:jc w:val="both"/>
    </w:pPr>
    <w:rPr>
      <w:rFonts w:ascii="Expert Sans Regular" w:hAnsi="Expert Sans Regular"/>
      <w:i/>
      <w:iCs/>
      <w:sz w:val="14"/>
      <w:szCs w:val="14"/>
    </w:rPr>
  </w:style>
  <w:style w:type="character" w:customStyle="1" w:styleId="NoteSourceText-BarcRAChar100">
    <w:name w:val="Note &amp; Source Text - Barc RA Char_10"/>
    <w:basedOn w:val="DefaultParagraphFont"/>
    <w:link w:val="NoteSourceText-BarcRA11"/>
    <w:rsid w:val="00B268DD"/>
    <w:rPr>
      <w:rFonts w:ascii="Expert Sans Regular" w:eastAsia="Times New Roman" w:hAnsi="Expert Sans Regular"/>
      <w:i/>
      <w:iCs/>
      <w:sz w:val="14"/>
      <w:szCs w:val="14"/>
      <w:lang w:eastAsia="en-US"/>
    </w:rPr>
  </w:style>
  <w:style w:type="paragraph" w:customStyle="1" w:styleId="HeadingLevel1-BarcRA43">
    <w:name w:val="Heading Level 1 - Barc RA_43"/>
    <w:basedOn w:val="BodyText-BarcRA65"/>
    <w:next w:val="BodyText-BarcRA65"/>
    <w:link w:val="HeadingLevel1-BarcRAChar30"/>
    <w:rsid w:val="002611B5"/>
    <w:pPr>
      <w:spacing w:before="0"/>
    </w:pPr>
    <w:rPr>
      <w:b/>
      <w:bCs/>
      <w:color w:val="000000"/>
      <w:sz w:val="24"/>
      <w:lang w:val="la-Latn"/>
    </w:rPr>
  </w:style>
  <w:style w:type="paragraph" w:customStyle="1" w:styleId="BodyText-BarcRA65">
    <w:name w:val="Body Text - Barc RA_65"/>
    <w:link w:val="BodyText-BarcRAChar48"/>
    <w:qFormat/>
    <w:rsid w:val="005D52ED"/>
    <w:pPr>
      <w:spacing w:before="180" w:after="180"/>
      <w:jc w:val="both"/>
    </w:pPr>
    <w:rPr>
      <w:rFonts w:ascii="Expert Sans Regular" w:hAnsi="Expert Sans Regular"/>
      <w:sz w:val="18"/>
      <w:lang w:eastAsia="en-US"/>
    </w:rPr>
  </w:style>
  <w:style w:type="character" w:customStyle="1" w:styleId="BodyText-BarcRAChar48">
    <w:name w:val="Body Text - Barc RA Char_48"/>
    <w:basedOn w:val="DefaultParagraphFont"/>
    <w:link w:val="BodyText-BarcRA65"/>
    <w:rsid w:val="005D52ED"/>
    <w:rPr>
      <w:rFonts w:ascii="Expert Sans Regular" w:hAnsi="Expert Sans Regular"/>
      <w:sz w:val="18"/>
      <w:lang w:val="en-GB" w:eastAsia="en-US" w:bidi="ar-SA"/>
    </w:rPr>
  </w:style>
  <w:style w:type="character" w:customStyle="1" w:styleId="HeadingLevel1-BarcRAChar30">
    <w:name w:val="Heading Level 1 - Barc RA Char_30"/>
    <w:basedOn w:val="DefaultParagraphFont"/>
    <w:link w:val="HeadingLevel1-BarcRA43"/>
    <w:rsid w:val="009705AC"/>
    <w:rPr>
      <w:rFonts w:ascii="Expert Sans Regular" w:hAnsi="Expert Sans Regular"/>
      <w:b/>
      <w:bCs/>
      <w:color w:val="000000"/>
      <w:sz w:val="24"/>
      <w:lang w:val="la-Latn"/>
    </w:rPr>
  </w:style>
  <w:style w:type="paragraph" w:customStyle="1" w:styleId="HeaderSpacerwithLine-BarcRA14">
    <w:name w:val="Header Spacer with Line - Barc RA_14"/>
    <w:basedOn w:val="BodyText-BarcRA65"/>
    <w:link w:val="HeaderSpacerwithLine-BarcRAChar7"/>
    <w:rsid w:val="00016DD8"/>
    <w:pPr>
      <w:pBdr>
        <w:top w:val="single" w:sz="4" w:space="1" w:color="auto"/>
      </w:pBdr>
      <w:spacing w:before="0" w:after="0"/>
    </w:pPr>
    <w:rPr>
      <w:sz w:val="10"/>
      <w:szCs w:val="10"/>
    </w:rPr>
  </w:style>
  <w:style w:type="character" w:customStyle="1" w:styleId="HeaderSpacerwithLine-BarcRAChar7">
    <w:name w:val="Header Spacer with Line - Barc RA Char_7"/>
    <w:basedOn w:val="BodyText-BarcRAChar48"/>
    <w:link w:val="HeaderSpacerwithLine-BarcRA14"/>
    <w:rsid w:val="000E2451"/>
    <w:rPr>
      <w:rFonts w:ascii="Expert Sans Regular" w:hAnsi="Expert Sans Regular"/>
      <w:sz w:val="10"/>
      <w:szCs w:val="10"/>
      <w:lang w:val="en-GB" w:eastAsia="en-US" w:bidi="ar-SA"/>
    </w:rPr>
  </w:style>
  <w:style w:type="paragraph" w:customStyle="1" w:styleId="BodyText-BarcRA67">
    <w:name w:val="Body Text - Barc RA_67"/>
    <w:link w:val="BodyText-BarcRAChar49"/>
    <w:qFormat/>
    <w:rsid w:val="005D52ED"/>
    <w:pPr>
      <w:spacing w:before="180" w:after="180"/>
      <w:jc w:val="both"/>
    </w:pPr>
    <w:rPr>
      <w:rFonts w:ascii="Expert Sans Regular" w:hAnsi="Expert Sans Regular"/>
      <w:sz w:val="18"/>
      <w:lang w:eastAsia="en-US"/>
    </w:rPr>
  </w:style>
  <w:style w:type="character" w:customStyle="1" w:styleId="BodyText-BarcRAChar49">
    <w:name w:val="Body Text - Barc RA Char_49"/>
    <w:basedOn w:val="DefaultParagraphFont"/>
    <w:link w:val="BodyText-BarcRA67"/>
    <w:rsid w:val="005D52ED"/>
    <w:rPr>
      <w:rFonts w:ascii="Expert Sans Regular" w:hAnsi="Expert Sans Regular"/>
      <w:sz w:val="18"/>
      <w:lang w:val="en-GB" w:eastAsia="en-US" w:bidi="ar-SA"/>
    </w:rPr>
  </w:style>
  <w:style w:type="paragraph" w:customStyle="1" w:styleId="Level1Bullet-BarcRA37">
    <w:name w:val="Level 1 Bullet - Barc RA_37"/>
    <w:basedOn w:val="BodyText-BarcRA67"/>
    <w:link w:val="Level1Bullet-BarcRAChar31"/>
    <w:rsid w:val="00A85CEE"/>
    <w:pPr>
      <w:numPr>
        <w:numId w:val="126"/>
      </w:numPr>
    </w:pPr>
    <w:rPr>
      <w:lang w:val="la-Latn"/>
    </w:rPr>
  </w:style>
  <w:style w:type="character" w:customStyle="1" w:styleId="Level1Bullet-BarcRAChar31">
    <w:name w:val="Level 1 Bullet - Barc RA Char_31"/>
    <w:basedOn w:val="BodyText-BarcRAChar49"/>
    <w:link w:val="Level1Bullet-BarcRA37"/>
    <w:rsid w:val="00A85CEE"/>
    <w:rPr>
      <w:rFonts w:ascii="Expert Sans Regular" w:hAnsi="Expert Sans Regular"/>
      <w:sz w:val="18"/>
      <w:lang w:val="la-Latn" w:eastAsia="en-US" w:bidi="ar-SA"/>
    </w:rPr>
  </w:style>
  <w:style w:type="paragraph" w:customStyle="1" w:styleId="HeadingLevel1-BarcRA44">
    <w:name w:val="Heading Level 1 - Barc RA_44"/>
    <w:basedOn w:val="BodyText-BarcRA68"/>
    <w:next w:val="BodyText-BarcRA68"/>
    <w:link w:val="HeadingLevel1-BarcRAChar31"/>
    <w:rsid w:val="002611B5"/>
    <w:pPr>
      <w:spacing w:before="0"/>
    </w:pPr>
    <w:rPr>
      <w:b/>
      <w:bCs/>
      <w:color w:val="000000"/>
      <w:sz w:val="24"/>
      <w:lang w:val="la-Latn"/>
    </w:rPr>
  </w:style>
  <w:style w:type="paragraph" w:customStyle="1" w:styleId="BodyText-BarcRA68">
    <w:name w:val="Body Text - Barc RA_68"/>
    <w:link w:val="BodyText-BarcRAChar50"/>
    <w:qFormat/>
    <w:rsid w:val="005D52ED"/>
    <w:pPr>
      <w:spacing w:before="180" w:after="180"/>
      <w:jc w:val="both"/>
    </w:pPr>
    <w:rPr>
      <w:rFonts w:ascii="Expert Sans Regular" w:hAnsi="Expert Sans Regular"/>
      <w:sz w:val="18"/>
      <w:lang w:eastAsia="en-US"/>
    </w:rPr>
  </w:style>
  <w:style w:type="character" w:customStyle="1" w:styleId="BodyText-BarcRAChar50">
    <w:name w:val="Body Text - Barc RA Char_50"/>
    <w:basedOn w:val="DefaultParagraphFont"/>
    <w:link w:val="BodyText-BarcRA68"/>
    <w:rsid w:val="005D52ED"/>
    <w:rPr>
      <w:rFonts w:ascii="Expert Sans Regular" w:hAnsi="Expert Sans Regular"/>
      <w:sz w:val="18"/>
      <w:lang w:val="en-GB" w:eastAsia="en-US" w:bidi="ar-SA"/>
    </w:rPr>
  </w:style>
  <w:style w:type="character" w:customStyle="1" w:styleId="HeadingLevel1-BarcRAChar31">
    <w:name w:val="Heading Level 1 - Barc RA Char_31"/>
    <w:basedOn w:val="DefaultParagraphFont"/>
    <w:link w:val="HeadingLevel1-BarcRA44"/>
    <w:rsid w:val="009705AC"/>
    <w:rPr>
      <w:rFonts w:ascii="Expert Sans Regular" w:hAnsi="Expert Sans Regular"/>
      <w:b/>
      <w:bCs/>
      <w:color w:val="000000"/>
      <w:sz w:val="24"/>
      <w:lang w:val="la-Latn"/>
    </w:rPr>
  </w:style>
  <w:style w:type="paragraph" w:customStyle="1" w:styleId="HeaderSpacerwithLine-BarcRA15">
    <w:name w:val="Header Spacer with Line - Barc RA_15"/>
    <w:basedOn w:val="BodyText-BarcRA68"/>
    <w:link w:val="HeaderSpacerwithLine-BarcRAChar8"/>
    <w:rsid w:val="00016DD8"/>
    <w:pPr>
      <w:pBdr>
        <w:top w:val="single" w:sz="4" w:space="1" w:color="auto"/>
      </w:pBdr>
      <w:spacing w:before="0" w:after="0"/>
    </w:pPr>
    <w:rPr>
      <w:sz w:val="10"/>
      <w:szCs w:val="10"/>
    </w:rPr>
  </w:style>
  <w:style w:type="character" w:customStyle="1" w:styleId="HeaderSpacerwithLine-BarcRAChar8">
    <w:name w:val="Header Spacer with Line - Barc RA Char_8"/>
    <w:basedOn w:val="BodyText-BarcRAChar50"/>
    <w:link w:val="HeaderSpacerwithLine-BarcRA15"/>
    <w:rsid w:val="000E2451"/>
    <w:rPr>
      <w:rFonts w:ascii="Expert Sans Regular" w:hAnsi="Expert Sans Regular"/>
      <w:sz w:val="10"/>
      <w:szCs w:val="10"/>
      <w:lang w:val="en-GB" w:eastAsia="en-US" w:bidi="ar-SA"/>
    </w:rPr>
  </w:style>
  <w:style w:type="paragraph" w:customStyle="1" w:styleId="HeadingLevel2-BarcRA17">
    <w:name w:val="Heading Level 2 - Barc RA_17"/>
    <w:basedOn w:val="HeadingLevel1-BarcRA45"/>
    <w:next w:val="BodyText-BarcRA69"/>
    <w:rsid w:val="00EE71E7"/>
    <w:pPr>
      <w:spacing w:before="240" w:after="0"/>
    </w:pPr>
    <w:rPr>
      <w:sz w:val="20"/>
    </w:rPr>
  </w:style>
  <w:style w:type="paragraph" w:customStyle="1" w:styleId="HeadingLevel1-BarcRA45">
    <w:name w:val="Heading Level 1 - Barc RA_45"/>
    <w:basedOn w:val="BodyText-BarcRA69"/>
    <w:next w:val="BodyText-BarcRA69"/>
    <w:link w:val="HeadingLevel1-BarcRAChar32"/>
    <w:rsid w:val="002611B5"/>
    <w:pPr>
      <w:spacing w:before="0"/>
    </w:pPr>
    <w:rPr>
      <w:b/>
      <w:bCs/>
      <w:color w:val="000000"/>
      <w:sz w:val="24"/>
      <w:lang w:val="la-Latn"/>
    </w:rPr>
  </w:style>
  <w:style w:type="paragraph" w:customStyle="1" w:styleId="BodyText-BarcRA69">
    <w:name w:val="Body Text - Barc RA_69"/>
    <w:link w:val="BodyText-BarcRAChar51"/>
    <w:qFormat/>
    <w:rsid w:val="005D52ED"/>
    <w:pPr>
      <w:spacing w:before="180" w:after="180"/>
      <w:jc w:val="both"/>
    </w:pPr>
    <w:rPr>
      <w:rFonts w:ascii="Expert Sans Regular" w:hAnsi="Expert Sans Regular"/>
      <w:sz w:val="18"/>
      <w:lang w:eastAsia="en-US"/>
    </w:rPr>
  </w:style>
  <w:style w:type="character" w:customStyle="1" w:styleId="BodyText-BarcRAChar51">
    <w:name w:val="Body Text - Barc RA Char_51"/>
    <w:basedOn w:val="DefaultParagraphFont"/>
    <w:link w:val="BodyText-BarcRA69"/>
    <w:rsid w:val="005D52ED"/>
    <w:rPr>
      <w:rFonts w:ascii="Expert Sans Regular" w:hAnsi="Expert Sans Regular"/>
      <w:sz w:val="18"/>
      <w:lang w:val="en-GB" w:eastAsia="en-US" w:bidi="ar-SA"/>
    </w:rPr>
  </w:style>
  <w:style w:type="character" w:customStyle="1" w:styleId="HeadingLevel1-BarcRAChar32">
    <w:name w:val="Heading Level 1 - Barc RA Char_32"/>
    <w:basedOn w:val="DefaultParagraphFont"/>
    <w:link w:val="HeadingLevel1-BarcRA45"/>
    <w:rsid w:val="009705AC"/>
    <w:rPr>
      <w:rFonts w:ascii="Expert Sans Regular" w:hAnsi="Expert Sans Regular"/>
      <w:b/>
      <w:bCs/>
      <w:color w:val="000000"/>
      <w:sz w:val="24"/>
      <w:lang w:val="la-Latn"/>
    </w:rPr>
  </w:style>
  <w:style w:type="paragraph" w:customStyle="1" w:styleId="NoteSourceText-BarcRA6">
    <w:name w:val="Note &amp; Source Text - Barc RA_6"/>
    <w:basedOn w:val="Normal67"/>
    <w:link w:val="NoteSourceText-BarcRAChar6"/>
    <w:rsid w:val="00E75B5D"/>
    <w:pPr>
      <w:tabs>
        <w:tab w:val="left" w:pos="284"/>
      </w:tabs>
      <w:spacing w:before="20" w:after="20"/>
      <w:ind w:left="284" w:hanging="284"/>
      <w:jc w:val="both"/>
    </w:pPr>
    <w:rPr>
      <w:i/>
      <w:iCs/>
      <w:sz w:val="14"/>
      <w:szCs w:val="14"/>
    </w:rPr>
  </w:style>
  <w:style w:type="paragraph" w:customStyle="1" w:styleId="Normal67">
    <w:name w:val="Normal_67"/>
    <w:qFormat/>
    <w:rsid w:val="009705AC"/>
    <w:rPr>
      <w:rFonts w:ascii="Expert Sans Regular" w:hAnsi="Expert Sans Regular"/>
      <w:sz w:val="18"/>
      <w:szCs w:val="24"/>
      <w:lang w:eastAsia="en-US"/>
    </w:rPr>
  </w:style>
  <w:style w:type="character" w:customStyle="1" w:styleId="NoteSourceText-BarcRAChar6">
    <w:name w:val="Note &amp; Source Text - Barc RA Char_6"/>
    <w:basedOn w:val="DefaultParagraphFont"/>
    <w:link w:val="NoteSourceText-BarcRA6"/>
    <w:rsid w:val="00E75B5D"/>
    <w:rPr>
      <w:rFonts w:ascii="Expert Sans Regular" w:hAnsi="Expert Sans Regular"/>
      <w:i/>
      <w:iCs/>
      <w:sz w:val="14"/>
      <w:szCs w:val="14"/>
      <w:lang w:eastAsia="en-US"/>
    </w:rPr>
  </w:style>
  <w:style w:type="paragraph" w:customStyle="1" w:styleId="HeadingLevel1-BarcRA46">
    <w:name w:val="Heading Level 1 - Barc RA_46"/>
    <w:basedOn w:val="BodyText-BarcRA70"/>
    <w:next w:val="BodyText-BarcRA70"/>
    <w:link w:val="HeadingLevel1-BarcRAChar33"/>
    <w:qFormat/>
    <w:rsid w:val="002611B5"/>
    <w:pPr>
      <w:spacing w:before="0"/>
    </w:pPr>
    <w:rPr>
      <w:b/>
      <w:bCs/>
      <w:color w:val="000000"/>
      <w:sz w:val="24"/>
      <w:lang w:val="la-Latn"/>
    </w:rPr>
  </w:style>
  <w:style w:type="paragraph" w:customStyle="1" w:styleId="BodyText-BarcRA70">
    <w:name w:val="Body Text - Barc RA_70"/>
    <w:link w:val="BodyText-BarcRAChar52"/>
    <w:qFormat/>
    <w:rsid w:val="005D52ED"/>
    <w:pPr>
      <w:spacing w:before="180" w:after="180"/>
      <w:jc w:val="both"/>
    </w:pPr>
    <w:rPr>
      <w:rFonts w:ascii="Expert Sans Regular" w:hAnsi="Expert Sans Regular"/>
      <w:sz w:val="18"/>
      <w:lang w:eastAsia="en-US"/>
    </w:rPr>
  </w:style>
  <w:style w:type="character" w:customStyle="1" w:styleId="BodyText-BarcRAChar52">
    <w:name w:val="Body Text - Barc RA Char_52"/>
    <w:basedOn w:val="DefaultParagraphFont"/>
    <w:link w:val="BodyText-BarcRA70"/>
    <w:rsid w:val="005D52ED"/>
    <w:rPr>
      <w:rFonts w:ascii="Expert Sans Regular" w:hAnsi="Expert Sans Regular"/>
      <w:sz w:val="18"/>
      <w:lang w:val="en-GB" w:eastAsia="en-US" w:bidi="ar-SA"/>
    </w:rPr>
  </w:style>
  <w:style w:type="character" w:customStyle="1" w:styleId="HeadingLevel1-BarcRAChar33">
    <w:name w:val="Heading Level 1 - Barc RA Char_33"/>
    <w:basedOn w:val="DefaultParagraphFont"/>
    <w:link w:val="HeadingLevel1-BarcRA46"/>
    <w:rsid w:val="009705AC"/>
    <w:rPr>
      <w:rFonts w:ascii="Expert Sans Regular" w:hAnsi="Expert Sans Regular"/>
      <w:b/>
      <w:bCs/>
      <w:color w:val="000000"/>
      <w:sz w:val="24"/>
      <w:lang w:val="la-Latn"/>
    </w:rPr>
  </w:style>
  <w:style w:type="paragraph" w:customStyle="1" w:styleId="HeaderSpacerwithLine-BarcRA16">
    <w:name w:val="Header Spacer with Line - Barc RA_16"/>
    <w:basedOn w:val="BodyText-BarcRA70"/>
    <w:link w:val="HeaderSpacerwithLine-BarcRAChar9"/>
    <w:qFormat/>
    <w:rsid w:val="00016DD8"/>
    <w:pPr>
      <w:pBdr>
        <w:top w:val="single" w:sz="4" w:space="1" w:color="auto"/>
      </w:pBdr>
      <w:spacing w:before="0" w:after="0"/>
    </w:pPr>
    <w:rPr>
      <w:sz w:val="10"/>
      <w:szCs w:val="10"/>
    </w:rPr>
  </w:style>
  <w:style w:type="character" w:customStyle="1" w:styleId="HeaderSpacerwithLine-BarcRAChar9">
    <w:name w:val="Header Spacer with Line - Barc RA Char_9"/>
    <w:basedOn w:val="BodyText-BarcRAChar52"/>
    <w:link w:val="HeaderSpacerwithLine-BarcRA16"/>
    <w:rsid w:val="000E2451"/>
    <w:rPr>
      <w:rFonts w:ascii="Expert Sans Regular" w:hAnsi="Expert Sans Regular"/>
      <w:sz w:val="10"/>
      <w:szCs w:val="10"/>
      <w:lang w:val="en-GB" w:eastAsia="en-US" w:bidi="ar-SA"/>
    </w:rPr>
  </w:style>
  <w:style w:type="paragraph" w:customStyle="1" w:styleId="HeadingLevel1-BarcRA47">
    <w:name w:val="Heading Level 1 - Barc RA_47"/>
    <w:basedOn w:val="BodyText-BarcRA71"/>
    <w:next w:val="BodyText-BarcRA71"/>
    <w:link w:val="HeadingLevel1-BarcRAChar34"/>
    <w:qFormat/>
    <w:rsid w:val="002611B5"/>
    <w:pPr>
      <w:spacing w:before="0"/>
    </w:pPr>
    <w:rPr>
      <w:b/>
      <w:bCs/>
      <w:color w:val="000000"/>
      <w:sz w:val="24"/>
      <w:lang w:val="la-Latn"/>
    </w:rPr>
  </w:style>
  <w:style w:type="paragraph" w:customStyle="1" w:styleId="BodyText-BarcRA71">
    <w:name w:val="Body Text - Barc RA_71"/>
    <w:link w:val="BodyText-BarcRAChar53"/>
    <w:qFormat/>
    <w:rsid w:val="005D52ED"/>
    <w:pPr>
      <w:spacing w:before="180" w:after="180"/>
      <w:jc w:val="both"/>
    </w:pPr>
    <w:rPr>
      <w:rFonts w:ascii="Expert Sans Regular" w:hAnsi="Expert Sans Regular"/>
      <w:sz w:val="18"/>
      <w:lang w:eastAsia="en-US"/>
    </w:rPr>
  </w:style>
  <w:style w:type="character" w:customStyle="1" w:styleId="BodyText-BarcRAChar53">
    <w:name w:val="Body Text - Barc RA Char_53"/>
    <w:basedOn w:val="DefaultParagraphFont"/>
    <w:link w:val="BodyText-BarcRA71"/>
    <w:rsid w:val="005D52ED"/>
    <w:rPr>
      <w:rFonts w:ascii="Expert Sans Regular" w:hAnsi="Expert Sans Regular"/>
      <w:sz w:val="18"/>
      <w:lang w:val="en-GB" w:eastAsia="en-US" w:bidi="ar-SA"/>
    </w:rPr>
  </w:style>
  <w:style w:type="character" w:customStyle="1" w:styleId="HeadingLevel1-BarcRAChar34">
    <w:name w:val="Heading Level 1 - Barc RA Char_34"/>
    <w:basedOn w:val="DefaultParagraphFont"/>
    <w:link w:val="HeadingLevel1-BarcRA47"/>
    <w:rsid w:val="009705AC"/>
    <w:rPr>
      <w:rFonts w:ascii="Expert Sans Regular" w:hAnsi="Expert Sans Regular"/>
      <w:b/>
      <w:bCs/>
      <w:color w:val="000000"/>
      <w:sz w:val="24"/>
      <w:lang w:val="la-Latn"/>
    </w:rPr>
  </w:style>
  <w:style w:type="paragraph" w:customStyle="1" w:styleId="Level1Bullet-BarcRA38">
    <w:name w:val="Level 1 Bullet - Barc RA_38"/>
    <w:basedOn w:val="BodyText-BarcRA71"/>
    <w:link w:val="Level1Bullet-BarcRAChar32"/>
    <w:qFormat/>
    <w:rsid w:val="00A85CEE"/>
    <w:pPr>
      <w:numPr>
        <w:numId w:val="127"/>
      </w:numPr>
    </w:pPr>
    <w:rPr>
      <w:lang w:val="la-Latn"/>
    </w:rPr>
  </w:style>
  <w:style w:type="character" w:customStyle="1" w:styleId="Level1Bullet-BarcRAChar32">
    <w:name w:val="Level 1 Bullet - Barc RA Char_32"/>
    <w:basedOn w:val="BodyText-BarcRAChar53"/>
    <w:link w:val="Level1Bullet-BarcRA38"/>
    <w:rsid w:val="00A85CEE"/>
    <w:rPr>
      <w:rFonts w:ascii="Expert Sans Regular" w:hAnsi="Expert Sans Regular"/>
      <w:sz w:val="18"/>
      <w:lang w:val="la-Latn" w:eastAsia="en-US" w:bidi="ar-SA"/>
    </w:rPr>
  </w:style>
  <w:style w:type="paragraph" w:customStyle="1" w:styleId="Normal68">
    <w:name w:val="Normal_68"/>
    <w:qFormat/>
    <w:rsid w:val="009705AC"/>
    <w:rPr>
      <w:rFonts w:ascii="Expert Sans Regular" w:hAnsi="Expert Sans Regular"/>
      <w:sz w:val="18"/>
      <w:szCs w:val="24"/>
      <w:lang w:eastAsia="en-US"/>
    </w:rPr>
  </w:style>
  <w:style w:type="paragraph" w:customStyle="1" w:styleId="HeadingLevel2-BarcRA18">
    <w:name w:val="Heading Level 2 - Barc RA_18"/>
    <w:basedOn w:val="HeadingLevel1-BarcRA47"/>
    <w:next w:val="BodyText-BarcRA71"/>
    <w:rsid w:val="00EE71E7"/>
    <w:pPr>
      <w:spacing w:before="240" w:after="0"/>
    </w:pPr>
    <w:rPr>
      <w:sz w:val="20"/>
    </w:rPr>
  </w:style>
  <w:style w:type="paragraph" w:customStyle="1" w:styleId="HeadingLevel2-BarcRA19">
    <w:name w:val="Heading Level 2 - Barc RA_19"/>
    <w:basedOn w:val="Normal69"/>
    <w:next w:val="Normal69"/>
    <w:qFormat/>
    <w:locked/>
    <w:rsid w:val="00EE7615"/>
    <w:pPr>
      <w:spacing w:before="240" w:after="0" w:line="240" w:lineRule="auto"/>
      <w:jc w:val="both"/>
    </w:pPr>
    <w:rPr>
      <w:rFonts w:ascii="Expert Sans Regular" w:hAnsi="Expert Sans Regular"/>
      <w:b/>
      <w:bCs/>
      <w:color w:val="000000"/>
      <w:sz w:val="20"/>
      <w:szCs w:val="20"/>
      <w:lang w:val="la-Latn"/>
    </w:rPr>
  </w:style>
  <w:style w:type="paragraph" w:customStyle="1" w:styleId="Normal69">
    <w:name w:val="Normal_69"/>
    <w:qFormat/>
    <w:rsid w:val="00DE0D86"/>
    <w:pPr>
      <w:spacing w:after="200" w:line="276" w:lineRule="auto"/>
    </w:pPr>
    <w:rPr>
      <w:sz w:val="22"/>
      <w:szCs w:val="22"/>
      <w:lang w:eastAsia="en-US"/>
    </w:rPr>
  </w:style>
  <w:style w:type="paragraph" w:customStyle="1" w:styleId="Level1Bullet-BarcRA39">
    <w:name w:val="Level 1 Bullet - Barc RA_39"/>
    <w:basedOn w:val="Normal70"/>
    <w:qFormat/>
    <w:rsid w:val="00AA260B"/>
    <w:pPr>
      <w:numPr>
        <w:numId w:val="128"/>
      </w:numPr>
      <w:spacing w:before="180" w:after="180"/>
      <w:jc w:val="both"/>
    </w:pPr>
    <w:rPr>
      <w:szCs w:val="20"/>
      <w:lang w:val="la-Latn"/>
    </w:rPr>
  </w:style>
  <w:style w:type="paragraph" w:customStyle="1" w:styleId="Normal70">
    <w:name w:val="Normal_70"/>
    <w:qFormat/>
    <w:rsid w:val="009705AC"/>
    <w:rPr>
      <w:rFonts w:ascii="Expert Sans Regular" w:hAnsi="Expert Sans Regular"/>
      <w:sz w:val="18"/>
      <w:szCs w:val="24"/>
      <w:lang w:eastAsia="en-US"/>
    </w:rPr>
  </w:style>
  <w:style w:type="paragraph" w:customStyle="1" w:styleId="Level2Bullet-BarcRA100001">
    <w:name w:val="Level 2 Bullet - Barc RA_1_0_0_0_0_1"/>
    <w:basedOn w:val="Normal70"/>
    <w:qFormat/>
    <w:rsid w:val="00D81269"/>
    <w:pPr>
      <w:spacing w:before="180" w:after="180"/>
      <w:jc w:val="both"/>
    </w:pPr>
    <w:rPr>
      <w:szCs w:val="20"/>
      <w:lang w:val="la-Latn"/>
    </w:rPr>
  </w:style>
  <w:style w:type="paragraph" w:customStyle="1" w:styleId="NoteandSourceText-BarcRA130">
    <w:name w:val="Note and Source Text - Barc RA_13_0"/>
    <w:basedOn w:val="Normal71"/>
    <w:qFormat/>
    <w:rsid w:val="008A58E6"/>
    <w:pPr>
      <w:numPr>
        <w:numId w:val="129"/>
      </w:numPr>
      <w:tabs>
        <w:tab w:val="left" w:pos="284"/>
      </w:tabs>
      <w:spacing w:before="20" w:after="20"/>
      <w:jc w:val="both"/>
    </w:pPr>
    <w:rPr>
      <w:i/>
      <w:iCs/>
      <w:sz w:val="14"/>
      <w:szCs w:val="14"/>
    </w:rPr>
  </w:style>
  <w:style w:type="paragraph" w:customStyle="1" w:styleId="Normal71">
    <w:name w:val="Normal_71"/>
    <w:qFormat/>
    <w:rsid w:val="00AE6C78"/>
    <w:rPr>
      <w:rFonts w:ascii="Expert Sans Regular" w:eastAsia="Expert Sans Regular" w:hAnsi="Expert Sans Regular" w:cs="Expert Sans Regular"/>
      <w:sz w:val="2"/>
      <w:szCs w:val="24"/>
      <w:lang w:val="en-US" w:eastAsia="en-US"/>
    </w:rPr>
  </w:style>
  <w:style w:type="paragraph" w:customStyle="1" w:styleId="HeadingLevel2-BarcRA20">
    <w:name w:val="Heading Level 2 - Barc RA_20"/>
    <w:basedOn w:val="Normal72"/>
    <w:next w:val="Normal72"/>
    <w:qFormat/>
    <w:locked/>
    <w:rsid w:val="00EE7615"/>
    <w:pPr>
      <w:spacing w:before="240" w:after="0" w:line="240" w:lineRule="auto"/>
      <w:jc w:val="both"/>
    </w:pPr>
    <w:rPr>
      <w:rFonts w:ascii="Expert Sans Regular" w:hAnsi="Expert Sans Regular"/>
      <w:b/>
      <w:bCs/>
      <w:color w:val="000000"/>
      <w:sz w:val="20"/>
      <w:szCs w:val="20"/>
      <w:lang w:val="la-Latn"/>
    </w:rPr>
  </w:style>
  <w:style w:type="paragraph" w:customStyle="1" w:styleId="Normal72">
    <w:name w:val="Normal_72"/>
    <w:qFormat/>
    <w:rsid w:val="00DE0D86"/>
    <w:pPr>
      <w:spacing w:after="200" w:line="276" w:lineRule="auto"/>
    </w:pPr>
    <w:rPr>
      <w:sz w:val="22"/>
      <w:szCs w:val="22"/>
      <w:lang w:eastAsia="en-US"/>
    </w:rPr>
  </w:style>
  <w:style w:type="paragraph" w:customStyle="1" w:styleId="BodyText-BarcRA72">
    <w:name w:val="Body Text - Barc RA_72"/>
    <w:link w:val="BodyText-BarcRAChar54"/>
    <w:qFormat/>
    <w:rsid w:val="005D52ED"/>
    <w:pPr>
      <w:spacing w:before="180" w:after="180"/>
      <w:jc w:val="both"/>
    </w:pPr>
    <w:rPr>
      <w:rFonts w:ascii="Expert Sans Regular" w:hAnsi="Expert Sans Regular"/>
      <w:sz w:val="18"/>
      <w:lang w:eastAsia="en-US"/>
    </w:rPr>
  </w:style>
  <w:style w:type="character" w:customStyle="1" w:styleId="BodyText-BarcRAChar54">
    <w:name w:val="Body Text - Barc RA Char_54"/>
    <w:basedOn w:val="DefaultParagraphFont"/>
    <w:link w:val="BodyText-BarcRA72"/>
    <w:rsid w:val="005D52ED"/>
    <w:rPr>
      <w:rFonts w:ascii="Expert Sans Regular" w:hAnsi="Expert Sans Regular"/>
      <w:sz w:val="18"/>
      <w:lang w:val="en-GB" w:eastAsia="en-US" w:bidi="ar-SA"/>
    </w:rPr>
  </w:style>
  <w:style w:type="paragraph" w:customStyle="1" w:styleId="Normal73">
    <w:name w:val="Normal_73"/>
    <w:qFormat/>
    <w:rsid w:val="00DE0D86"/>
    <w:pPr>
      <w:spacing w:after="200" w:line="276" w:lineRule="auto"/>
    </w:pPr>
    <w:rPr>
      <w:sz w:val="22"/>
      <w:szCs w:val="22"/>
      <w:lang w:eastAsia="en-US"/>
    </w:rPr>
  </w:style>
  <w:style w:type="paragraph" w:customStyle="1" w:styleId="Normal490">
    <w:name w:val="Normal_49_0"/>
    <w:basedOn w:val="Normal73"/>
    <w:qFormat/>
    <w:rsid w:val="00436987"/>
    <w:pPr>
      <w:spacing w:after="0" w:line="240" w:lineRule="auto"/>
    </w:pPr>
    <w:rPr>
      <w:rFonts w:ascii="Expert Sans Regular" w:eastAsia="Calibri" w:hAnsi="Expert Sans Regular"/>
      <w:sz w:val="18"/>
      <w:szCs w:val="18"/>
      <w:lang w:eastAsia="en-GB"/>
    </w:rPr>
  </w:style>
  <w:style w:type="paragraph" w:customStyle="1" w:styleId="HeadingLevel1-BarcRA48">
    <w:name w:val="Heading Level 1 - Barc RA_48"/>
    <w:basedOn w:val="BodyText-BarcRA73"/>
    <w:next w:val="BodyText-BarcRA73"/>
    <w:link w:val="HeadingLevel1-BarcRAChar35"/>
    <w:qFormat/>
    <w:rsid w:val="002611B5"/>
    <w:pPr>
      <w:spacing w:before="0"/>
    </w:pPr>
    <w:rPr>
      <w:b/>
      <w:bCs/>
      <w:color w:val="000000"/>
      <w:sz w:val="24"/>
      <w:lang w:val="la-Latn"/>
    </w:rPr>
  </w:style>
  <w:style w:type="paragraph" w:customStyle="1" w:styleId="BodyText-BarcRA73">
    <w:name w:val="Body Text - Barc RA_73"/>
    <w:link w:val="BodyText-BarcRAChar55"/>
    <w:qFormat/>
    <w:rsid w:val="005D52ED"/>
    <w:pPr>
      <w:spacing w:before="180" w:after="180"/>
      <w:jc w:val="both"/>
    </w:pPr>
    <w:rPr>
      <w:rFonts w:ascii="Expert Sans Regular" w:hAnsi="Expert Sans Regular"/>
      <w:sz w:val="18"/>
      <w:lang w:eastAsia="en-US"/>
    </w:rPr>
  </w:style>
  <w:style w:type="character" w:customStyle="1" w:styleId="BodyText-BarcRAChar55">
    <w:name w:val="Body Text - Barc RA Char_55"/>
    <w:basedOn w:val="DefaultParagraphFont"/>
    <w:link w:val="BodyText-BarcRA73"/>
    <w:rsid w:val="005D52ED"/>
    <w:rPr>
      <w:rFonts w:ascii="Expert Sans Regular" w:hAnsi="Expert Sans Regular"/>
      <w:sz w:val="18"/>
      <w:lang w:val="en-GB" w:eastAsia="en-US" w:bidi="ar-SA"/>
    </w:rPr>
  </w:style>
  <w:style w:type="character" w:customStyle="1" w:styleId="HeadingLevel1-BarcRAChar35">
    <w:name w:val="Heading Level 1 - Barc RA Char_35"/>
    <w:basedOn w:val="DefaultParagraphFont"/>
    <w:link w:val="HeadingLevel1-BarcRA48"/>
    <w:rsid w:val="009705AC"/>
    <w:rPr>
      <w:rFonts w:ascii="Expert Sans Regular" w:hAnsi="Expert Sans Regular"/>
      <w:b/>
      <w:bCs/>
      <w:color w:val="000000"/>
      <w:sz w:val="24"/>
      <w:lang w:val="la-Latn"/>
    </w:rPr>
  </w:style>
  <w:style w:type="paragraph" w:customStyle="1" w:styleId="Normal74">
    <w:name w:val="Normal_74"/>
    <w:qFormat/>
    <w:rsid w:val="009705AC"/>
    <w:rPr>
      <w:rFonts w:ascii="Expert Sans Regular" w:hAnsi="Expert Sans Regular"/>
      <w:sz w:val="18"/>
      <w:szCs w:val="24"/>
      <w:lang w:eastAsia="en-US"/>
    </w:rPr>
  </w:style>
  <w:style w:type="paragraph" w:customStyle="1" w:styleId="Normal100">
    <w:name w:val="Normal_1_0"/>
    <w:qFormat/>
    <w:rsid w:val="00317364"/>
    <w:rPr>
      <w:rFonts w:ascii="Expert Sans Regular" w:hAnsi="Expert Sans Regular"/>
      <w:sz w:val="18"/>
      <w:szCs w:val="24"/>
      <w:lang w:eastAsia="en-US"/>
    </w:rPr>
  </w:style>
  <w:style w:type="paragraph" w:customStyle="1" w:styleId="BodyText-BarcRA74">
    <w:name w:val="Body Text - Barc RA_74"/>
    <w:link w:val="BodyText-BarcRAChar56"/>
    <w:qFormat/>
    <w:rsid w:val="005D52ED"/>
    <w:pPr>
      <w:spacing w:before="180" w:after="180"/>
      <w:jc w:val="both"/>
    </w:pPr>
    <w:rPr>
      <w:rFonts w:ascii="Expert Sans Regular" w:hAnsi="Expert Sans Regular"/>
      <w:sz w:val="18"/>
      <w:lang w:eastAsia="en-US"/>
    </w:rPr>
  </w:style>
  <w:style w:type="character" w:customStyle="1" w:styleId="BodyText-BarcRAChar56">
    <w:name w:val="Body Text - Barc RA Char_56"/>
    <w:basedOn w:val="DefaultParagraphFont"/>
    <w:link w:val="BodyText-BarcRA74"/>
    <w:rsid w:val="005D52ED"/>
    <w:rPr>
      <w:rFonts w:ascii="Expert Sans Regular" w:hAnsi="Expert Sans Regular"/>
      <w:sz w:val="18"/>
      <w:lang w:val="en-GB" w:eastAsia="en-US" w:bidi="ar-SA"/>
    </w:rPr>
  </w:style>
  <w:style w:type="paragraph" w:customStyle="1" w:styleId="Normal75">
    <w:name w:val="Normal_75"/>
    <w:qFormat/>
    <w:rsid w:val="00DE0D86"/>
    <w:pPr>
      <w:spacing w:after="200" w:line="276" w:lineRule="auto"/>
    </w:pPr>
    <w:rPr>
      <w:sz w:val="22"/>
      <w:szCs w:val="22"/>
      <w:lang w:eastAsia="en-US"/>
    </w:rPr>
  </w:style>
  <w:style w:type="paragraph" w:customStyle="1" w:styleId="NoteandSourceText-BarcRA16">
    <w:name w:val="Note and Source Text - Barc RA_16"/>
    <w:basedOn w:val="Normal75"/>
    <w:qFormat/>
    <w:rsid w:val="0086702F"/>
    <w:pPr>
      <w:numPr>
        <w:numId w:val="130"/>
      </w:numPr>
      <w:tabs>
        <w:tab w:val="left" w:pos="284"/>
      </w:tabs>
      <w:spacing w:before="20" w:after="20" w:line="240" w:lineRule="auto"/>
      <w:jc w:val="both"/>
    </w:pPr>
    <w:rPr>
      <w:rFonts w:ascii="Expert Sans Regular" w:hAnsi="Expert Sans Regular"/>
      <w:i/>
      <w:iCs/>
      <w:sz w:val="14"/>
      <w:szCs w:val="14"/>
    </w:rPr>
  </w:style>
  <w:style w:type="paragraph" w:customStyle="1" w:styleId="HeadingLevel1-BarcRA49">
    <w:name w:val="Heading Level 1 - Barc RA_49"/>
    <w:basedOn w:val="BodyText-BarcRA75"/>
    <w:next w:val="BodyText-BarcRA75"/>
    <w:link w:val="HeadingLevel1-BarcRAChar36"/>
    <w:rsid w:val="002611B5"/>
    <w:pPr>
      <w:spacing w:before="0"/>
    </w:pPr>
    <w:rPr>
      <w:b/>
      <w:bCs/>
      <w:color w:val="000000"/>
      <w:sz w:val="24"/>
      <w:lang w:val="la-Latn"/>
    </w:rPr>
  </w:style>
  <w:style w:type="paragraph" w:customStyle="1" w:styleId="BodyText-BarcRA75">
    <w:name w:val="Body Text - Barc RA_75"/>
    <w:link w:val="BodyText-BarcRAChar57"/>
    <w:qFormat/>
    <w:rsid w:val="005D52ED"/>
    <w:pPr>
      <w:spacing w:before="180" w:after="180"/>
      <w:jc w:val="both"/>
    </w:pPr>
    <w:rPr>
      <w:rFonts w:ascii="Expert Sans Regular" w:hAnsi="Expert Sans Regular"/>
      <w:sz w:val="18"/>
      <w:lang w:eastAsia="en-US"/>
    </w:rPr>
  </w:style>
  <w:style w:type="character" w:customStyle="1" w:styleId="BodyText-BarcRAChar57">
    <w:name w:val="Body Text - Barc RA Char_57"/>
    <w:basedOn w:val="DefaultParagraphFont"/>
    <w:link w:val="BodyText-BarcRA75"/>
    <w:rsid w:val="005D52ED"/>
    <w:rPr>
      <w:rFonts w:ascii="Expert Sans Regular" w:hAnsi="Expert Sans Regular"/>
      <w:sz w:val="18"/>
      <w:lang w:val="en-GB" w:eastAsia="en-US" w:bidi="ar-SA"/>
    </w:rPr>
  </w:style>
  <w:style w:type="character" w:customStyle="1" w:styleId="HeadingLevel1-BarcRAChar36">
    <w:name w:val="Heading Level 1 - Barc RA Char_36"/>
    <w:basedOn w:val="DefaultParagraphFont"/>
    <w:link w:val="HeadingLevel1-BarcRA49"/>
    <w:rsid w:val="009705AC"/>
    <w:rPr>
      <w:rFonts w:ascii="Expert Sans Regular" w:hAnsi="Expert Sans Regular"/>
      <w:b/>
      <w:bCs/>
      <w:color w:val="000000"/>
      <w:sz w:val="24"/>
      <w:lang w:val="la-Latn"/>
    </w:rPr>
  </w:style>
  <w:style w:type="paragraph" w:customStyle="1" w:styleId="BodyText-BarcRA910">
    <w:name w:val="Body Text - Barc RA_91"/>
    <w:basedOn w:val="Normal76"/>
    <w:link w:val="BodyText-BarcRAChar800"/>
    <w:rsid w:val="000768F0"/>
    <w:pPr>
      <w:spacing w:before="180" w:after="180"/>
      <w:jc w:val="both"/>
    </w:pPr>
    <w:rPr>
      <w:sz w:val="20"/>
      <w:szCs w:val="20"/>
      <w:lang w:eastAsia="en-GB"/>
    </w:rPr>
  </w:style>
  <w:style w:type="paragraph" w:customStyle="1" w:styleId="Normal76">
    <w:name w:val="Normal_76"/>
    <w:qFormat/>
    <w:rsid w:val="009705AC"/>
    <w:rPr>
      <w:rFonts w:ascii="Expert Sans Regular" w:hAnsi="Expert Sans Regular"/>
      <w:sz w:val="18"/>
      <w:szCs w:val="24"/>
      <w:lang w:eastAsia="en-US"/>
    </w:rPr>
  </w:style>
  <w:style w:type="character" w:customStyle="1" w:styleId="BodyText-BarcRAChar800">
    <w:name w:val="Body Text - Barc RA Char_80"/>
    <w:basedOn w:val="DefaultParagraphFont"/>
    <w:link w:val="BodyText-BarcRA910"/>
    <w:locked/>
    <w:rsid w:val="000768F0"/>
    <w:rPr>
      <w:rFonts w:ascii="Expert Sans Regular" w:hAnsi="Expert Sans Regular"/>
    </w:rPr>
  </w:style>
  <w:style w:type="paragraph" w:customStyle="1" w:styleId="Normal77">
    <w:name w:val="Normal_77"/>
    <w:qFormat/>
    <w:rsid w:val="009705AC"/>
    <w:rPr>
      <w:rFonts w:ascii="Expert Sans Regular" w:hAnsi="Expert Sans Regular"/>
      <w:sz w:val="18"/>
      <w:szCs w:val="24"/>
      <w:lang w:eastAsia="en-US"/>
    </w:rPr>
  </w:style>
  <w:style w:type="paragraph" w:customStyle="1" w:styleId="NoteandSourceText-BarcRA150">
    <w:name w:val="Note and Source Text - Barc RA_15_0"/>
    <w:basedOn w:val="Normal77"/>
    <w:qFormat/>
    <w:rsid w:val="00AD4650"/>
    <w:pPr>
      <w:numPr>
        <w:numId w:val="131"/>
      </w:numPr>
      <w:tabs>
        <w:tab w:val="left" w:pos="284"/>
      </w:tabs>
      <w:spacing w:before="20" w:after="20"/>
      <w:jc w:val="both"/>
    </w:pPr>
    <w:rPr>
      <w:i/>
      <w:iCs/>
      <w:sz w:val="14"/>
      <w:szCs w:val="14"/>
    </w:rPr>
  </w:style>
  <w:style w:type="paragraph" w:customStyle="1" w:styleId="BodyText-BarcRA76">
    <w:name w:val="Body Text - Barc RA_76"/>
    <w:link w:val="BodyText-BarcRAChar58"/>
    <w:qFormat/>
    <w:rsid w:val="005D52ED"/>
    <w:pPr>
      <w:spacing w:before="180" w:after="180"/>
      <w:jc w:val="both"/>
    </w:pPr>
    <w:rPr>
      <w:rFonts w:ascii="Expert Sans Regular" w:hAnsi="Expert Sans Regular"/>
      <w:sz w:val="18"/>
      <w:lang w:eastAsia="en-US"/>
    </w:rPr>
  </w:style>
  <w:style w:type="character" w:customStyle="1" w:styleId="BodyText-BarcRAChar58">
    <w:name w:val="Body Text - Barc RA Char_58"/>
    <w:basedOn w:val="DefaultParagraphFont"/>
    <w:link w:val="BodyText-BarcRA76"/>
    <w:rsid w:val="005D52ED"/>
    <w:rPr>
      <w:rFonts w:ascii="Expert Sans Regular" w:hAnsi="Expert Sans Regular"/>
      <w:sz w:val="18"/>
      <w:lang w:val="en-GB" w:eastAsia="en-US" w:bidi="ar-SA"/>
    </w:rPr>
  </w:style>
  <w:style w:type="paragraph" w:customStyle="1" w:styleId="BarclaysBodyTextHeadingL1">
    <w:name w:val="Barclays Body Text Heading L1"/>
    <w:basedOn w:val="Normal78"/>
    <w:link w:val="BarclaysBodyTextHeadingL1CharChar"/>
    <w:rsid w:val="00F5136A"/>
    <w:pPr>
      <w:spacing w:after="180"/>
      <w:jc w:val="both"/>
    </w:pPr>
    <w:rPr>
      <w:rFonts w:ascii="Barclays Serif" w:hAnsi="Barclays Serif"/>
      <w:b/>
      <w:bCs/>
      <w:color w:val="000000"/>
      <w:sz w:val="24"/>
      <w:szCs w:val="20"/>
      <w:lang w:val="la-Latn"/>
    </w:rPr>
  </w:style>
  <w:style w:type="paragraph" w:customStyle="1" w:styleId="Normal78">
    <w:name w:val="Normal_78"/>
    <w:qFormat/>
    <w:rsid w:val="009705AC"/>
    <w:rPr>
      <w:rFonts w:ascii="Expert Sans Regular" w:hAnsi="Expert Sans Regular"/>
      <w:sz w:val="18"/>
      <w:szCs w:val="24"/>
      <w:lang w:eastAsia="en-US"/>
    </w:rPr>
  </w:style>
  <w:style w:type="character" w:customStyle="1" w:styleId="BarclaysBodyTextHeadingL1CharChar">
    <w:name w:val="Barclays Body Text Heading L1 Char Char"/>
    <w:basedOn w:val="DefaultParagraphFont"/>
    <w:link w:val="BarclaysBodyTextHeadingL1"/>
    <w:locked/>
    <w:rsid w:val="00F5136A"/>
    <w:rPr>
      <w:rFonts w:ascii="Barclays Serif" w:hAnsi="Barclays Serif"/>
      <w:b/>
      <w:bCs/>
      <w:color w:val="000000"/>
      <w:sz w:val="24"/>
      <w:lang w:val="la-Latn" w:eastAsia="en-US" w:bidi="ar-SA"/>
    </w:rPr>
  </w:style>
  <w:style w:type="paragraph" w:customStyle="1" w:styleId="BodyText-BarcRA77">
    <w:name w:val="Body Text - Barc RA_77"/>
    <w:link w:val="BodyText-BarcRAChar59"/>
    <w:qFormat/>
    <w:rsid w:val="005D52ED"/>
    <w:pPr>
      <w:spacing w:before="180" w:after="180"/>
      <w:jc w:val="both"/>
    </w:pPr>
    <w:rPr>
      <w:rFonts w:ascii="Expert Sans Regular" w:hAnsi="Expert Sans Regular"/>
      <w:sz w:val="18"/>
      <w:lang w:eastAsia="en-US"/>
    </w:rPr>
  </w:style>
  <w:style w:type="character" w:customStyle="1" w:styleId="BodyText-BarcRAChar59">
    <w:name w:val="Body Text - Barc RA Char_59"/>
    <w:basedOn w:val="DefaultParagraphFont"/>
    <w:link w:val="BodyText-BarcRA77"/>
    <w:rsid w:val="005D52ED"/>
    <w:rPr>
      <w:rFonts w:ascii="Expert Sans Regular" w:hAnsi="Expert Sans Regular"/>
      <w:sz w:val="18"/>
      <w:lang w:val="en-GB" w:eastAsia="en-US" w:bidi="ar-SA"/>
    </w:rPr>
  </w:style>
  <w:style w:type="paragraph" w:customStyle="1" w:styleId="HeadingLevel1-BarcRA50">
    <w:name w:val="Heading Level 1 - Barc RA_50"/>
    <w:basedOn w:val="BodyText-BarcRA78"/>
    <w:next w:val="BodyText-BarcRA78"/>
    <w:link w:val="HeadingLevel1-BarcRAChar37"/>
    <w:qFormat/>
    <w:rsid w:val="002611B5"/>
    <w:pPr>
      <w:spacing w:before="0"/>
    </w:pPr>
    <w:rPr>
      <w:b/>
      <w:bCs/>
      <w:color w:val="000000"/>
      <w:sz w:val="24"/>
      <w:lang w:val="la-Latn"/>
    </w:rPr>
  </w:style>
  <w:style w:type="paragraph" w:customStyle="1" w:styleId="BodyText-BarcRA78">
    <w:name w:val="Body Text - Barc RA_78"/>
    <w:link w:val="BodyText-BarcRAChar60"/>
    <w:qFormat/>
    <w:rsid w:val="005D52ED"/>
    <w:pPr>
      <w:spacing w:before="180" w:after="180"/>
      <w:jc w:val="both"/>
    </w:pPr>
    <w:rPr>
      <w:rFonts w:ascii="Expert Sans Regular" w:hAnsi="Expert Sans Regular"/>
      <w:sz w:val="18"/>
      <w:lang w:eastAsia="en-US"/>
    </w:rPr>
  </w:style>
  <w:style w:type="character" w:customStyle="1" w:styleId="BodyText-BarcRAChar60">
    <w:name w:val="Body Text - Barc RA Char_60"/>
    <w:basedOn w:val="DefaultParagraphFont"/>
    <w:link w:val="BodyText-BarcRA78"/>
    <w:rsid w:val="005D52ED"/>
    <w:rPr>
      <w:rFonts w:ascii="Expert Sans Regular" w:hAnsi="Expert Sans Regular"/>
      <w:sz w:val="18"/>
      <w:lang w:val="en-GB" w:eastAsia="en-US" w:bidi="ar-SA"/>
    </w:rPr>
  </w:style>
  <w:style w:type="character" w:customStyle="1" w:styleId="HeadingLevel1-BarcRAChar37">
    <w:name w:val="Heading Level 1 - Barc RA Char_37"/>
    <w:basedOn w:val="DefaultParagraphFont"/>
    <w:link w:val="HeadingLevel1-BarcRA50"/>
    <w:rsid w:val="009705AC"/>
    <w:rPr>
      <w:rFonts w:ascii="Expert Sans Regular" w:hAnsi="Expert Sans Regular"/>
      <w:b/>
      <w:bCs/>
      <w:color w:val="000000"/>
      <w:sz w:val="24"/>
      <w:lang w:val="la-Latn"/>
    </w:rPr>
  </w:style>
  <w:style w:type="paragraph" w:customStyle="1" w:styleId="Level1Bullet-BarcRA400">
    <w:name w:val="Level 1 Bullet - Barc RA_40"/>
    <w:basedOn w:val="BodyText-BarcRA78"/>
    <w:link w:val="Level1Bullet-BarcRAChar33"/>
    <w:rsid w:val="00A85CEE"/>
    <w:pPr>
      <w:numPr>
        <w:numId w:val="132"/>
      </w:numPr>
    </w:pPr>
    <w:rPr>
      <w:lang w:val="la-Latn"/>
    </w:rPr>
  </w:style>
  <w:style w:type="character" w:customStyle="1" w:styleId="Level1Bullet-BarcRAChar33">
    <w:name w:val="Level 1 Bullet - Barc RA Char_33"/>
    <w:basedOn w:val="BodyText-BarcRAChar60"/>
    <w:link w:val="Level1Bullet-BarcRA400"/>
    <w:rsid w:val="00A85CEE"/>
    <w:rPr>
      <w:rFonts w:ascii="Expert Sans Regular" w:hAnsi="Expert Sans Regular"/>
      <w:sz w:val="18"/>
      <w:lang w:val="la-Latn" w:eastAsia="en-US" w:bidi="ar-SA"/>
    </w:rPr>
  </w:style>
  <w:style w:type="paragraph" w:customStyle="1" w:styleId="HeadingLevel2-BarcRA21">
    <w:name w:val="Heading Level 2 - Barc RA_21"/>
    <w:basedOn w:val="HeadingLevel1-BarcRA51"/>
    <w:next w:val="BodyText-BarcRA79"/>
    <w:rsid w:val="00EE71E7"/>
    <w:pPr>
      <w:spacing w:before="240" w:after="0"/>
    </w:pPr>
    <w:rPr>
      <w:sz w:val="20"/>
    </w:rPr>
  </w:style>
  <w:style w:type="paragraph" w:customStyle="1" w:styleId="HeadingLevel1-BarcRA51">
    <w:name w:val="Heading Level 1 - Barc RA_51"/>
    <w:basedOn w:val="BodyText-BarcRA79"/>
    <w:next w:val="BodyText-BarcRA79"/>
    <w:link w:val="HeadingLevel1-BarcRAChar38"/>
    <w:rsid w:val="002611B5"/>
    <w:pPr>
      <w:spacing w:before="0"/>
    </w:pPr>
    <w:rPr>
      <w:b/>
      <w:bCs/>
      <w:color w:val="000000"/>
      <w:sz w:val="24"/>
      <w:lang w:val="la-Latn"/>
    </w:rPr>
  </w:style>
  <w:style w:type="paragraph" w:customStyle="1" w:styleId="BodyText-BarcRA79">
    <w:name w:val="Body Text - Barc RA_79"/>
    <w:link w:val="BodyText-BarcRAChar61"/>
    <w:qFormat/>
    <w:rsid w:val="005D52ED"/>
    <w:pPr>
      <w:spacing w:before="180" w:after="180"/>
      <w:jc w:val="both"/>
    </w:pPr>
    <w:rPr>
      <w:rFonts w:ascii="Expert Sans Regular" w:hAnsi="Expert Sans Regular"/>
      <w:sz w:val="18"/>
      <w:lang w:eastAsia="en-US"/>
    </w:rPr>
  </w:style>
  <w:style w:type="character" w:customStyle="1" w:styleId="BodyText-BarcRAChar61">
    <w:name w:val="Body Text - Barc RA Char_61"/>
    <w:basedOn w:val="DefaultParagraphFont"/>
    <w:link w:val="BodyText-BarcRA79"/>
    <w:rsid w:val="005D52ED"/>
    <w:rPr>
      <w:rFonts w:ascii="Expert Sans Regular" w:hAnsi="Expert Sans Regular"/>
      <w:sz w:val="18"/>
      <w:lang w:val="en-GB" w:eastAsia="en-US" w:bidi="ar-SA"/>
    </w:rPr>
  </w:style>
  <w:style w:type="character" w:customStyle="1" w:styleId="HeadingLevel1-BarcRAChar38">
    <w:name w:val="Heading Level 1 - Barc RA Char_38"/>
    <w:basedOn w:val="DefaultParagraphFont"/>
    <w:link w:val="HeadingLevel1-BarcRA51"/>
    <w:rsid w:val="009705AC"/>
    <w:rPr>
      <w:rFonts w:ascii="Expert Sans Regular" w:hAnsi="Expert Sans Regular"/>
      <w:b/>
      <w:bCs/>
      <w:color w:val="000000"/>
      <w:sz w:val="24"/>
      <w:lang w:val="la-Latn"/>
    </w:rPr>
  </w:style>
  <w:style w:type="paragraph" w:customStyle="1" w:styleId="BodyText-BarcRA800">
    <w:name w:val="Body Text - Barc RA_80"/>
    <w:link w:val="BodyText-BarcRAChar62"/>
    <w:qFormat/>
    <w:rsid w:val="005D52ED"/>
    <w:pPr>
      <w:spacing w:before="180" w:after="180"/>
      <w:jc w:val="both"/>
    </w:pPr>
    <w:rPr>
      <w:rFonts w:ascii="Expert Sans Regular" w:hAnsi="Expert Sans Regular"/>
      <w:sz w:val="18"/>
      <w:lang w:eastAsia="en-US"/>
    </w:rPr>
  </w:style>
  <w:style w:type="character" w:customStyle="1" w:styleId="BodyText-BarcRAChar62">
    <w:name w:val="Body Text - Barc RA Char_62"/>
    <w:basedOn w:val="DefaultParagraphFont"/>
    <w:link w:val="BodyText-BarcRA800"/>
    <w:rsid w:val="005D52ED"/>
    <w:rPr>
      <w:rFonts w:ascii="Expert Sans Regular" w:hAnsi="Expert Sans Regular"/>
      <w:sz w:val="18"/>
      <w:lang w:val="en-GB" w:eastAsia="en-US" w:bidi="ar-SA"/>
    </w:rPr>
  </w:style>
  <w:style w:type="paragraph" w:customStyle="1" w:styleId="BodyText-BarcRA81">
    <w:name w:val="Body Text - Barc RA_81"/>
    <w:link w:val="BodyText-BarcRAChar63"/>
    <w:qFormat/>
    <w:rsid w:val="005D52ED"/>
    <w:pPr>
      <w:spacing w:before="180" w:after="180"/>
      <w:jc w:val="both"/>
    </w:pPr>
    <w:rPr>
      <w:rFonts w:ascii="Expert Sans Regular" w:hAnsi="Expert Sans Regular"/>
      <w:sz w:val="18"/>
      <w:lang w:eastAsia="en-US"/>
    </w:rPr>
  </w:style>
  <w:style w:type="character" w:customStyle="1" w:styleId="BodyText-BarcRAChar63">
    <w:name w:val="Body Text - Barc RA Char_63"/>
    <w:basedOn w:val="DefaultParagraphFont"/>
    <w:link w:val="BodyText-BarcRA81"/>
    <w:rsid w:val="005D52ED"/>
    <w:rPr>
      <w:rFonts w:ascii="Expert Sans Regular" w:hAnsi="Expert Sans Regular"/>
      <w:sz w:val="18"/>
      <w:lang w:val="en-GB" w:eastAsia="en-US" w:bidi="ar-SA"/>
    </w:rPr>
  </w:style>
  <w:style w:type="paragraph" w:customStyle="1" w:styleId="BodyText-BarcRA82">
    <w:name w:val="Body Text - Barc RA_82"/>
    <w:link w:val="BodyText-BarcRAChar64"/>
    <w:qFormat/>
    <w:rsid w:val="005D52ED"/>
    <w:pPr>
      <w:spacing w:before="180" w:after="180"/>
      <w:jc w:val="both"/>
    </w:pPr>
    <w:rPr>
      <w:rFonts w:ascii="Expert Sans Regular" w:hAnsi="Expert Sans Regular"/>
      <w:sz w:val="18"/>
      <w:lang w:eastAsia="en-US"/>
    </w:rPr>
  </w:style>
  <w:style w:type="character" w:customStyle="1" w:styleId="BodyText-BarcRAChar64">
    <w:name w:val="Body Text - Barc RA Char_64"/>
    <w:basedOn w:val="DefaultParagraphFont"/>
    <w:link w:val="BodyText-BarcRA82"/>
    <w:rsid w:val="005D52ED"/>
    <w:rPr>
      <w:rFonts w:ascii="Expert Sans Regular" w:hAnsi="Expert Sans Regular"/>
      <w:sz w:val="18"/>
      <w:lang w:val="en-GB" w:eastAsia="en-US" w:bidi="ar-SA"/>
    </w:rPr>
  </w:style>
  <w:style w:type="paragraph" w:customStyle="1" w:styleId="BodyText-BarcRA89">
    <w:name w:val="Body Text - Barc RA_89"/>
    <w:basedOn w:val="Normal79"/>
    <w:link w:val="BodyText-BarcRAChar68"/>
    <w:rsid w:val="00264B84"/>
    <w:pPr>
      <w:spacing w:before="180" w:after="180"/>
      <w:jc w:val="both"/>
    </w:pPr>
    <w:rPr>
      <w:sz w:val="20"/>
      <w:szCs w:val="20"/>
      <w:lang w:eastAsia="en-GB"/>
    </w:rPr>
  </w:style>
  <w:style w:type="paragraph" w:customStyle="1" w:styleId="Normal79">
    <w:name w:val="Normal_79"/>
    <w:qFormat/>
    <w:rsid w:val="009705AC"/>
    <w:rPr>
      <w:rFonts w:ascii="Expert Sans Regular" w:hAnsi="Expert Sans Regular"/>
      <w:sz w:val="18"/>
      <w:szCs w:val="24"/>
      <w:lang w:eastAsia="en-US"/>
    </w:rPr>
  </w:style>
  <w:style w:type="character" w:customStyle="1" w:styleId="BodyText-BarcRAChar68">
    <w:name w:val="Body Text - Barc RA Char_68"/>
    <w:basedOn w:val="DefaultParagraphFont"/>
    <w:link w:val="BodyText-BarcRA89"/>
    <w:locked/>
    <w:rsid w:val="00264B84"/>
    <w:rPr>
      <w:rFonts w:ascii="Expert Sans Regular" w:hAnsi="Expert Sans Regular"/>
    </w:rPr>
  </w:style>
  <w:style w:type="paragraph" w:styleId="NormalWeb">
    <w:name w:val="Normal (Web)"/>
    <w:basedOn w:val="Normal79"/>
    <w:uiPriority w:val="99"/>
    <w:semiHidden/>
    <w:rsid w:val="00B67D15"/>
    <w:pPr>
      <w:spacing w:before="100" w:beforeAutospacing="1" w:after="100" w:afterAutospacing="1"/>
    </w:pPr>
    <w:rPr>
      <w:rFonts w:ascii="Times New Roman" w:hAnsi="Times New Roman"/>
      <w:sz w:val="24"/>
      <w:lang w:val="en-US"/>
    </w:rPr>
  </w:style>
  <w:style w:type="paragraph" w:customStyle="1" w:styleId="HeadingLevel1-BarcRA52">
    <w:name w:val="Heading Level 1 - Barc RA_52"/>
    <w:basedOn w:val="BodyText-BarcRA83"/>
    <w:next w:val="BodyText-BarcRA83"/>
    <w:link w:val="HeadingLevel1-BarcRAChar39"/>
    <w:rsid w:val="002611B5"/>
    <w:pPr>
      <w:spacing w:before="0"/>
    </w:pPr>
    <w:rPr>
      <w:b/>
      <w:bCs/>
      <w:color w:val="000000"/>
      <w:sz w:val="24"/>
      <w:lang w:val="la-Latn"/>
    </w:rPr>
  </w:style>
  <w:style w:type="paragraph" w:customStyle="1" w:styleId="BodyText-BarcRA83">
    <w:name w:val="Body Text - Barc RA_83"/>
    <w:link w:val="BodyText-BarcRAChar65"/>
    <w:qFormat/>
    <w:rsid w:val="005D52ED"/>
    <w:pPr>
      <w:spacing w:before="180" w:after="180"/>
      <w:jc w:val="both"/>
    </w:pPr>
    <w:rPr>
      <w:rFonts w:ascii="Expert Sans Regular" w:hAnsi="Expert Sans Regular"/>
      <w:sz w:val="18"/>
      <w:lang w:eastAsia="en-US"/>
    </w:rPr>
  </w:style>
  <w:style w:type="character" w:customStyle="1" w:styleId="BodyText-BarcRAChar65">
    <w:name w:val="Body Text - Barc RA Char_65"/>
    <w:basedOn w:val="DefaultParagraphFont"/>
    <w:link w:val="BodyText-BarcRA83"/>
    <w:rsid w:val="005D52ED"/>
    <w:rPr>
      <w:rFonts w:ascii="Expert Sans Regular" w:hAnsi="Expert Sans Regular"/>
      <w:sz w:val="18"/>
      <w:lang w:val="en-GB" w:eastAsia="en-US" w:bidi="ar-SA"/>
    </w:rPr>
  </w:style>
  <w:style w:type="character" w:customStyle="1" w:styleId="HeadingLevel1-BarcRAChar39">
    <w:name w:val="Heading Level 1 - Barc RA Char_39"/>
    <w:basedOn w:val="DefaultParagraphFont"/>
    <w:link w:val="HeadingLevel1-BarcRA52"/>
    <w:rsid w:val="009705AC"/>
    <w:rPr>
      <w:rFonts w:ascii="Expert Sans Regular" w:hAnsi="Expert Sans Regular"/>
      <w:b/>
      <w:bCs/>
      <w:color w:val="000000"/>
      <w:sz w:val="24"/>
      <w:lang w:val="la-Latn"/>
    </w:rPr>
  </w:style>
  <w:style w:type="paragraph" w:customStyle="1" w:styleId="BodyText-BarcRA110">
    <w:name w:val="Body Text - Barc RA_1_1"/>
    <w:link w:val="BodyText-BarcRAChar110"/>
    <w:qFormat/>
    <w:rsid w:val="003835C0"/>
    <w:pPr>
      <w:spacing w:before="180" w:after="180"/>
      <w:jc w:val="both"/>
    </w:pPr>
    <w:rPr>
      <w:rFonts w:ascii="Expert Sans Regular" w:hAnsi="Expert Sans Regular"/>
      <w:sz w:val="18"/>
      <w:lang w:eastAsia="en-US"/>
    </w:rPr>
  </w:style>
  <w:style w:type="character" w:customStyle="1" w:styleId="BodyText-BarcRAChar110">
    <w:name w:val="Body Text - Barc RA Char_1_1"/>
    <w:basedOn w:val="DefaultParagraphFont"/>
    <w:link w:val="BodyText-BarcRA110"/>
    <w:rsid w:val="003835C0"/>
    <w:rPr>
      <w:rFonts w:ascii="Expert Sans Regular" w:hAnsi="Expert Sans Regular"/>
      <w:sz w:val="18"/>
      <w:lang w:val="en-GB" w:eastAsia="en-US" w:bidi="ar-SA"/>
    </w:rPr>
  </w:style>
  <w:style w:type="paragraph" w:customStyle="1" w:styleId="HeadingLevel1-BarcRA53">
    <w:name w:val="Heading Level 1 - Barc RA_53"/>
    <w:basedOn w:val="BodyText-BarcRA84"/>
    <w:next w:val="BodyText-BarcRA84"/>
    <w:link w:val="HeadingLevel1-BarcRAChar40"/>
    <w:rsid w:val="002611B5"/>
    <w:pPr>
      <w:spacing w:before="0"/>
    </w:pPr>
    <w:rPr>
      <w:b/>
      <w:bCs/>
      <w:color w:val="000000"/>
      <w:sz w:val="24"/>
      <w:lang w:val="la-Latn"/>
    </w:rPr>
  </w:style>
  <w:style w:type="paragraph" w:customStyle="1" w:styleId="BodyText-BarcRA84">
    <w:name w:val="Body Text - Barc RA_84"/>
    <w:link w:val="BodyText-BarcRAChar66"/>
    <w:qFormat/>
    <w:rsid w:val="005D52ED"/>
    <w:pPr>
      <w:spacing w:before="180" w:after="180"/>
      <w:jc w:val="both"/>
    </w:pPr>
    <w:rPr>
      <w:rFonts w:ascii="Expert Sans Regular" w:hAnsi="Expert Sans Regular"/>
      <w:sz w:val="18"/>
      <w:lang w:eastAsia="en-US"/>
    </w:rPr>
  </w:style>
  <w:style w:type="character" w:customStyle="1" w:styleId="BodyText-BarcRAChar66">
    <w:name w:val="Body Text - Barc RA Char_66"/>
    <w:basedOn w:val="DefaultParagraphFont"/>
    <w:link w:val="BodyText-BarcRA84"/>
    <w:rsid w:val="005D52ED"/>
    <w:rPr>
      <w:rFonts w:ascii="Expert Sans Regular" w:hAnsi="Expert Sans Regular"/>
      <w:sz w:val="18"/>
      <w:lang w:val="en-GB" w:eastAsia="en-US" w:bidi="ar-SA"/>
    </w:rPr>
  </w:style>
  <w:style w:type="character" w:customStyle="1" w:styleId="HeadingLevel1-BarcRAChar40">
    <w:name w:val="Heading Level 1 - Barc RA Char_40"/>
    <w:basedOn w:val="DefaultParagraphFont"/>
    <w:link w:val="HeadingLevel1-BarcRA53"/>
    <w:rsid w:val="009705AC"/>
    <w:rPr>
      <w:rFonts w:ascii="Expert Sans Regular" w:hAnsi="Expert Sans Regular"/>
      <w:b/>
      <w:bCs/>
      <w:color w:val="000000"/>
      <w:sz w:val="24"/>
      <w:lang w:val="la-Latn"/>
    </w:rPr>
  </w:style>
  <w:style w:type="paragraph" w:customStyle="1" w:styleId="HeadingLevel1-BarcRA54">
    <w:name w:val="Heading Level 1 - Barc RA_54"/>
    <w:basedOn w:val="BodyText-BarcRA85"/>
    <w:next w:val="BodyText-BarcRA85"/>
    <w:link w:val="HeadingLevel1-BarcRAChar41"/>
    <w:rsid w:val="002611B5"/>
    <w:pPr>
      <w:spacing w:before="0"/>
    </w:pPr>
    <w:rPr>
      <w:b/>
      <w:bCs/>
      <w:color w:val="000000"/>
      <w:sz w:val="24"/>
      <w:lang w:val="la-Latn"/>
    </w:rPr>
  </w:style>
  <w:style w:type="paragraph" w:customStyle="1" w:styleId="BodyText-BarcRA85">
    <w:name w:val="Body Text - Barc RA_85"/>
    <w:link w:val="BodyText-BarcRAChar67"/>
    <w:qFormat/>
    <w:rsid w:val="005D52ED"/>
    <w:pPr>
      <w:spacing w:before="180" w:after="180"/>
      <w:jc w:val="both"/>
    </w:pPr>
    <w:rPr>
      <w:rFonts w:ascii="Expert Sans Regular" w:hAnsi="Expert Sans Regular"/>
      <w:sz w:val="18"/>
      <w:lang w:eastAsia="en-US"/>
    </w:rPr>
  </w:style>
  <w:style w:type="character" w:customStyle="1" w:styleId="BodyText-BarcRAChar67">
    <w:name w:val="Body Text - Barc RA Char_67"/>
    <w:basedOn w:val="DefaultParagraphFont"/>
    <w:link w:val="BodyText-BarcRA85"/>
    <w:rsid w:val="005D52ED"/>
    <w:rPr>
      <w:rFonts w:ascii="Expert Sans Regular" w:hAnsi="Expert Sans Regular"/>
      <w:sz w:val="18"/>
      <w:lang w:val="en-GB" w:eastAsia="en-US" w:bidi="ar-SA"/>
    </w:rPr>
  </w:style>
  <w:style w:type="character" w:customStyle="1" w:styleId="HeadingLevel1-BarcRAChar41">
    <w:name w:val="Heading Level 1 - Barc RA Char_41"/>
    <w:basedOn w:val="DefaultParagraphFont"/>
    <w:link w:val="HeadingLevel1-BarcRA54"/>
    <w:rsid w:val="009705AC"/>
    <w:rPr>
      <w:rFonts w:ascii="Expert Sans Regular" w:hAnsi="Expert Sans Regular"/>
      <w:b/>
      <w:bCs/>
      <w:color w:val="000000"/>
      <w:sz w:val="24"/>
      <w:lang w:val="la-Latn"/>
    </w:rPr>
  </w:style>
  <w:style w:type="paragraph" w:customStyle="1" w:styleId="HeadingLevel2-BarcRA22">
    <w:name w:val="Heading Level 2 - Barc RA_22"/>
    <w:basedOn w:val="HeadingLevel1-BarcRA54"/>
    <w:next w:val="BodyText-BarcRA85"/>
    <w:rsid w:val="00EE71E7"/>
    <w:pPr>
      <w:spacing w:before="240" w:after="0"/>
    </w:pPr>
    <w:rPr>
      <w:sz w:val="20"/>
    </w:rPr>
  </w:style>
  <w:style w:type="paragraph" w:customStyle="1" w:styleId="HeadingLevel2-BarcRA23">
    <w:name w:val="Heading Level 2 - Barc RA_23"/>
    <w:basedOn w:val="HeadingLevel1-BarcRA55"/>
    <w:next w:val="BodyText-BarcRA86"/>
    <w:rsid w:val="00EE71E7"/>
    <w:pPr>
      <w:spacing w:before="240" w:after="0"/>
    </w:pPr>
    <w:rPr>
      <w:sz w:val="20"/>
    </w:rPr>
  </w:style>
  <w:style w:type="paragraph" w:customStyle="1" w:styleId="HeadingLevel1-BarcRA55">
    <w:name w:val="Heading Level 1 - Barc RA_55"/>
    <w:basedOn w:val="BodyText-BarcRA86"/>
    <w:next w:val="BodyText-BarcRA86"/>
    <w:link w:val="HeadingLevel1-BarcRAChar42"/>
    <w:rsid w:val="002611B5"/>
    <w:pPr>
      <w:spacing w:before="0"/>
    </w:pPr>
    <w:rPr>
      <w:b/>
      <w:bCs/>
      <w:color w:val="000000"/>
      <w:sz w:val="24"/>
      <w:lang w:val="la-Latn"/>
    </w:rPr>
  </w:style>
  <w:style w:type="paragraph" w:customStyle="1" w:styleId="BodyText-BarcRA86">
    <w:name w:val="Body Text - Barc RA_86"/>
    <w:link w:val="BodyText-BarcRAChar69"/>
    <w:qFormat/>
    <w:rsid w:val="005D52ED"/>
    <w:pPr>
      <w:spacing w:before="180" w:after="180"/>
      <w:jc w:val="both"/>
    </w:pPr>
    <w:rPr>
      <w:rFonts w:ascii="Expert Sans Regular" w:hAnsi="Expert Sans Regular"/>
      <w:sz w:val="18"/>
      <w:lang w:eastAsia="en-US"/>
    </w:rPr>
  </w:style>
  <w:style w:type="character" w:customStyle="1" w:styleId="BodyText-BarcRAChar69">
    <w:name w:val="Body Text - Barc RA Char_69"/>
    <w:basedOn w:val="DefaultParagraphFont"/>
    <w:link w:val="BodyText-BarcRA86"/>
    <w:rsid w:val="005D52ED"/>
    <w:rPr>
      <w:rFonts w:ascii="Expert Sans Regular" w:hAnsi="Expert Sans Regular"/>
      <w:sz w:val="18"/>
      <w:lang w:val="en-GB" w:eastAsia="en-US" w:bidi="ar-SA"/>
    </w:rPr>
  </w:style>
  <w:style w:type="character" w:customStyle="1" w:styleId="HeadingLevel1-BarcRAChar42">
    <w:name w:val="Heading Level 1 - Barc RA Char_42"/>
    <w:basedOn w:val="DefaultParagraphFont"/>
    <w:link w:val="HeadingLevel1-BarcRA55"/>
    <w:rsid w:val="009705AC"/>
    <w:rPr>
      <w:rFonts w:ascii="Expert Sans Regular" w:hAnsi="Expert Sans Regular"/>
      <w:b/>
      <w:bCs/>
      <w:color w:val="000000"/>
      <w:sz w:val="24"/>
      <w:lang w:val="la-Latn"/>
    </w:rPr>
  </w:style>
  <w:style w:type="paragraph" w:customStyle="1" w:styleId="HeadingLevel2-BarcRA24">
    <w:name w:val="Heading Level 2 - Barc RA_24"/>
    <w:basedOn w:val="HeadingLevel1-BarcRA56"/>
    <w:next w:val="BodyText-BarcRA87"/>
    <w:rsid w:val="00EE71E7"/>
    <w:pPr>
      <w:spacing w:before="240" w:after="0"/>
    </w:pPr>
    <w:rPr>
      <w:sz w:val="20"/>
    </w:rPr>
  </w:style>
  <w:style w:type="paragraph" w:customStyle="1" w:styleId="HeadingLevel1-BarcRA56">
    <w:name w:val="Heading Level 1 - Barc RA_56"/>
    <w:basedOn w:val="BodyText-BarcRA87"/>
    <w:next w:val="BodyText-BarcRA87"/>
    <w:link w:val="HeadingLevel1-BarcRAChar43"/>
    <w:rsid w:val="002611B5"/>
    <w:pPr>
      <w:spacing w:before="0"/>
    </w:pPr>
    <w:rPr>
      <w:b/>
      <w:bCs/>
      <w:color w:val="000000"/>
      <w:sz w:val="24"/>
      <w:lang w:val="la-Latn"/>
    </w:rPr>
  </w:style>
  <w:style w:type="paragraph" w:customStyle="1" w:styleId="BodyText-BarcRA87">
    <w:name w:val="Body Text - Barc RA_87"/>
    <w:link w:val="BodyText-BarcRAChar70"/>
    <w:qFormat/>
    <w:rsid w:val="005D52ED"/>
    <w:pPr>
      <w:spacing w:before="180" w:after="180"/>
      <w:jc w:val="both"/>
    </w:pPr>
    <w:rPr>
      <w:rFonts w:ascii="Expert Sans Regular" w:hAnsi="Expert Sans Regular"/>
      <w:sz w:val="18"/>
      <w:lang w:eastAsia="en-US"/>
    </w:rPr>
  </w:style>
  <w:style w:type="character" w:customStyle="1" w:styleId="BodyText-BarcRAChar70">
    <w:name w:val="Body Text - Barc RA Char_70"/>
    <w:basedOn w:val="DefaultParagraphFont"/>
    <w:link w:val="BodyText-BarcRA87"/>
    <w:rsid w:val="005D52ED"/>
    <w:rPr>
      <w:rFonts w:ascii="Expert Sans Regular" w:hAnsi="Expert Sans Regular"/>
      <w:sz w:val="18"/>
      <w:lang w:val="en-GB" w:eastAsia="en-US" w:bidi="ar-SA"/>
    </w:rPr>
  </w:style>
  <w:style w:type="character" w:customStyle="1" w:styleId="HeadingLevel1-BarcRAChar43">
    <w:name w:val="Heading Level 1 - Barc RA Char_43"/>
    <w:basedOn w:val="DefaultParagraphFont"/>
    <w:link w:val="HeadingLevel1-BarcRA56"/>
    <w:rsid w:val="009705AC"/>
    <w:rPr>
      <w:rFonts w:ascii="Expert Sans Regular" w:hAnsi="Expert Sans Regular"/>
      <w:b/>
      <w:bCs/>
      <w:color w:val="000000"/>
      <w:sz w:val="24"/>
      <w:lang w:val="la-Latn"/>
    </w:rPr>
  </w:style>
  <w:style w:type="paragraph" w:customStyle="1" w:styleId="HeadingLevel2-BarcRA25">
    <w:name w:val="Heading Level 2 - Barc RA_25"/>
    <w:basedOn w:val="HeadingLevel1-BarcRA57"/>
    <w:next w:val="BodyText-BarcRA88"/>
    <w:rsid w:val="00EE71E7"/>
    <w:pPr>
      <w:spacing w:before="240" w:after="0"/>
    </w:pPr>
    <w:rPr>
      <w:sz w:val="20"/>
    </w:rPr>
  </w:style>
  <w:style w:type="paragraph" w:customStyle="1" w:styleId="HeadingLevel1-BarcRA57">
    <w:name w:val="Heading Level 1 - Barc RA_57"/>
    <w:basedOn w:val="BodyText-BarcRA88"/>
    <w:next w:val="BodyText-BarcRA88"/>
    <w:link w:val="HeadingLevel1-BarcRAChar44"/>
    <w:rsid w:val="002611B5"/>
    <w:pPr>
      <w:spacing w:before="0"/>
    </w:pPr>
    <w:rPr>
      <w:b/>
      <w:bCs/>
      <w:color w:val="000000"/>
      <w:sz w:val="24"/>
      <w:lang w:val="la-Latn"/>
    </w:rPr>
  </w:style>
  <w:style w:type="paragraph" w:customStyle="1" w:styleId="BodyText-BarcRA88">
    <w:name w:val="Body Text - Barc RA_88"/>
    <w:link w:val="BodyText-BarcRAChar71"/>
    <w:qFormat/>
    <w:rsid w:val="005D52ED"/>
    <w:pPr>
      <w:spacing w:before="180" w:after="180"/>
      <w:jc w:val="both"/>
    </w:pPr>
    <w:rPr>
      <w:rFonts w:ascii="Expert Sans Regular" w:hAnsi="Expert Sans Regular"/>
      <w:sz w:val="18"/>
      <w:lang w:eastAsia="en-US"/>
    </w:rPr>
  </w:style>
  <w:style w:type="character" w:customStyle="1" w:styleId="BodyText-BarcRAChar71">
    <w:name w:val="Body Text - Barc RA Char_71"/>
    <w:basedOn w:val="DefaultParagraphFont"/>
    <w:link w:val="BodyText-BarcRA88"/>
    <w:rsid w:val="005D52ED"/>
    <w:rPr>
      <w:rFonts w:ascii="Expert Sans Regular" w:hAnsi="Expert Sans Regular"/>
      <w:sz w:val="18"/>
      <w:lang w:val="en-GB" w:eastAsia="en-US" w:bidi="ar-SA"/>
    </w:rPr>
  </w:style>
  <w:style w:type="character" w:customStyle="1" w:styleId="HeadingLevel1-BarcRAChar44">
    <w:name w:val="Heading Level 1 - Barc RA Char_44"/>
    <w:basedOn w:val="DefaultParagraphFont"/>
    <w:link w:val="HeadingLevel1-BarcRA57"/>
    <w:rsid w:val="009705AC"/>
    <w:rPr>
      <w:rFonts w:ascii="Expert Sans Regular" w:hAnsi="Expert Sans Regular"/>
      <w:b/>
      <w:bCs/>
      <w:color w:val="000000"/>
      <w:sz w:val="24"/>
      <w:lang w:val="la-Latn"/>
    </w:rPr>
  </w:style>
  <w:style w:type="paragraph" w:customStyle="1" w:styleId="HeadingLevel2-BarcRA26">
    <w:name w:val="Heading Level 2 - Barc RA_26"/>
    <w:basedOn w:val="HeadingLevel1-BarcRA58"/>
    <w:next w:val="BodyText-BarcRA90"/>
    <w:rsid w:val="00EE71E7"/>
    <w:pPr>
      <w:spacing w:before="240" w:after="0"/>
    </w:pPr>
    <w:rPr>
      <w:sz w:val="20"/>
    </w:rPr>
  </w:style>
  <w:style w:type="paragraph" w:customStyle="1" w:styleId="HeadingLevel1-BarcRA58">
    <w:name w:val="Heading Level 1 - Barc RA_58"/>
    <w:basedOn w:val="BodyText-BarcRA90"/>
    <w:next w:val="BodyText-BarcRA90"/>
    <w:link w:val="HeadingLevel1-BarcRAChar45"/>
    <w:rsid w:val="002611B5"/>
    <w:pPr>
      <w:spacing w:before="0"/>
    </w:pPr>
    <w:rPr>
      <w:b/>
      <w:bCs/>
      <w:color w:val="000000"/>
      <w:sz w:val="24"/>
      <w:lang w:val="la-Latn"/>
    </w:rPr>
  </w:style>
  <w:style w:type="paragraph" w:customStyle="1" w:styleId="BodyText-BarcRA90">
    <w:name w:val="Body Text - Barc RA_90"/>
    <w:link w:val="BodyText-BarcRAChar72"/>
    <w:qFormat/>
    <w:rsid w:val="005D52ED"/>
    <w:pPr>
      <w:spacing w:before="180" w:after="180"/>
      <w:jc w:val="both"/>
    </w:pPr>
    <w:rPr>
      <w:rFonts w:ascii="Expert Sans Regular" w:hAnsi="Expert Sans Regular"/>
      <w:sz w:val="18"/>
      <w:lang w:eastAsia="en-US"/>
    </w:rPr>
  </w:style>
  <w:style w:type="character" w:customStyle="1" w:styleId="BodyText-BarcRAChar72">
    <w:name w:val="Body Text - Barc RA Char_72"/>
    <w:basedOn w:val="DefaultParagraphFont"/>
    <w:link w:val="BodyText-BarcRA90"/>
    <w:rsid w:val="005D52ED"/>
    <w:rPr>
      <w:rFonts w:ascii="Expert Sans Regular" w:hAnsi="Expert Sans Regular"/>
      <w:sz w:val="18"/>
      <w:lang w:val="en-GB" w:eastAsia="en-US" w:bidi="ar-SA"/>
    </w:rPr>
  </w:style>
  <w:style w:type="character" w:customStyle="1" w:styleId="HeadingLevel1-BarcRAChar45">
    <w:name w:val="Heading Level 1 - Barc RA Char_45"/>
    <w:basedOn w:val="DefaultParagraphFont"/>
    <w:link w:val="HeadingLevel1-BarcRA58"/>
    <w:rsid w:val="009705AC"/>
    <w:rPr>
      <w:rFonts w:ascii="Expert Sans Regular" w:hAnsi="Expert Sans Regular"/>
      <w:b/>
      <w:bCs/>
      <w:color w:val="000000"/>
      <w:sz w:val="24"/>
      <w:lang w:val="la-Latn"/>
    </w:rPr>
  </w:style>
  <w:style w:type="paragraph" w:customStyle="1" w:styleId="HeadingLevel1-BarcRA59">
    <w:name w:val="Heading Level 1 - Barc RA_59"/>
    <w:basedOn w:val="BodyText-BarcRA92"/>
    <w:next w:val="BodyText-BarcRA92"/>
    <w:link w:val="HeadingLevel1-BarcRAChar46"/>
    <w:qFormat/>
    <w:rsid w:val="002611B5"/>
    <w:pPr>
      <w:spacing w:before="0"/>
    </w:pPr>
    <w:rPr>
      <w:b/>
      <w:bCs/>
      <w:color w:val="000000"/>
      <w:sz w:val="24"/>
      <w:lang w:val="la-Latn"/>
    </w:rPr>
  </w:style>
  <w:style w:type="paragraph" w:customStyle="1" w:styleId="BodyText-BarcRA92">
    <w:name w:val="Body Text - Barc RA_92"/>
    <w:link w:val="BodyText-BarcRAChar73"/>
    <w:qFormat/>
    <w:rsid w:val="005D52ED"/>
    <w:pPr>
      <w:spacing w:before="180" w:after="180"/>
      <w:jc w:val="both"/>
    </w:pPr>
    <w:rPr>
      <w:rFonts w:ascii="Expert Sans Regular" w:hAnsi="Expert Sans Regular"/>
      <w:sz w:val="18"/>
      <w:lang w:eastAsia="en-US"/>
    </w:rPr>
  </w:style>
  <w:style w:type="character" w:customStyle="1" w:styleId="BodyText-BarcRAChar73">
    <w:name w:val="Body Text - Barc RA Char_73"/>
    <w:basedOn w:val="DefaultParagraphFont"/>
    <w:link w:val="BodyText-BarcRA92"/>
    <w:rsid w:val="005D52ED"/>
    <w:rPr>
      <w:rFonts w:ascii="Expert Sans Regular" w:hAnsi="Expert Sans Regular"/>
      <w:sz w:val="18"/>
      <w:lang w:val="en-GB" w:eastAsia="en-US" w:bidi="ar-SA"/>
    </w:rPr>
  </w:style>
  <w:style w:type="character" w:customStyle="1" w:styleId="HeadingLevel1-BarcRAChar46">
    <w:name w:val="Heading Level 1 - Barc RA Char_46"/>
    <w:basedOn w:val="DefaultParagraphFont"/>
    <w:link w:val="HeadingLevel1-BarcRA59"/>
    <w:rsid w:val="009705AC"/>
    <w:rPr>
      <w:rFonts w:ascii="Expert Sans Regular" w:hAnsi="Expert Sans Regular"/>
      <w:b/>
      <w:bCs/>
      <w:color w:val="000000"/>
      <w:sz w:val="24"/>
      <w:lang w:val="la-Latn"/>
    </w:rPr>
  </w:style>
  <w:style w:type="paragraph" w:customStyle="1" w:styleId="HeadingLevel2-BarcRA28">
    <w:name w:val="Heading Level 2 - Barc RA_28"/>
    <w:basedOn w:val="Normal80"/>
    <w:next w:val="BodyText-BarcRA920"/>
    <w:qFormat/>
    <w:rsid w:val="00785DBE"/>
    <w:pPr>
      <w:spacing w:before="240"/>
      <w:jc w:val="both"/>
    </w:pPr>
    <w:rPr>
      <w:b/>
      <w:bCs/>
      <w:color w:val="000000"/>
      <w:sz w:val="20"/>
      <w:szCs w:val="20"/>
      <w:lang w:val="la-Latn"/>
    </w:rPr>
  </w:style>
  <w:style w:type="paragraph" w:customStyle="1" w:styleId="Normal80">
    <w:name w:val="Normal_80"/>
    <w:qFormat/>
    <w:rsid w:val="009705AC"/>
    <w:rPr>
      <w:rFonts w:ascii="Expert Sans Regular" w:hAnsi="Expert Sans Regular"/>
      <w:sz w:val="18"/>
      <w:szCs w:val="24"/>
      <w:lang w:eastAsia="en-US"/>
    </w:rPr>
  </w:style>
  <w:style w:type="paragraph" w:customStyle="1" w:styleId="BodyText-BarcRA920">
    <w:name w:val="Body Text - Barc RA_92_0"/>
    <w:link w:val="BodyText-BarcRAChar76"/>
    <w:qFormat/>
    <w:rsid w:val="00785DBE"/>
    <w:pPr>
      <w:spacing w:before="180" w:after="180"/>
      <w:jc w:val="both"/>
    </w:pPr>
    <w:rPr>
      <w:rFonts w:ascii="Expert Sans Regular" w:hAnsi="Expert Sans Regular"/>
      <w:sz w:val="18"/>
    </w:rPr>
  </w:style>
  <w:style w:type="character" w:customStyle="1" w:styleId="BodyText-BarcRAChar76">
    <w:name w:val="Body Text - Barc RA Char_76"/>
    <w:basedOn w:val="DefaultParagraphFont"/>
    <w:link w:val="BodyText-BarcRA920"/>
    <w:locked/>
    <w:rsid w:val="00785DBE"/>
    <w:rPr>
      <w:rFonts w:ascii="Expert Sans Regular" w:hAnsi="Expert Sans Regular"/>
      <w:sz w:val="18"/>
      <w:lang w:val="en-GB" w:eastAsia="en-GB" w:bidi="ar-SA"/>
    </w:rPr>
  </w:style>
  <w:style w:type="paragraph" w:customStyle="1" w:styleId="HeadingLevel1-BarcRA60">
    <w:name w:val="Heading Level 1 - Barc RA_60"/>
    <w:basedOn w:val="BodyText-BarcRA93"/>
    <w:next w:val="BodyText-BarcRA93"/>
    <w:link w:val="HeadingLevel1-BarcRAChar47"/>
    <w:qFormat/>
    <w:rsid w:val="002611B5"/>
    <w:pPr>
      <w:spacing w:before="0"/>
    </w:pPr>
    <w:rPr>
      <w:b/>
      <w:bCs/>
      <w:color w:val="000000"/>
      <w:sz w:val="24"/>
      <w:lang w:val="la-Latn"/>
    </w:rPr>
  </w:style>
  <w:style w:type="paragraph" w:customStyle="1" w:styleId="BodyText-BarcRA93">
    <w:name w:val="Body Text - Barc RA_93"/>
    <w:link w:val="BodyText-BarcRAChar74"/>
    <w:qFormat/>
    <w:rsid w:val="005D52ED"/>
    <w:pPr>
      <w:spacing w:before="180" w:after="180"/>
      <w:jc w:val="both"/>
    </w:pPr>
    <w:rPr>
      <w:rFonts w:ascii="Expert Sans Regular" w:hAnsi="Expert Sans Regular"/>
      <w:sz w:val="18"/>
      <w:lang w:eastAsia="en-US"/>
    </w:rPr>
  </w:style>
  <w:style w:type="character" w:customStyle="1" w:styleId="BodyText-BarcRAChar74">
    <w:name w:val="Body Text - Barc RA Char_74"/>
    <w:basedOn w:val="DefaultParagraphFont"/>
    <w:link w:val="BodyText-BarcRA93"/>
    <w:rsid w:val="005D52ED"/>
    <w:rPr>
      <w:rFonts w:ascii="Expert Sans Regular" w:hAnsi="Expert Sans Regular"/>
      <w:sz w:val="18"/>
      <w:lang w:val="en-GB" w:eastAsia="en-US" w:bidi="ar-SA"/>
    </w:rPr>
  </w:style>
  <w:style w:type="character" w:customStyle="1" w:styleId="HeadingLevel1-BarcRAChar47">
    <w:name w:val="Heading Level 1 - Barc RA Char_47"/>
    <w:basedOn w:val="DefaultParagraphFont"/>
    <w:link w:val="HeadingLevel1-BarcRA60"/>
    <w:rsid w:val="009705AC"/>
    <w:rPr>
      <w:rFonts w:ascii="Expert Sans Regular" w:hAnsi="Expert Sans Regular"/>
      <w:b/>
      <w:bCs/>
      <w:color w:val="000000"/>
      <w:sz w:val="24"/>
      <w:lang w:val="la-Latn"/>
    </w:rPr>
  </w:style>
  <w:style w:type="paragraph" w:customStyle="1" w:styleId="HeadingLevel1-BarcRA61">
    <w:name w:val="Heading Level 1 - Barc RA_61"/>
    <w:basedOn w:val="BodyText-BarcRA94"/>
    <w:next w:val="BodyText-BarcRA94"/>
    <w:link w:val="HeadingLevel1-BarcRAChar48"/>
    <w:rsid w:val="002611B5"/>
    <w:pPr>
      <w:spacing w:before="0"/>
    </w:pPr>
    <w:rPr>
      <w:b/>
      <w:bCs/>
      <w:color w:val="000000"/>
      <w:sz w:val="24"/>
      <w:lang w:val="la-Latn"/>
    </w:rPr>
  </w:style>
  <w:style w:type="paragraph" w:customStyle="1" w:styleId="BodyText-BarcRA94">
    <w:name w:val="Body Text - Barc RA_94"/>
    <w:link w:val="BodyText-BarcRAChar75"/>
    <w:qFormat/>
    <w:rsid w:val="005D52ED"/>
    <w:pPr>
      <w:spacing w:before="180" w:after="180"/>
      <w:jc w:val="both"/>
    </w:pPr>
    <w:rPr>
      <w:rFonts w:ascii="Expert Sans Regular" w:hAnsi="Expert Sans Regular"/>
      <w:sz w:val="18"/>
      <w:lang w:eastAsia="en-US"/>
    </w:rPr>
  </w:style>
  <w:style w:type="character" w:customStyle="1" w:styleId="BodyText-BarcRAChar75">
    <w:name w:val="Body Text - Barc RA Char_75"/>
    <w:basedOn w:val="DefaultParagraphFont"/>
    <w:link w:val="BodyText-BarcRA94"/>
    <w:rsid w:val="005D52ED"/>
    <w:rPr>
      <w:rFonts w:ascii="Expert Sans Regular" w:hAnsi="Expert Sans Regular"/>
      <w:sz w:val="18"/>
      <w:lang w:val="en-GB" w:eastAsia="en-US" w:bidi="ar-SA"/>
    </w:rPr>
  </w:style>
  <w:style w:type="character" w:customStyle="1" w:styleId="HeadingLevel1-BarcRAChar48">
    <w:name w:val="Heading Level 1 - Barc RA Char_48"/>
    <w:basedOn w:val="DefaultParagraphFont"/>
    <w:link w:val="HeadingLevel1-BarcRA61"/>
    <w:rsid w:val="009705AC"/>
    <w:rPr>
      <w:rFonts w:ascii="Expert Sans Regular" w:hAnsi="Expert Sans Regular"/>
      <w:b/>
      <w:bCs/>
      <w:color w:val="000000"/>
      <w:sz w:val="24"/>
      <w:lang w:val="la-Latn"/>
    </w:rPr>
  </w:style>
  <w:style w:type="paragraph" w:customStyle="1" w:styleId="Normal81">
    <w:name w:val="Normal_81"/>
    <w:uiPriority w:val="99"/>
    <w:qFormat/>
    <w:rsid w:val="009705AC"/>
    <w:rPr>
      <w:rFonts w:ascii="Expert Sans Regular" w:hAnsi="Expert Sans Regular"/>
      <w:sz w:val="18"/>
      <w:szCs w:val="24"/>
      <w:lang w:eastAsia="en-US"/>
    </w:rPr>
  </w:style>
  <w:style w:type="paragraph" w:customStyle="1" w:styleId="HeadingLevel1-BarcRA62">
    <w:name w:val="Heading Level 1 - Barc RA_62"/>
    <w:basedOn w:val="Normal82"/>
    <w:next w:val="Normal82"/>
    <w:link w:val="HeadingLevel1-BarcRAChar49"/>
    <w:rsid w:val="00195ECC"/>
    <w:pPr>
      <w:spacing w:after="180"/>
      <w:jc w:val="both"/>
    </w:pPr>
    <w:rPr>
      <w:rFonts w:ascii="Expert Sans Regular" w:hAnsi="Expert Sans Regular"/>
      <w:b/>
      <w:bCs/>
      <w:color w:val="000000"/>
      <w:szCs w:val="20"/>
      <w:lang w:val="la-Latn" w:eastAsia="en-US"/>
    </w:rPr>
  </w:style>
  <w:style w:type="paragraph" w:customStyle="1" w:styleId="Normal82">
    <w:name w:val="Normal_82"/>
    <w:qFormat/>
    <w:rsid w:val="00CB686F"/>
    <w:rPr>
      <w:sz w:val="24"/>
      <w:szCs w:val="24"/>
    </w:rPr>
  </w:style>
  <w:style w:type="character" w:customStyle="1" w:styleId="HeadingLevel1-BarcRAChar49">
    <w:name w:val="Heading Level 1 - Barc RA Char_49"/>
    <w:basedOn w:val="DefaultParagraphFont"/>
    <w:link w:val="HeadingLevel1-BarcRA62"/>
    <w:locked/>
    <w:rsid w:val="00195ECC"/>
    <w:rPr>
      <w:rFonts w:ascii="Expert Sans Regular" w:hAnsi="Expert Sans Regular"/>
      <w:b/>
      <w:bCs/>
      <w:color w:val="000000"/>
      <w:sz w:val="24"/>
      <w:lang w:val="la-Latn" w:eastAsia="en-US"/>
    </w:rPr>
  </w:style>
  <w:style w:type="paragraph" w:customStyle="1" w:styleId="BodyText-BarcRA95">
    <w:name w:val="Body Text - Barc RA_95"/>
    <w:link w:val="BodyText-BarcRAChar77"/>
    <w:qFormat/>
    <w:rsid w:val="005D52ED"/>
    <w:pPr>
      <w:spacing w:before="180" w:after="180"/>
      <w:jc w:val="both"/>
    </w:pPr>
    <w:rPr>
      <w:rFonts w:ascii="Expert Sans Regular" w:hAnsi="Expert Sans Regular"/>
      <w:sz w:val="18"/>
      <w:lang w:eastAsia="en-US"/>
    </w:rPr>
  </w:style>
  <w:style w:type="character" w:customStyle="1" w:styleId="BodyText-BarcRAChar77">
    <w:name w:val="Body Text - Barc RA Char_77"/>
    <w:basedOn w:val="DefaultParagraphFont"/>
    <w:link w:val="BodyText-BarcRA95"/>
    <w:rsid w:val="005D52ED"/>
    <w:rPr>
      <w:rFonts w:ascii="Expert Sans Regular" w:hAnsi="Expert Sans Regular"/>
      <w:sz w:val="18"/>
      <w:lang w:val="en-GB" w:eastAsia="en-US" w:bidi="ar-SA"/>
    </w:rPr>
  </w:style>
  <w:style w:type="paragraph" w:customStyle="1" w:styleId="HeadingLevel2-BarcRA27">
    <w:name w:val="Heading Level 2 - Barc RA_27"/>
    <w:basedOn w:val="HeadingLevel1-BarcRA63"/>
    <w:next w:val="BodyText-BarcRA95"/>
    <w:qFormat/>
    <w:rsid w:val="00EE71E7"/>
    <w:pPr>
      <w:spacing w:before="240" w:after="0"/>
    </w:pPr>
    <w:rPr>
      <w:sz w:val="20"/>
    </w:rPr>
  </w:style>
  <w:style w:type="paragraph" w:customStyle="1" w:styleId="HeadingLevel1-BarcRA63">
    <w:name w:val="Heading Level 1 - Barc RA_63"/>
    <w:basedOn w:val="BodyText-BarcRA95"/>
    <w:next w:val="BodyText-BarcRA95"/>
    <w:link w:val="HeadingLevel1-BarcRAChar50"/>
    <w:rsid w:val="002611B5"/>
    <w:pPr>
      <w:spacing w:before="0"/>
    </w:pPr>
    <w:rPr>
      <w:b/>
      <w:bCs/>
      <w:color w:val="000000"/>
      <w:sz w:val="24"/>
      <w:lang w:val="la-Latn"/>
    </w:rPr>
  </w:style>
  <w:style w:type="character" w:customStyle="1" w:styleId="HeadingLevel1-BarcRAChar50">
    <w:name w:val="Heading Level 1 - Barc RA Char_50"/>
    <w:basedOn w:val="DefaultParagraphFont"/>
    <w:link w:val="HeadingLevel1-BarcRA63"/>
    <w:rsid w:val="009705AC"/>
    <w:rPr>
      <w:rFonts w:ascii="Expert Sans Regular" w:hAnsi="Expert Sans Regular"/>
      <w:b/>
      <w:bCs/>
      <w:color w:val="000000"/>
      <w:sz w:val="24"/>
      <w:lang w:val="la-Latn"/>
    </w:rPr>
  </w:style>
  <w:style w:type="paragraph" w:customStyle="1" w:styleId="Level1Bullet-BarcRA410">
    <w:name w:val="Level 1 Bullet - Barc RA_41"/>
    <w:basedOn w:val="BodyText-BarcRA95"/>
    <w:link w:val="Level1Bullet-BarcRAChar34"/>
    <w:qFormat/>
    <w:rsid w:val="00A85CEE"/>
    <w:pPr>
      <w:numPr>
        <w:numId w:val="133"/>
      </w:numPr>
    </w:pPr>
    <w:rPr>
      <w:lang w:val="la-Latn"/>
    </w:rPr>
  </w:style>
  <w:style w:type="character" w:customStyle="1" w:styleId="Level1Bullet-BarcRAChar34">
    <w:name w:val="Level 1 Bullet - Barc RA Char_34"/>
    <w:basedOn w:val="BodyText-BarcRAChar77"/>
    <w:link w:val="Level1Bullet-BarcRA410"/>
    <w:rsid w:val="00A85CEE"/>
    <w:rPr>
      <w:rFonts w:ascii="Expert Sans Regular" w:hAnsi="Expert Sans Regular"/>
      <w:sz w:val="18"/>
      <w:lang w:val="la-Latn" w:eastAsia="en-US" w:bidi="ar-SA"/>
    </w:rPr>
  </w:style>
  <w:style w:type="paragraph" w:customStyle="1" w:styleId="Normal83">
    <w:name w:val="Normal_83"/>
    <w:qFormat/>
    <w:rsid w:val="009705AC"/>
    <w:rPr>
      <w:rFonts w:ascii="Expert Sans Regular" w:hAnsi="Expert Sans Regular"/>
      <w:sz w:val="18"/>
      <w:szCs w:val="24"/>
      <w:lang w:eastAsia="en-US"/>
    </w:rPr>
  </w:style>
  <w:style w:type="paragraph" w:customStyle="1" w:styleId="NoteandSourceText-BarcRA17">
    <w:name w:val="Note and Source Text - Barc RA_17"/>
    <w:basedOn w:val="Normal84"/>
    <w:qFormat/>
    <w:rsid w:val="00F07023"/>
    <w:pPr>
      <w:numPr>
        <w:numId w:val="134"/>
      </w:numPr>
      <w:tabs>
        <w:tab w:val="left" w:pos="284"/>
      </w:tabs>
      <w:spacing w:before="20" w:after="20"/>
      <w:jc w:val="both"/>
    </w:pPr>
    <w:rPr>
      <w:rFonts w:ascii="Expert Sans Regular" w:hAnsi="Expert Sans Regular"/>
      <w:i/>
      <w:iCs/>
      <w:sz w:val="14"/>
      <w:szCs w:val="14"/>
      <w:lang w:eastAsia="en-US"/>
    </w:rPr>
  </w:style>
  <w:style w:type="paragraph" w:customStyle="1" w:styleId="Normal84">
    <w:name w:val="Normal_84"/>
    <w:qFormat/>
    <w:rsid w:val="00CB686F"/>
    <w:rPr>
      <w:sz w:val="24"/>
      <w:szCs w:val="24"/>
    </w:rPr>
  </w:style>
  <w:style w:type="paragraph" w:customStyle="1" w:styleId="HeadingLevel1-BarcRA64">
    <w:name w:val="Heading Level 1 - Barc RA_64"/>
    <w:basedOn w:val="BodyText-BarcRA96"/>
    <w:next w:val="BodyText-BarcRA96"/>
    <w:link w:val="HeadingLevel1-BarcRAChar51"/>
    <w:rsid w:val="002611B5"/>
    <w:pPr>
      <w:spacing w:before="0"/>
    </w:pPr>
    <w:rPr>
      <w:b/>
      <w:bCs/>
      <w:color w:val="000000"/>
      <w:sz w:val="24"/>
      <w:lang w:val="la-Latn"/>
    </w:rPr>
  </w:style>
  <w:style w:type="paragraph" w:customStyle="1" w:styleId="BodyText-BarcRA96">
    <w:name w:val="Body Text - Barc RA_96"/>
    <w:link w:val="BodyText-BarcRAChar78"/>
    <w:qFormat/>
    <w:rsid w:val="005D52ED"/>
    <w:pPr>
      <w:spacing w:before="180" w:after="180"/>
      <w:jc w:val="both"/>
    </w:pPr>
    <w:rPr>
      <w:rFonts w:ascii="Expert Sans Regular" w:hAnsi="Expert Sans Regular"/>
      <w:sz w:val="18"/>
      <w:lang w:eastAsia="en-US"/>
    </w:rPr>
  </w:style>
  <w:style w:type="character" w:customStyle="1" w:styleId="BodyText-BarcRAChar78">
    <w:name w:val="Body Text - Barc RA Char_78"/>
    <w:basedOn w:val="DefaultParagraphFont"/>
    <w:link w:val="BodyText-BarcRA96"/>
    <w:rsid w:val="005D52ED"/>
    <w:rPr>
      <w:rFonts w:ascii="Expert Sans Regular" w:hAnsi="Expert Sans Regular"/>
      <w:sz w:val="18"/>
      <w:lang w:val="en-GB" w:eastAsia="en-US" w:bidi="ar-SA"/>
    </w:rPr>
  </w:style>
  <w:style w:type="character" w:customStyle="1" w:styleId="HeadingLevel1-BarcRAChar51">
    <w:name w:val="Heading Level 1 - Barc RA Char_51"/>
    <w:basedOn w:val="DefaultParagraphFont"/>
    <w:link w:val="HeadingLevel1-BarcRA64"/>
    <w:rsid w:val="009705AC"/>
    <w:rPr>
      <w:rFonts w:ascii="Expert Sans Regular" w:hAnsi="Expert Sans Regular"/>
      <w:b/>
      <w:bCs/>
      <w:color w:val="000000"/>
      <w:sz w:val="24"/>
      <w:lang w:val="la-Latn"/>
    </w:rPr>
  </w:style>
  <w:style w:type="paragraph" w:customStyle="1" w:styleId="HeaderSpacerwithLine-BarcRA17">
    <w:name w:val="Header Spacer with Line - Barc RA_17"/>
    <w:basedOn w:val="BodyText-BarcRA96"/>
    <w:link w:val="HeaderSpacerwithLine-BarcRAChar10"/>
    <w:rsid w:val="00016DD8"/>
    <w:pPr>
      <w:pBdr>
        <w:top w:val="single" w:sz="4" w:space="1" w:color="auto"/>
      </w:pBdr>
      <w:spacing w:before="0" w:after="0"/>
    </w:pPr>
    <w:rPr>
      <w:sz w:val="10"/>
      <w:szCs w:val="10"/>
    </w:rPr>
  </w:style>
  <w:style w:type="character" w:customStyle="1" w:styleId="HeaderSpacerwithLine-BarcRAChar10">
    <w:name w:val="Header Spacer with Line - Barc RA Char_10"/>
    <w:basedOn w:val="BodyText-BarcRAChar78"/>
    <w:link w:val="HeaderSpacerwithLine-BarcRA17"/>
    <w:rsid w:val="000E2451"/>
    <w:rPr>
      <w:rFonts w:ascii="Expert Sans Regular" w:hAnsi="Expert Sans Regular"/>
      <w:sz w:val="10"/>
      <w:szCs w:val="10"/>
      <w:lang w:val="en-GB" w:eastAsia="en-US" w:bidi="ar-SA"/>
    </w:rPr>
  </w:style>
  <w:style w:type="paragraph" w:customStyle="1" w:styleId="HeadingLevel2-BarcRA29">
    <w:name w:val="Heading Level 2 - Barc RA_29"/>
    <w:basedOn w:val="HeadingLevel1-BarcRA65"/>
    <w:next w:val="BodyText-BarcRA97"/>
    <w:rsid w:val="00EE71E7"/>
    <w:pPr>
      <w:spacing w:before="240" w:after="0"/>
    </w:pPr>
    <w:rPr>
      <w:sz w:val="20"/>
    </w:rPr>
  </w:style>
  <w:style w:type="paragraph" w:customStyle="1" w:styleId="HeadingLevel1-BarcRA65">
    <w:name w:val="Heading Level 1 - Barc RA_65"/>
    <w:basedOn w:val="BodyText-BarcRA97"/>
    <w:next w:val="BodyText-BarcRA97"/>
    <w:link w:val="HeadingLevel1-BarcRAChar52"/>
    <w:rsid w:val="002611B5"/>
    <w:pPr>
      <w:spacing w:before="0"/>
    </w:pPr>
    <w:rPr>
      <w:b/>
      <w:bCs/>
      <w:color w:val="000000"/>
      <w:sz w:val="24"/>
      <w:lang w:val="la-Latn"/>
    </w:rPr>
  </w:style>
  <w:style w:type="paragraph" w:customStyle="1" w:styleId="BodyText-BarcRA97">
    <w:name w:val="Body Text - Barc RA_97"/>
    <w:link w:val="BodyText-BarcRAChar79"/>
    <w:qFormat/>
    <w:rsid w:val="005D52ED"/>
    <w:pPr>
      <w:spacing w:before="180" w:after="180"/>
      <w:jc w:val="both"/>
    </w:pPr>
    <w:rPr>
      <w:rFonts w:ascii="Expert Sans Regular" w:hAnsi="Expert Sans Regular"/>
      <w:sz w:val="18"/>
      <w:lang w:eastAsia="en-US"/>
    </w:rPr>
  </w:style>
  <w:style w:type="character" w:customStyle="1" w:styleId="BodyText-BarcRAChar79">
    <w:name w:val="Body Text - Barc RA Char_79"/>
    <w:basedOn w:val="DefaultParagraphFont"/>
    <w:link w:val="BodyText-BarcRA97"/>
    <w:rsid w:val="005D52ED"/>
    <w:rPr>
      <w:rFonts w:ascii="Expert Sans Regular" w:hAnsi="Expert Sans Regular"/>
      <w:sz w:val="18"/>
      <w:lang w:val="en-GB" w:eastAsia="en-US" w:bidi="ar-SA"/>
    </w:rPr>
  </w:style>
  <w:style w:type="character" w:customStyle="1" w:styleId="HeadingLevel1-BarcRAChar52">
    <w:name w:val="Heading Level 1 - Barc RA Char_52"/>
    <w:basedOn w:val="DefaultParagraphFont"/>
    <w:link w:val="HeadingLevel1-BarcRA65"/>
    <w:rsid w:val="009705AC"/>
    <w:rPr>
      <w:rFonts w:ascii="Expert Sans Regular" w:hAnsi="Expert Sans Regular"/>
      <w:b/>
      <w:bCs/>
      <w:color w:val="000000"/>
      <w:sz w:val="24"/>
      <w:lang w:val="la-Latn"/>
    </w:rPr>
  </w:style>
  <w:style w:type="paragraph" w:customStyle="1" w:styleId="BarclaysNoteText">
    <w:name w:val="Barclays Note Text"/>
    <w:basedOn w:val="Normal85"/>
    <w:link w:val="BarclaysNoteTextChar"/>
    <w:rsid w:val="0033783C"/>
    <w:pPr>
      <w:tabs>
        <w:tab w:val="left" w:pos="200"/>
      </w:tabs>
      <w:spacing w:before="20" w:after="20"/>
      <w:ind w:left="195" w:hanging="195"/>
      <w:jc w:val="both"/>
    </w:pPr>
    <w:rPr>
      <w:rFonts w:ascii="Barclays Serif" w:hAnsi="Barclays Serif"/>
      <w:i/>
      <w:iCs/>
      <w:sz w:val="14"/>
      <w:szCs w:val="14"/>
    </w:rPr>
  </w:style>
  <w:style w:type="paragraph" w:customStyle="1" w:styleId="Normal85">
    <w:name w:val="Normal_85"/>
    <w:qFormat/>
    <w:rsid w:val="009705AC"/>
    <w:rPr>
      <w:rFonts w:ascii="Expert Sans Regular" w:hAnsi="Expert Sans Regular"/>
      <w:sz w:val="18"/>
      <w:szCs w:val="24"/>
      <w:lang w:eastAsia="en-US"/>
    </w:rPr>
  </w:style>
  <w:style w:type="character" w:customStyle="1" w:styleId="BarclaysNoteTextChar">
    <w:name w:val="Barclays Note Text Char"/>
    <w:basedOn w:val="DefaultParagraphFont"/>
    <w:link w:val="BarclaysNoteText"/>
    <w:locked/>
    <w:rsid w:val="0033783C"/>
    <w:rPr>
      <w:rFonts w:ascii="Barclays Serif" w:hAnsi="Barclays Serif"/>
      <w:i/>
      <w:iCs/>
      <w:sz w:val="14"/>
      <w:szCs w:val="14"/>
      <w:lang w:eastAsia="en-US"/>
    </w:rPr>
  </w:style>
  <w:style w:type="paragraph" w:customStyle="1" w:styleId="NoteandSourceText-BarcRA18">
    <w:name w:val="Note and Source Text - Barc RA_18"/>
    <w:basedOn w:val="Normal85"/>
    <w:qFormat/>
    <w:rsid w:val="004D09B3"/>
    <w:pPr>
      <w:numPr>
        <w:numId w:val="135"/>
      </w:numPr>
      <w:tabs>
        <w:tab w:val="left" w:pos="284"/>
      </w:tabs>
      <w:spacing w:before="20" w:after="20"/>
      <w:jc w:val="both"/>
    </w:pPr>
    <w:rPr>
      <w:i/>
      <w:iCs/>
      <w:sz w:val="14"/>
      <w:szCs w:val="14"/>
    </w:rPr>
  </w:style>
  <w:style w:type="paragraph" w:customStyle="1" w:styleId="HeadingLevel1-BarcRA66">
    <w:name w:val="Heading Level 1 - Barc RA_66"/>
    <w:basedOn w:val="BodyText-BarcRA98"/>
    <w:next w:val="BodyText-BarcRA98"/>
    <w:link w:val="HeadingLevel1-BarcRAChar53"/>
    <w:rsid w:val="002611B5"/>
    <w:pPr>
      <w:spacing w:before="0"/>
    </w:pPr>
    <w:rPr>
      <w:b/>
      <w:bCs/>
      <w:color w:val="000000"/>
      <w:sz w:val="24"/>
      <w:lang w:val="la-Latn"/>
    </w:rPr>
  </w:style>
  <w:style w:type="paragraph" w:customStyle="1" w:styleId="BodyText-BarcRA98">
    <w:name w:val="Body Text - Barc RA_98"/>
    <w:link w:val="BodyText-BarcRAChar81"/>
    <w:qFormat/>
    <w:rsid w:val="005D52ED"/>
    <w:pPr>
      <w:spacing w:before="180" w:after="180"/>
      <w:jc w:val="both"/>
    </w:pPr>
    <w:rPr>
      <w:rFonts w:ascii="Expert Sans Regular" w:hAnsi="Expert Sans Regular"/>
      <w:sz w:val="18"/>
      <w:lang w:eastAsia="en-US"/>
    </w:rPr>
  </w:style>
  <w:style w:type="character" w:customStyle="1" w:styleId="BodyText-BarcRAChar81">
    <w:name w:val="Body Text - Barc RA Char_81"/>
    <w:basedOn w:val="DefaultParagraphFont"/>
    <w:link w:val="BodyText-BarcRA98"/>
    <w:rsid w:val="005D52ED"/>
    <w:rPr>
      <w:rFonts w:ascii="Expert Sans Regular" w:hAnsi="Expert Sans Regular"/>
      <w:sz w:val="18"/>
      <w:lang w:val="en-GB" w:eastAsia="en-US" w:bidi="ar-SA"/>
    </w:rPr>
  </w:style>
  <w:style w:type="character" w:customStyle="1" w:styleId="HeadingLevel1-BarcRAChar53">
    <w:name w:val="Heading Level 1 - Barc RA Char_53"/>
    <w:basedOn w:val="DefaultParagraphFont"/>
    <w:link w:val="HeadingLevel1-BarcRA66"/>
    <w:rsid w:val="009705AC"/>
    <w:rPr>
      <w:rFonts w:ascii="Expert Sans Regular" w:hAnsi="Expert Sans Regular"/>
      <w:b/>
      <w:bCs/>
      <w:color w:val="000000"/>
      <w:sz w:val="24"/>
      <w:lang w:val="la-Latn"/>
    </w:rPr>
  </w:style>
  <w:style w:type="paragraph" w:customStyle="1" w:styleId="HeaderSpacerwithLine-BarcRA18">
    <w:name w:val="Header Spacer with Line - Barc RA_18"/>
    <w:basedOn w:val="BodyText-BarcRA98"/>
    <w:link w:val="HeaderSpacerwithLine-BarcRAChar11"/>
    <w:rsid w:val="00016DD8"/>
    <w:pPr>
      <w:pBdr>
        <w:top w:val="single" w:sz="4" w:space="1" w:color="auto"/>
      </w:pBdr>
      <w:spacing w:before="0" w:after="0"/>
    </w:pPr>
    <w:rPr>
      <w:sz w:val="10"/>
      <w:szCs w:val="10"/>
    </w:rPr>
  </w:style>
  <w:style w:type="character" w:customStyle="1" w:styleId="HeaderSpacerwithLine-BarcRAChar11">
    <w:name w:val="Header Spacer with Line - Barc RA Char_11"/>
    <w:basedOn w:val="BodyText-BarcRAChar81"/>
    <w:link w:val="HeaderSpacerwithLine-BarcRA18"/>
    <w:rsid w:val="000E2451"/>
    <w:rPr>
      <w:rFonts w:ascii="Expert Sans Regular" w:hAnsi="Expert Sans Regular"/>
      <w:sz w:val="10"/>
      <w:szCs w:val="10"/>
      <w:lang w:val="en-GB" w:eastAsia="en-US" w:bidi="ar-SA"/>
    </w:rPr>
  </w:style>
  <w:style w:type="paragraph" w:customStyle="1" w:styleId="Normal86">
    <w:name w:val="Normal_86"/>
    <w:qFormat/>
    <w:rsid w:val="009705AC"/>
    <w:rPr>
      <w:rFonts w:ascii="Expert Sans Regular" w:hAnsi="Expert Sans Regular"/>
      <w:sz w:val="18"/>
      <w:szCs w:val="24"/>
      <w:lang w:eastAsia="en-US"/>
    </w:rPr>
  </w:style>
  <w:style w:type="paragraph" w:customStyle="1" w:styleId="Normal620">
    <w:name w:val="Normal_62_0"/>
    <w:qFormat/>
    <w:rsid w:val="007C0402"/>
    <w:rPr>
      <w:rFonts w:ascii="Expert Sans Regular" w:hAnsi="Expert Sans Regular"/>
      <w:sz w:val="18"/>
      <w:szCs w:val="24"/>
      <w:lang w:eastAsia="en-US"/>
    </w:rPr>
  </w:style>
  <w:style w:type="paragraph" w:styleId="PlainText">
    <w:name w:val="Plain Text"/>
    <w:basedOn w:val="Normal"/>
    <w:link w:val="PlainTextChar"/>
    <w:uiPriority w:val="99"/>
    <w:unhideWhenUsed/>
    <w:rsid w:val="00D6745F"/>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D6745F"/>
    <w:rPr>
      <w:rFonts w:ascii="Consolas" w:eastAsia="Calibri" w:hAnsi="Consolas" w:cs="Times New Roman"/>
      <w:sz w:val="21"/>
      <w:szCs w:val="21"/>
      <w:lang w:eastAsia="en-US"/>
    </w:rPr>
  </w:style>
  <w:style w:type="character" w:styleId="CommentReference">
    <w:name w:val="annotation reference"/>
    <w:basedOn w:val="DefaultParagraphFont"/>
    <w:uiPriority w:val="99"/>
    <w:unhideWhenUsed/>
    <w:rsid w:val="000C354E"/>
    <w:rPr>
      <w:sz w:val="16"/>
      <w:szCs w:val="16"/>
    </w:rPr>
  </w:style>
  <w:style w:type="paragraph" w:styleId="CommentText">
    <w:name w:val="annotation text"/>
    <w:basedOn w:val="Normal"/>
    <w:link w:val="CommentTextChar"/>
    <w:uiPriority w:val="99"/>
    <w:unhideWhenUsed/>
    <w:rsid w:val="000C354E"/>
    <w:pPr>
      <w:spacing w:after="240"/>
    </w:pPr>
    <w:rPr>
      <w:rFonts w:ascii="Georgia" w:eastAsia="Calibri" w:hAnsi="Georgia" w:cs="Times New Roman"/>
      <w:sz w:val="20"/>
      <w:szCs w:val="20"/>
      <w:lang w:val="en-GB"/>
    </w:rPr>
  </w:style>
  <w:style w:type="character" w:customStyle="1" w:styleId="CommentTextChar">
    <w:name w:val="Comment Text Char"/>
    <w:basedOn w:val="DefaultParagraphFont"/>
    <w:link w:val="CommentText"/>
    <w:uiPriority w:val="99"/>
    <w:rsid w:val="000C354E"/>
    <w:rPr>
      <w:rFonts w:ascii="Georgia" w:eastAsia="Calibri" w:hAnsi="Georgia" w:cs="Times New Roman"/>
      <w:lang w:eastAsia="en-US"/>
    </w:rPr>
  </w:style>
  <w:style w:type="paragraph" w:styleId="BalloonText">
    <w:name w:val="Balloon Text"/>
    <w:basedOn w:val="Normal"/>
    <w:link w:val="BalloonTextChar"/>
    <w:rsid w:val="000C354E"/>
    <w:rPr>
      <w:rFonts w:ascii="Tahoma" w:hAnsi="Tahoma" w:cs="Tahoma"/>
      <w:sz w:val="16"/>
      <w:szCs w:val="16"/>
    </w:rPr>
  </w:style>
  <w:style w:type="character" w:customStyle="1" w:styleId="BalloonTextChar">
    <w:name w:val="Balloon Text Char"/>
    <w:basedOn w:val="DefaultParagraphFont"/>
    <w:link w:val="BalloonText"/>
    <w:rsid w:val="000C354E"/>
    <w:rPr>
      <w:rFonts w:ascii="Tahoma" w:eastAsia="Expert Sans Regular" w:hAnsi="Tahoma" w:cs="Tahoma"/>
      <w:sz w:val="16"/>
      <w:szCs w:val="16"/>
      <w:lang w:val="en-US" w:eastAsia="en-US"/>
    </w:rPr>
  </w:style>
  <w:style w:type="paragraph" w:styleId="ListParagraph">
    <w:name w:val="List Paragraph"/>
    <w:basedOn w:val="Normal"/>
    <w:uiPriority w:val="34"/>
    <w:qFormat/>
    <w:rsid w:val="002A0D5B"/>
    <w:pPr>
      <w:ind w:left="720"/>
    </w:pPr>
    <w:rPr>
      <w:rFonts w:ascii="Calibri" w:eastAsia="Calibri" w:hAnsi="Calibri" w:cs="Times New Roman"/>
      <w:sz w:val="22"/>
      <w:szCs w:val="22"/>
      <w:lang w:val="en-GB" w:eastAsia="en-GB"/>
    </w:rPr>
  </w:style>
  <w:style w:type="paragraph" w:customStyle="1" w:styleId="normal-p">
    <w:name w:val="normal-p"/>
    <w:basedOn w:val="Normal"/>
    <w:uiPriority w:val="99"/>
    <w:rsid w:val="007F5897"/>
    <w:pPr>
      <w:spacing w:before="100" w:beforeAutospacing="1" w:after="100" w:afterAutospacing="1"/>
    </w:pPr>
    <w:rPr>
      <w:rFonts w:ascii="Times New Roman" w:eastAsia="Calibri" w:hAnsi="Times New Roman" w:cs="Times New Roman"/>
      <w:sz w:val="24"/>
      <w:lang w:val="en-GB" w:eastAsia="en-GB"/>
    </w:rPr>
  </w:style>
  <w:style w:type="character" w:styleId="Hyperlink">
    <w:name w:val="Hyperlink"/>
    <w:basedOn w:val="DefaultParagraphFont"/>
    <w:rsid w:val="00AF72CF"/>
    <w:rPr>
      <w:color w:val="0000FF"/>
      <w:u w:val="single"/>
    </w:rPr>
  </w:style>
  <w:style w:type="paragraph" w:styleId="Header">
    <w:name w:val="header"/>
    <w:basedOn w:val="Normal"/>
    <w:link w:val="HeaderChar"/>
    <w:rsid w:val="00100182"/>
    <w:pPr>
      <w:tabs>
        <w:tab w:val="center" w:pos="4513"/>
        <w:tab w:val="right" w:pos="9026"/>
      </w:tabs>
    </w:pPr>
  </w:style>
  <w:style w:type="character" w:customStyle="1" w:styleId="HeaderChar">
    <w:name w:val="Header Char"/>
    <w:basedOn w:val="DefaultParagraphFont"/>
    <w:link w:val="Header"/>
    <w:rsid w:val="00100182"/>
    <w:rPr>
      <w:rFonts w:ascii="Expert Sans Regular" w:eastAsia="Expert Sans Regular" w:hAnsi="Expert Sans Regular" w:cs="Expert Sans Regular"/>
      <w:sz w:val="2"/>
      <w:szCs w:val="24"/>
      <w:lang w:val="en-US" w:eastAsia="en-US"/>
    </w:rPr>
  </w:style>
  <w:style w:type="paragraph" w:styleId="Footer">
    <w:name w:val="footer"/>
    <w:basedOn w:val="Normal"/>
    <w:link w:val="FooterChar"/>
    <w:rsid w:val="00100182"/>
    <w:pPr>
      <w:tabs>
        <w:tab w:val="center" w:pos="4513"/>
        <w:tab w:val="right" w:pos="9026"/>
      </w:tabs>
    </w:pPr>
  </w:style>
  <w:style w:type="character" w:customStyle="1" w:styleId="FooterChar">
    <w:name w:val="Footer Char"/>
    <w:basedOn w:val="DefaultParagraphFont"/>
    <w:link w:val="Footer"/>
    <w:rsid w:val="00100182"/>
    <w:rPr>
      <w:rFonts w:ascii="Expert Sans Regular" w:eastAsia="Expert Sans Regular" w:hAnsi="Expert Sans Regular" w:cs="Expert Sans Regular"/>
      <w:sz w:val="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9916">
      <w:bodyDiv w:val="1"/>
      <w:marLeft w:val="0"/>
      <w:marRight w:val="0"/>
      <w:marTop w:val="0"/>
      <w:marBottom w:val="0"/>
      <w:divBdr>
        <w:top w:val="none" w:sz="0" w:space="0" w:color="auto"/>
        <w:left w:val="none" w:sz="0" w:space="0" w:color="auto"/>
        <w:bottom w:val="none" w:sz="0" w:space="0" w:color="auto"/>
        <w:right w:val="none" w:sz="0" w:space="0" w:color="auto"/>
      </w:divBdr>
    </w:div>
    <w:div w:id="200479797">
      <w:bodyDiv w:val="1"/>
      <w:marLeft w:val="0"/>
      <w:marRight w:val="0"/>
      <w:marTop w:val="0"/>
      <w:marBottom w:val="0"/>
      <w:divBdr>
        <w:top w:val="none" w:sz="0" w:space="0" w:color="auto"/>
        <w:left w:val="none" w:sz="0" w:space="0" w:color="auto"/>
        <w:bottom w:val="none" w:sz="0" w:space="0" w:color="auto"/>
        <w:right w:val="none" w:sz="0" w:space="0" w:color="auto"/>
      </w:divBdr>
    </w:div>
    <w:div w:id="360713329">
      <w:bodyDiv w:val="1"/>
      <w:marLeft w:val="0"/>
      <w:marRight w:val="0"/>
      <w:marTop w:val="0"/>
      <w:marBottom w:val="0"/>
      <w:divBdr>
        <w:top w:val="none" w:sz="0" w:space="0" w:color="auto"/>
        <w:left w:val="none" w:sz="0" w:space="0" w:color="auto"/>
        <w:bottom w:val="none" w:sz="0" w:space="0" w:color="auto"/>
        <w:right w:val="none" w:sz="0" w:space="0" w:color="auto"/>
      </w:divBdr>
    </w:div>
    <w:div w:id="496069551">
      <w:bodyDiv w:val="1"/>
      <w:marLeft w:val="0"/>
      <w:marRight w:val="0"/>
      <w:marTop w:val="0"/>
      <w:marBottom w:val="0"/>
      <w:divBdr>
        <w:top w:val="none" w:sz="0" w:space="0" w:color="auto"/>
        <w:left w:val="none" w:sz="0" w:space="0" w:color="auto"/>
        <w:bottom w:val="none" w:sz="0" w:space="0" w:color="auto"/>
        <w:right w:val="none" w:sz="0" w:space="0" w:color="auto"/>
      </w:divBdr>
    </w:div>
    <w:div w:id="526990962">
      <w:bodyDiv w:val="1"/>
      <w:marLeft w:val="0"/>
      <w:marRight w:val="0"/>
      <w:marTop w:val="0"/>
      <w:marBottom w:val="0"/>
      <w:divBdr>
        <w:top w:val="none" w:sz="0" w:space="0" w:color="auto"/>
        <w:left w:val="none" w:sz="0" w:space="0" w:color="auto"/>
        <w:bottom w:val="none" w:sz="0" w:space="0" w:color="auto"/>
        <w:right w:val="none" w:sz="0" w:space="0" w:color="auto"/>
      </w:divBdr>
    </w:div>
    <w:div w:id="642580844">
      <w:bodyDiv w:val="1"/>
      <w:marLeft w:val="0"/>
      <w:marRight w:val="0"/>
      <w:marTop w:val="0"/>
      <w:marBottom w:val="0"/>
      <w:divBdr>
        <w:top w:val="none" w:sz="0" w:space="0" w:color="auto"/>
        <w:left w:val="none" w:sz="0" w:space="0" w:color="auto"/>
        <w:bottom w:val="none" w:sz="0" w:space="0" w:color="auto"/>
        <w:right w:val="none" w:sz="0" w:space="0" w:color="auto"/>
      </w:divBdr>
    </w:div>
    <w:div w:id="644891273">
      <w:bodyDiv w:val="1"/>
      <w:marLeft w:val="0"/>
      <w:marRight w:val="0"/>
      <w:marTop w:val="0"/>
      <w:marBottom w:val="0"/>
      <w:divBdr>
        <w:top w:val="none" w:sz="0" w:space="0" w:color="auto"/>
        <w:left w:val="none" w:sz="0" w:space="0" w:color="auto"/>
        <w:bottom w:val="none" w:sz="0" w:space="0" w:color="auto"/>
        <w:right w:val="none" w:sz="0" w:space="0" w:color="auto"/>
      </w:divBdr>
    </w:div>
    <w:div w:id="650866173">
      <w:bodyDiv w:val="1"/>
      <w:marLeft w:val="0"/>
      <w:marRight w:val="0"/>
      <w:marTop w:val="0"/>
      <w:marBottom w:val="0"/>
      <w:divBdr>
        <w:top w:val="none" w:sz="0" w:space="0" w:color="auto"/>
        <w:left w:val="none" w:sz="0" w:space="0" w:color="auto"/>
        <w:bottom w:val="none" w:sz="0" w:space="0" w:color="auto"/>
        <w:right w:val="none" w:sz="0" w:space="0" w:color="auto"/>
      </w:divBdr>
    </w:div>
    <w:div w:id="830029278">
      <w:bodyDiv w:val="1"/>
      <w:marLeft w:val="0"/>
      <w:marRight w:val="0"/>
      <w:marTop w:val="0"/>
      <w:marBottom w:val="0"/>
      <w:divBdr>
        <w:top w:val="none" w:sz="0" w:space="0" w:color="auto"/>
        <w:left w:val="none" w:sz="0" w:space="0" w:color="auto"/>
        <w:bottom w:val="none" w:sz="0" w:space="0" w:color="auto"/>
        <w:right w:val="none" w:sz="0" w:space="0" w:color="auto"/>
      </w:divBdr>
    </w:div>
    <w:div w:id="852381494">
      <w:bodyDiv w:val="1"/>
      <w:marLeft w:val="0"/>
      <w:marRight w:val="0"/>
      <w:marTop w:val="0"/>
      <w:marBottom w:val="0"/>
      <w:divBdr>
        <w:top w:val="none" w:sz="0" w:space="0" w:color="auto"/>
        <w:left w:val="none" w:sz="0" w:space="0" w:color="auto"/>
        <w:bottom w:val="none" w:sz="0" w:space="0" w:color="auto"/>
        <w:right w:val="none" w:sz="0" w:space="0" w:color="auto"/>
      </w:divBdr>
    </w:div>
    <w:div w:id="905072112">
      <w:bodyDiv w:val="1"/>
      <w:marLeft w:val="0"/>
      <w:marRight w:val="0"/>
      <w:marTop w:val="0"/>
      <w:marBottom w:val="0"/>
      <w:divBdr>
        <w:top w:val="none" w:sz="0" w:space="0" w:color="auto"/>
        <w:left w:val="none" w:sz="0" w:space="0" w:color="auto"/>
        <w:bottom w:val="none" w:sz="0" w:space="0" w:color="auto"/>
        <w:right w:val="none" w:sz="0" w:space="0" w:color="auto"/>
      </w:divBdr>
    </w:div>
    <w:div w:id="976838522">
      <w:bodyDiv w:val="1"/>
      <w:marLeft w:val="0"/>
      <w:marRight w:val="0"/>
      <w:marTop w:val="0"/>
      <w:marBottom w:val="0"/>
      <w:divBdr>
        <w:top w:val="none" w:sz="0" w:space="0" w:color="auto"/>
        <w:left w:val="none" w:sz="0" w:space="0" w:color="auto"/>
        <w:bottom w:val="none" w:sz="0" w:space="0" w:color="auto"/>
        <w:right w:val="none" w:sz="0" w:space="0" w:color="auto"/>
      </w:divBdr>
    </w:div>
    <w:div w:id="1063482287">
      <w:bodyDiv w:val="1"/>
      <w:marLeft w:val="0"/>
      <w:marRight w:val="0"/>
      <w:marTop w:val="0"/>
      <w:marBottom w:val="0"/>
      <w:divBdr>
        <w:top w:val="none" w:sz="0" w:space="0" w:color="auto"/>
        <w:left w:val="none" w:sz="0" w:space="0" w:color="auto"/>
        <w:bottom w:val="none" w:sz="0" w:space="0" w:color="auto"/>
        <w:right w:val="none" w:sz="0" w:space="0" w:color="auto"/>
      </w:divBdr>
    </w:div>
    <w:div w:id="1080250244">
      <w:bodyDiv w:val="1"/>
      <w:marLeft w:val="0"/>
      <w:marRight w:val="0"/>
      <w:marTop w:val="0"/>
      <w:marBottom w:val="0"/>
      <w:divBdr>
        <w:top w:val="none" w:sz="0" w:space="0" w:color="auto"/>
        <w:left w:val="none" w:sz="0" w:space="0" w:color="auto"/>
        <w:bottom w:val="none" w:sz="0" w:space="0" w:color="auto"/>
        <w:right w:val="none" w:sz="0" w:space="0" w:color="auto"/>
      </w:divBdr>
    </w:div>
    <w:div w:id="1198545798">
      <w:bodyDiv w:val="1"/>
      <w:marLeft w:val="0"/>
      <w:marRight w:val="0"/>
      <w:marTop w:val="0"/>
      <w:marBottom w:val="0"/>
      <w:divBdr>
        <w:top w:val="none" w:sz="0" w:space="0" w:color="auto"/>
        <w:left w:val="none" w:sz="0" w:space="0" w:color="auto"/>
        <w:bottom w:val="none" w:sz="0" w:space="0" w:color="auto"/>
        <w:right w:val="none" w:sz="0" w:space="0" w:color="auto"/>
      </w:divBdr>
    </w:div>
    <w:div w:id="1250431077">
      <w:bodyDiv w:val="1"/>
      <w:marLeft w:val="0"/>
      <w:marRight w:val="0"/>
      <w:marTop w:val="0"/>
      <w:marBottom w:val="0"/>
      <w:divBdr>
        <w:top w:val="none" w:sz="0" w:space="0" w:color="auto"/>
        <w:left w:val="none" w:sz="0" w:space="0" w:color="auto"/>
        <w:bottom w:val="none" w:sz="0" w:space="0" w:color="auto"/>
        <w:right w:val="none" w:sz="0" w:space="0" w:color="auto"/>
      </w:divBdr>
    </w:div>
    <w:div w:id="1472556221">
      <w:bodyDiv w:val="1"/>
      <w:marLeft w:val="0"/>
      <w:marRight w:val="0"/>
      <w:marTop w:val="0"/>
      <w:marBottom w:val="0"/>
      <w:divBdr>
        <w:top w:val="none" w:sz="0" w:space="0" w:color="auto"/>
        <w:left w:val="none" w:sz="0" w:space="0" w:color="auto"/>
        <w:bottom w:val="none" w:sz="0" w:space="0" w:color="auto"/>
        <w:right w:val="none" w:sz="0" w:space="0" w:color="auto"/>
      </w:divBdr>
    </w:div>
    <w:div w:id="1596131676">
      <w:bodyDiv w:val="1"/>
      <w:marLeft w:val="0"/>
      <w:marRight w:val="0"/>
      <w:marTop w:val="0"/>
      <w:marBottom w:val="0"/>
      <w:divBdr>
        <w:top w:val="none" w:sz="0" w:space="0" w:color="auto"/>
        <w:left w:val="none" w:sz="0" w:space="0" w:color="auto"/>
        <w:bottom w:val="none" w:sz="0" w:space="0" w:color="auto"/>
        <w:right w:val="none" w:sz="0" w:space="0" w:color="auto"/>
      </w:divBdr>
    </w:div>
    <w:div w:id="1650983398">
      <w:bodyDiv w:val="1"/>
      <w:marLeft w:val="0"/>
      <w:marRight w:val="0"/>
      <w:marTop w:val="0"/>
      <w:marBottom w:val="0"/>
      <w:divBdr>
        <w:top w:val="none" w:sz="0" w:space="0" w:color="auto"/>
        <w:left w:val="none" w:sz="0" w:space="0" w:color="auto"/>
        <w:bottom w:val="none" w:sz="0" w:space="0" w:color="auto"/>
        <w:right w:val="none" w:sz="0" w:space="0" w:color="auto"/>
      </w:divBdr>
    </w:div>
    <w:div w:id="1679456151">
      <w:bodyDiv w:val="1"/>
      <w:marLeft w:val="0"/>
      <w:marRight w:val="0"/>
      <w:marTop w:val="0"/>
      <w:marBottom w:val="0"/>
      <w:divBdr>
        <w:top w:val="none" w:sz="0" w:space="0" w:color="auto"/>
        <w:left w:val="none" w:sz="0" w:space="0" w:color="auto"/>
        <w:bottom w:val="none" w:sz="0" w:space="0" w:color="auto"/>
        <w:right w:val="none" w:sz="0" w:space="0" w:color="auto"/>
      </w:divBdr>
    </w:div>
    <w:div w:id="1750467317">
      <w:bodyDiv w:val="1"/>
      <w:marLeft w:val="0"/>
      <w:marRight w:val="0"/>
      <w:marTop w:val="0"/>
      <w:marBottom w:val="0"/>
      <w:divBdr>
        <w:top w:val="none" w:sz="0" w:space="0" w:color="auto"/>
        <w:left w:val="none" w:sz="0" w:space="0" w:color="auto"/>
        <w:bottom w:val="none" w:sz="0" w:space="0" w:color="auto"/>
        <w:right w:val="none" w:sz="0" w:space="0" w:color="auto"/>
      </w:divBdr>
    </w:div>
    <w:div w:id="1830173863">
      <w:bodyDiv w:val="1"/>
      <w:marLeft w:val="0"/>
      <w:marRight w:val="0"/>
      <w:marTop w:val="0"/>
      <w:marBottom w:val="0"/>
      <w:divBdr>
        <w:top w:val="none" w:sz="0" w:space="0" w:color="auto"/>
        <w:left w:val="none" w:sz="0" w:space="0" w:color="auto"/>
        <w:bottom w:val="none" w:sz="0" w:space="0" w:color="auto"/>
        <w:right w:val="none" w:sz="0" w:space="0" w:color="auto"/>
      </w:divBdr>
    </w:div>
    <w:div w:id="1886747234">
      <w:bodyDiv w:val="1"/>
      <w:marLeft w:val="0"/>
      <w:marRight w:val="0"/>
      <w:marTop w:val="0"/>
      <w:marBottom w:val="0"/>
      <w:divBdr>
        <w:top w:val="none" w:sz="0" w:space="0" w:color="auto"/>
        <w:left w:val="none" w:sz="0" w:space="0" w:color="auto"/>
        <w:bottom w:val="none" w:sz="0" w:space="0" w:color="auto"/>
        <w:right w:val="none" w:sz="0" w:space="0" w:color="auto"/>
      </w:divBdr>
    </w:div>
    <w:div w:id="2080328482">
      <w:bodyDiv w:val="1"/>
      <w:marLeft w:val="0"/>
      <w:marRight w:val="0"/>
      <w:marTop w:val="0"/>
      <w:marBottom w:val="0"/>
      <w:divBdr>
        <w:top w:val="none" w:sz="0" w:space="0" w:color="auto"/>
        <w:left w:val="none" w:sz="0" w:space="0" w:color="auto"/>
        <w:bottom w:val="none" w:sz="0" w:space="0" w:color="auto"/>
        <w:right w:val="none" w:sz="0" w:space="0" w:color="auto"/>
      </w:divBdr>
    </w:div>
    <w:div w:id="213663117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yperlink" Target="http://group.barclays.com/about-barclays/investor-relation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group.barclays.com/about-barclays/investor-relations"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BA2A-C26F-4E7C-95B1-EC8B3CF8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45083</Words>
  <Characters>256978</Characters>
  <Application>Microsoft Office Word</Application>
  <DocSecurity>4</DocSecurity>
  <Lines>2141</Lines>
  <Paragraphs>602</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301459</CharactersWithSpaces>
  <SharedDoc>false</SharedDoc>
  <HLinks>
    <vt:vector size="12" baseType="variant">
      <vt:variant>
        <vt:i4>720904</vt:i4>
      </vt:variant>
      <vt:variant>
        <vt:i4>3</vt:i4>
      </vt:variant>
      <vt:variant>
        <vt:i4>0</vt:i4>
      </vt:variant>
      <vt:variant>
        <vt:i4>5</vt:i4>
      </vt:variant>
      <vt:variant>
        <vt:lpwstr>http://group.barclays.com/about-barclays/investor-relations</vt:lpwstr>
      </vt:variant>
      <vt:variant>
        <vt:lpwstr>institutional-investors</vt:lpwstr>
      </vt:variant>
      <vt:variant>
        <vt:i4>720904</vt:i4>
      </vt:variant>
      <vt:variant>
        <vt:i4>0</vt:i4>
      </vt:variant>
      <vt:variant>
        <vt:i4>0</vt:i4>
      </vt:variant>
      <vt:variant>
        <vt:i4>5</vt:i4>
      </vt:variant>
      <vt:variant>
        <vt:lpwstr>http://group.barclays.com/about-barclays/investor-relations</vt:lpwstr>
      </vt:variant>
      <vt:variant>
        <vt:lpwstr>institutional-investors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Fitzgerald</dc:creator>
  <cp:lastModifiedBy>Deeksha Perera</cp:lastModifiedBy>
  <cp:revision>2</cp:revision>
  <cp:lastPrinted>2012-07-26T19:14:00Z</cp:lastPrinted>
  <dcterms:created xsi:type="dcterms:W3CDTF">2012-07-27T13:54:00Z</dcterms:created>
  <dcterms:modified xsi:type="dcterms:W3CDTF">2012-07-27T13:54:00Z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-348276409</vt:i4>
  </property>
  <property fmtid="{D5CDD505-2E9C-101B-9397-08002B2CF9AE}" pid="3" name="_NewReviewCycle">
    <vt:lpwstr/>
  </property>
  <property fmtid="{D5CDD505-2E9C-101B-9397-08002B2CF9AE}" pid="4" name="_EmailSubject">
    <vt:lpwstr>HY12 BB RA Final RNS</vt:lpwstr>
  </property>
  <property fmtid="{D5CDD505-2E9C-101B-9397-08002B2CF9AE}" pid="5" name="_AuthorEmail">
    <vt:lpwstr>Jennifer.Aldworth@barclayscorp.com</vt:lpwstr>
  </property>
  <property fmtid="{D5CDD505-2E9C-101B-9397-08002B2CF9AE}" pid="6" name="_AuthorEmailDisplayName">
    <vt:lpwstr>Aldworth, Jennifer : Group Finance</vt:lpwstr>
  </property>
  <property fmtid="{D5CDD505-2E9C-101B-9397-08002B2CF9AE}" pid="7" name="_PreviousAdHocReviewCycleID">
    <vt:i4>1145757156</vt:i4>
  </property>
  <property fmtid="{D5CDD505-2E9C-101B-9397-08002B2CF9AE}" pid="8" name="_ReviewingToolsShownOnce">
    <vt:lpwstr/>
  </property>
</Properties>
</file>