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54C" w:rsidRPr="00DF2DE8" w:rsidRDefault="00AF554C" w:rsidP="00AF554C">
      <w:pPr>
        <w:spacing w:before="240" w:after="117"/>
        <w:ind w:left="284"/>
        <w:jc w:val="center"/>
        <w:rPr>
          <w:rFonts w:asciiTheme="minorHAnsi" w:hAnsiTheme="minorHAnsi" w:cstheme="minorHAnsi"/>
          <w:b/>
          <w:color w:val="000000"/>
          <w:sz w:val="28"/>
          <w:szCs w:val="28"/>
        </w:rPr>
      </w:pPr>
      <w:r w:rsidRPr="00DF2DE8">
        <w:rPr>
          <w:rFonts w:asciiTheme="minorHAnsi" w:hAnsiTheme="minorHAnsi" w:cstheme="minorHAnsi"/>
          <w:b/>
          <w:color w:val="000000"/>
          <w:sz w:val="28"/>
          <w:szCs w:val="28"/>
        </w:rPr>
        <w:t xml:space="preserve">Zwołanie Nadzwyczajnego Zgromadzenia Akcjonariuszy </w:t>
      </w:r>
      <w:proofErr w:type="spellStart"/>
      <w:r w:rsidRPr="00DF2DE8">
        <w:rPr>
          <w:rFonts w:asciiTheme="minorHAnsi" w:hAnsiTheme="minorHAnsi" w:cstheme="minorHAnsi"/>
          <w:b/>
          <w:color w:val="000000"/>
          <w:sz w:val="28"/>
          <w:szCs w:val="28"/>
        </w:rPr>
        <w:t>Macrologic</w:t>
      </w:r>
      <w:proofErr w:type="spellEnd"/>
      <w:r w:rsidRPr="00DF2DE8">
        <w:rPr>
          <w:rFonts w:asciiTheme="minorHAnsi" w:hAnsiTheme="minorHAnsi" w:cstheme="minorHAnsi"/>
          <w:b/>
          <w:color w:val="000000"/>
          <w:sz w:val="28"/>
          <w:szCs w:val="28"/>
        </w:rPr>
        <w:t xml:space="preserve"> SA</w:t>
      </w:r>
    </w:p>
    <w:p w:rsidR="00AF554C" w:rsidRPr="00AF554C" w:rsidRDefault="00AF554C" w:rsidP="00AF554C">
      <w:pPr>
        <w:spacing w:before="240" w:after="117"/>
        <w:ind w:left="284"/>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 xml:space="preserve">Zarząd </w:t>
      </w:r>
      <w:proofErr w:type="spellStart"/>
      <w:r w:rsidRPr="00AF554C">
        <w:rPr>
          <w:rFonts w:asciiTheme="minorHAnsi" w:hAnsiTheme="minorHAnsi" w:cstheme="minorHAnsi"/>
          <w:color w:val="000000"/>
          <w:sz w:val="22"/>
          <w:szCs w:val="22"/>
        </w:rPr>
        <w:t>Macrologic</w:t>
      </w:r>
      <w:proofErr w:type="spellEnd"/>
      <w:r w:rsidRPr="00AF554C">
        <w:rPr>
          <w:rFonts w:asciiTheme="minorHAnsi" w:hAnsiTheme="minorHAnsi" w:cstheme="minorHAnsi"/>
          <w:color w:val="000000"/>
          <w:sz w:val="22"/>
          <w:szCs w:val="22"/>
        </w:rPr>
        <w:t xml:space="preserve"> Spółki Akcyjnej z siedzibą w Warszawie przy ul. Kłopotowskiego 22, wpisanej do Rejestru Przedsiębiorców prowadzonego przez Sąd Rejonowy dla m.st. Warszawy w Warszawie, Wydział XIII Gospodarczy Krajowego Rejestru Sądowego, pod numerem KRS 45462, NIP 5220002825, kapitał zakładowy 1.888.719 zł opłacony w całości („</w:t>
      </w:r>
      <w:r w:rsidRPr="00AF554C">
        <w:rPr>
          <w:rFonts w:asciiTheme="minorHAnsi" w:hAnsiTheme="minorHAnsi" w:cstheme="minorHAnsi"/>
          <w:b/>
          <w:color w:val="000000"/>
          <w:sz w:val="22"/>
          <w:szCs w:val="22"/>
        </w:rPr>
        <w:t>Spółka</w:t>
      </w:r>
      <w:r w:rsidRPr="00AF554C">
        <w:rPr>
          <w:rFonts w:asciiTheme="minorHAnsi" w:hAnsiTheme="minorHAnsi" w:cstheme="minorHAnsi"/>
          <w:color w:val="000000"/>
          <w:sz w:val="22"/>
          <w:szCs w:val="22"/>
        </w:rPr>
        <w:t>”), działając na podstawie art. 398 oraz art. 402</w:t>
      </w:r>
      <w:r w:rsidRPr="00AF554C">
        <w:rPr>
          <w:rFonts w:asciiTheme="minorHAnsi" w:hAnsiTheme="minorHAnsi" w:cstheme="minorHAnsi"/>
          <w:color w:val="000000"/>
          <w:sz w:val="22"/>
          <w:szCs w:val="22"/>
          <w:vertAlign w:val="superscript"/>
        </w:rPr>
        <w:t>1</w:t>
      </w:r>
      <w:r w:rsidRPr="00AF554C">
        <w:rPr>
          <w:rFonts w:asciiTheme="minorHAnsi" w:hAnsiTheme="minorHAnsi" w:cstheme="minorHAnsi"/>
          <w:color w:val="000000"/>
          <w:sz w:val="22"/>
          <w:szCs w:val="22"/>
        </w:rPr>
        <w:t xml:space="preserve"> §1 i §2 a także art. 396 § 5 Kodeksu Spółek Handlowych („</w:t>
      </w:r>
      <w:proofErr w:type="spellStart"/>
      <w:r w:rsidRPr="00AF554C">
        <w:rPr>
          <w:rFonts w:asciiTheme="minorHAnsi" w:hAnsiTheme="minorHAnsi" w:cstheme="minorHAnsi"/>
          <w:b/>
          <w:color w:val="000000"/>
          <w:sz w:val="22"/>
          <w:szCs w:val="22"/>
        </w:rPr>
        <w:t>Ksh</w:t>
      </w:r>
      <w:proofErr w:type="spellEnd"/>
      <w:r w:rsidRPr="00AF554C">
        <w:rPr>
          <w:rFonts w:asciiTheme="minorHAnsi" w:hAnsiTheme="minorHAnsi" w:cstheme="minorHAnsi"/>
          <w:color w:val="000000"/>
          <w:sz w:val="22"/>
          <w:szCs w:val="22"/>
        </w:rPr>
        <w:t>”), zwołuje Zwyczajne Walne Zgromadzenie Akcjonariuszy („</w:t>
      </w:r>
      <w:r w:rsidRPr="00AF554C">
        <w:rPr>
          <w:rFonts w:asciiTheme="minorHAnsi" w:hAnsiTheme="minorHAnsi" w:cstheme="minorHAnsi"/>
          <w:b/>
          <w:color w:val="000000"/>
          <w:sz w:val="22"/>
          <w:szCs w:val="22"/>
        </w:rPr>
        <w:t>Zgromadzenie</w:t>
      </w:r>
      <w:r>
        <w:rPr>
          <w:rFonts w:asciiTheme="minorHAnsi" w:hAnsiTheme="minorHAnsi" w:cstheme="minorHAnsi"/>
          <w:color w:val="000000"/>
          <w:sz w:val="22"/>
          <w:szCs w:val="22"/>
        </w:rPr>
        <w:t>”), które odbędzie się w </w:t>
      </w:r>
      <w:r w:rsidRPr="00AF554C">
        <w:rPr>
          <w:rFonts w:asciiTheme="minorHAnsi" w:hAnsiTheme="minorHAnsi" w:cstheme="minorHAnsi"/>
          <w:color w:val="000000"/>
          <w:sz w:val="22"/>
          <w:szCs w:val="22"/>
        </w:rPr>
        <w:t xml:space="preserve">dniu </w:t>
      </w:r>
      <w:r w:rsidRPr="00AF554C">
        <w:rPr>
          <w:rFonts w:asciiTheme="minorHAnsi" w:hAnsiTheme="minorHAnsi" w:cstheme="minorHAnsi"/>
          <w:b/>
          <w:color w:val="000000"/>
          <w:sz w:val="22"/>
          <w:szCs w:val="22"/>
        </w:rPr>
        <w:t xml:space="preserve">19 marca 2012 r., o godz. 11:00, w siedzibie Spółki </w:t>
      </w:r>
      <w:r w:rsidRPr="00AF554C">
        <w:rPr>
          <w:rFonts w:asciiTheme="minorHAnsi" w:hAnsiTheme="minorHAnsi" w:cstheme="minorHAnsi"/>
          <w:color w:val="000000"/>
          <w:sz w:val="22"/>
          <w:szCs w:val="22"/>
        </w:rPr>
        <w:t>w Warszawie przy ul. Kłopotowskiego 22.</w:t>
      </w:r>
    </w:p>
    <w:p w:rsidR="00AF554C" w:rsidRPr="00AF554C" w:rsidRDefault="00AF554C" w:rsidP="00AF554C">
      <w:pPr>
        <w:spacing w:before="240" w:after="117"/>
        <w:ind w:left="709"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Porządek obrad Nadzwyczajnego Walnego Zgromadzenia Akcjonariuszy:</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1. Otwarcie Zgromadzenia.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2. Wybór Przewodniczącego Zgromadzenia i sporządzenie listy obecności.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3. Stwierdzenie prawidłowości zwołania Zgromadzenia i jego zdolności do podejmowania uchwał.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4. Wybór Komisji Mandatowo-Skrutacyjnej.</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5. Przyjęcie porządku obrad.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6. Rozpatrzenie sprawozdania Zarządu z działalności Spółki za rok 2011 oraz przedstawie</w:t>
      </w:r>
      <w:r>
        <w:rPr>
          <w:rFonts w:asciiTheme="minorHAnsi" w:hAnsiTheme="minorHAnsi" w:cstheme="minorHAnsi"/>
          <w:sz w:val="22"/>
          <w:szCs w:val="22"/>
        </w:rPr>
        <w:t>nie przez </w:t>
      </w:r>
      <w:r w:rsidRPr="00AF554C">
        <w:rPr>
          <w:rFonts w:asciiTheme="minorHAnsi" w:hAnsiTheme="minorHAnsi" w:cstheme="minorHAnsi"/>
          <w:sz w:val="22"/>
          <w:szCs w:val="22"/>
        </w:rPr>
        <w:t xml:space="preserve">Zarząd wniosku w zakresie podziału zysku Spółki.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7. Rozpatrzenie sprawozdania Zarządu z działalności Grupy Kapitałowej Spółki za rok 2011.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8. Rozpatrzenie sprawozdania finansowego Spółki za rok obrotowy 2011 oraz opinii biegłego rewidenta z badania tego sprawozdania.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9. Rozpatrzenie sprawozdania finansowego Grupy Kapitałowej Spółki za rok obrotowy 2011 oraz opinii biegłego rewidenta z badania tego sprawozdania;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10. Rozpatrzenie sprawozdania Rady Nadzorczej z działalności Spółki za rok 2011, w tym z badania sprawozdania finansowego i sprawozdań Zarządu oraz zaopiniowanie wniosku Zarządu, co do podziału zysku za rok 2011.                                                                                          </w:t>
      </w:r>
    </w:p>
    <w:p w:rsidR="00AF554C" w:rsidRPr="00AF554C" w:rsidRDefault="00AF554C" w:rsidP="00AF554C">
      <w:pPr>
        <w:pStyle w:val="Zwykytekst"/>
        <w:spacing w:before="120" w:after="120"/>
        <w:ind w:left="284"/>
        <w:rPr>
          <w:rFonts w:asciiTheme="minorHAnsi" w:hAnsiTheme="minorHAnsi" w:cstheme="minorHAnsi"/>
          <w:sz w:val="22"/>
          <w:szCs w:val="22"/>
        </w:rPr>
      </w:pPr>
      <w:r w:rsidRPr="00AF554C">
        <w:rPr>
          <w:rFonts w:asciiTheme="minorHAnsi" w:hAnsiTheme="minorHAnsi" w:cstheme="minorHAnsi"/>
          <w:sz w:val="22"/>
          <w:szCs w:val="22"/>
        </w:rPr>
        <w:t xml:space="preserve">11. Podjęcie uchwał w sprawach: </w:t>
      </w:r>
    </w:p>
    <w:p w:rsidR="00AF554C" w:rsidRPr="00AF554C" w:rsidRDefault="00AF554C" w:rsidP="00AF554C">
      <w:pPr>
        <w:pStyle w:val="Zwykytekst"/>
        <w:spacing w:before="120" w:after="120"/>
        <w:ind w:firstLine="708"/>
        <w:rPr>
          <w:rFonts w:asciiTheme="minorHAnsi" w:hAnsiTheme="minorHAnsi" w:cstheme="minorHAnsi"/>
          <w:sz w:val="22"/>
          <w:szCs w:val="22"/>
        </w:rPr>
      </w:pPr>
      <w:r w:rsidRPr="00AF554C">
        <w:rPr>
          <w:rFonts w:asciiTheme="minorHAnsi" w:hAnsiTheme="minorHAnsi" w:cstheme="minorHAnsi"/>
          <w:sz w:val="22"/>
          <w:szCs w:val="22"/>
        </w:rPr>
        <w:t xml:space="preserve">1) Zatwierdzenia sprawozdania Zarządu z działalności Spółki w 2011 roku; </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 xml:space="preserve">2) Zatwierdzenia sprawozdania Zarządu z działalności Grupy Kapitałowej Spółki w 2011 roku; </w:t>
      </w:r>
    </w:p>
    <w:p w:rsidR="00AF554C" w:rsidRPr="00AF554C" w:rsidRDefault="00AF554C" w:rsidP="00AF554C">
      <w:pPr>
        <w:pStyle w:val="Zwykytekst"/>
        <w:spacing w:before="120" w:after="120"/>
        <w:ind w:firstLine="708"/>
        <w:rPr>
          <w:rFonts w:asciiTheme="minorHAnsi" w:hAnsiTheme="minorHAnsi" w:cstheme="minorHAnsi"/>
          <w:sz w:val="22"/>
          <w:szCs w:val="22"/>
        </w:rPr>
      </w:pPr>
      <w:r w:rsidRPr="00AF554C">
        <w:rPr>
          <w:rFonts w:asciiTheme="minorHAnsi" w:hAnsiTheme="minorHAnsi" w:cstheme="minorHAnsi"/>
          <w:sz w:val="22"/>
          <w:szCs w:val="22"/>
        </w:rPr>
        <w:t xml:space="preserve">3) Zatwierdzenia sprawozdania finansowego Spółki za rok obrotowy 2011; </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 xml:space="preserve">4) Zatwierdzenia skonsolidowanego sprawozdania finansowego Spółki za rok obrotowy 2011; </w:t>
      </w:r>
    </w:p>
    <w:p w:rsidR="00AF554C" w:rsidRPr="00AF554C" w:rsidRDefault="00AF554C" w:rsidP="00AF554C">
      <w:pPr>
        <w:pStyle w:val="Zwykytekst"/>
        <w:spacing w:before="120" w:after="120"/>
        <w:ind w:firstLine="708"/>
        <w:rPr>
          <w:rFonts w:asciiTheme="minorHAnsi" w:hAnsiTheme="minorHAnsi" w:cstheme="minorHAnsi"/>
          <w:sz w:val="22"/>
          <w:szCs w:val="22"/>
        </w:rPr>
      </w:pPr>
      <w:r w:rsidRPr="00AF554C">
        <w:rPr>
          <w:rFonts w:asciiTheme="minorHAnsi" w:hAnsiTheme="minorHAnsi" w:cstheme="minorHAnsi"/>
          <w:sz w:val="22"/>
          <w:szCs w:val="22"/>
        </w:rPr>
        <w:t xml:space="preserve">5) Podziału zysku osiągniętego przez Spółkę w roku 2011;                     </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6) Udzielenia członkom Zarządu i Rady Nadzorczej Spółki absolutorium z wykonania przez nich obowiązków w roku obrotowym 2011;</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7) O</w:t>
      </w:r>
      <w:r w:rsidRPr="00AF554C">
        <w:rPr>
          <w:rFonts w:asciiTheme="minorHAnsi" w:hAnsiTheme="minorHAnsi" w:cstheme="minorHAnsi"/>
          <w:color w:val="000000"/>
          <w:sz w:val="22"/>
          <w:szCs w:val="22"/>
        </w:rPr>
        <w:t>kreślenia liczby członków Rady Nadzorczej Spółki VI kadencji;</w:t>
      </w:r>
    </w:p>
    <w:p w:rsidR="00AF554C" w:rsidRPr="00AF554C" w:rsidRDefault="00AF554C" w:rsidP="00AF554C">
      <w:pPr>
        <w:pStyle w:val="Zwykytekst"/>
        <w:spacing w:before="120" w:after="120"/>
        <w:ind w:left="708"/>
        <w:rPr>
          <w:rFonts w:asciiTheme="minorHAnsi" w:hAnsiTheme="minorHAnsi" w:cstheme="minorHAnsi"/>
          <w:color w:val="000000"/>
          <w:sz w:val="22"/>
          <w:szCs w:val="22"/>
        </w:rPr>
      </w:pPr>
      <w:r w:rsidRPr="00AF554C">
        <w:rPr>
          <w:rFonts w:asciiTheme="minorHAnsi" w:hAnsiTheme="minorHAnsi" w:cstheme="minorHAnsi"/>
          <w:sz w:val="22"/>
          <w:szCs w:val="22"/>
        </w:rPr>
        <w:t xml:space="preserve">8) </w:t>
      </w:r>
      <w:r w:rsidRPr="00AF554C">
        <w:rPr>
          <w:rFonts w:asciiTheme="minorHAnsi" w:hAnsiTheme="minorHAnsi" w:cstheme="minorHAnsi"/>
          <w:color w:val="000000"/>
          <w:sz w:val="22"/>
          <w:szCs w:val="22"/>
        </w:rPr>
        <w:t>Powołania członków Rady Nadzorczej Spółki na VI kadencję;</w:t>
      </w:r>
    </w:p>
    <w:p w:rsidR="00AF554C" w:rsidRPr="00AF554C" w:rsidRDefault="00AF554C" w:rsidP="00AF554C">
      <w:pPr>
        <w:pStyle w:val="Zwykytekst"/>
        <w:spacing w:before="120" w:after="120"/>
        <w:ind w:left="708"/>
        <w:rPr>
          <w:rFonts w:asciiTheme="minorHAnsi" w:hAnsiTheme="minorHAnsi" w:cstheme="minorHAnsi"/>
          <w:color w:val="000000"/>
          <w:sz w:val="22"/>
          <w:szCs w:val="22"/>
        </w:rPr>
      </w:pPr>
      <w:r w:rsidRPr="00AF554C">
        <w:rPr>
          <w:rFonts w:asciiTheme="minorHAnsi" w:hAnsiTheme="minorHAnsi" w:cstheme="minorHAnsi"/>
          <w:color w:val="000000"/>
          <w:sz w:val="22"/>
          <w:szCs w:val="22"/>
        </w:rPr>
        <w:t>9) Zmiany statutu Spółki w zakresie:</w:t>
      </w:r>
    </w:p>
    <w:p w:rsidR="00AF554C" w:rsidRPr="00AF554C" w:rsidRDefault="00AF554C" w:rsidP="00AF554C">
      <w:pPr>
        <w:pStyle w:val="Zwykytekst"/>
        <w:spacing w:before="120" w:after="120"/>
        <w:ind w:left="708"/>
        <w:rPr>
          <w:rFonts w:asciiTheme="minorHAnsi" w:hAnsiTheme="minorHAnsi" w:cstheme="minorHAnsi"/>
          <w:color w:val="000000"/>
          <w:sz w:val="22"/>
          <w:szCs w:val="22"/>
        </w:rPr>
      </w:pPr>
      <w:r w:rsidRPr="00AF554C">
        <w:rPr>
          <w:rFonts w:asciiTheme="minorHAnsi" w:hAnsiTheme="minorHAnsi" w:cstheme="minorHAnsi"/>
          <w:color w:val="000000"/>
          <w:sz w:val="22"/>
          <w:szCs w:val="22"/>
        </w:rPr>
        <w:t xml:space="preserve">I. uchylenia w całości pkt 1 w §8 w jego dotychczasowym brzmieniu </w:t>
      </w:r>
      <w:proofErr w:type="spellStart"/>
      <w:r w:rsidRPr="00AF554C">
        <w:rPr>
          <w:rFonts w:asciiTheme="minorHAnsi" w:hAnsiTheme="minorHAnsi" w:cstheme="minorHAnsi"/>
          <w:color w:val="000000"/>
          <w:sz w:val="22"/>
          <w:szCs w:val="22"/>
        </w:rPr>
        <w:t>tj</w:t>
      </w:r>
      <w:proofErr w:type="spellEnd"/>
      <w:r w:rsidRPr="00AF554C">
        <w:rPr>
          <w:rFonts w:asciiTheme="minorHAnsi" w:hAnsiTheme="minorHAnsi" w:cstheme="minorHAnsi"/>
          <w:color w:val="000000"/>
          <w:sz w:val="22"/>
          <w:szCs w:val="22"/>
        </w:rPr>
        <w:t>:</w:t>
      </w:r>
    </w:p>
    <w:p w:rsidR="00AF554C" w:rsidRPr="00AF554C" w:rsidRDefault="00AF554C" w:rsidP="00AF554C">
      <w:pPr>
        <w:pStyle w:val="Zwykytekst"/>
        <w:spacing w:before="120" w:after="120"/>
        <w:ind w:left="708"/>
        <w:jc w:val="both"/>
        <w:rPr>
          <w:rFonts w:asciiTheme="minorHAnsi" w:hAnsiTheme="minorHAnsi" w:cstheme="minorHAnsi"/>
          <w:i/>
          <w:sz w:val="22"/>
          <w:szCs w:val="22"/>
          <w:shd w:val="clear" w:color="auto" w:fill="FFFFFF"/>
        </w:rPr>
      </w:pPr>
      <w:r w:rsidRPr="00AF554C">
        <w:rPr>
          <w:rFonts w:asciiTheme="minorHAnsi" w:hAnsiTheme="minorHAnsi" w:cstheme="minorHAnsi"/>
          <w:i/>
          <w:sz w:val="22"/>
          <w:szCs w:val="22"/>
          <w:shd w:val="clear" w:color="auto" w:fill="FFFFFF"/>
        </w:rPr>
        <w:lastRenderedPageBreak/>
        <w:t>„Akcje założycielskie serii A o numerach od 1 do 100.000 są akcjami zwykłymi imien</w:t>
      </w:r>
      <w:r>
        <w:rPr>
          <w:rFonts w:asciiTheme="minorHAnsi" w:hAnsiTheme="minorHAnsi" w:cstheme="minorHAnsi"/>
          <w:i/>
          <w:sz w:val="22"/>
          <w:szCs w:val="22"/>
          <w:shd w:val="clear" w:color="auto" w:fill="FFFFFF"/>
        </w:rPr>
        <w:t>nymi i </w:t>
      </w:r>
      <w:r w:rsidRPr="00AF554C">
        <w:rPr>
          <w:rFonts w:asciiTheme="minorHAnsi" w:hAnsiTheme="minorHAnsi" w:cstheme="minorHAnsi"/>
          <w:i/>
          <w:sz w:val="22"/>
          <w:szCs w:val="22"/>
          <w:shd w:val="clear" w:color="auto" w:fill="FFFFFF"/>
        </w:rPr>
        <w:t>wydane zostały w zamian za wkłady niepieniężne w postaci majątku przekształconej spółki pod firmą: Biuro Usług Komputerowych „MACROSOFT'' Spółka z ograniczoną odpowiedzialnością.”</w:t>
      </w:r>
    </w:p>
    <w:p w:rsidR="00AF554C" w:rsidRPr="00AF554C" w:rsidRDefault="00AF554C" w:rsidP="00AF554C">
      <w:pPr>
        <w:pStyle w:val="Zwykytekst"/>
        <w:spacing w:before="120" w:after="120"/>
        <w:ind w:left="708"/>
        <w:rPr>
          <w:rFonts w:asciiTheme="minorHAnsi" w:hAnsiTheme="minorHAnsi" w:cstheme="minorHAnsi"/>
          <w:color w:val="000000"/>
          <w:sz w:val="22"/>
          <w:szCs w:val="22"/>
        </w:rPr>
      </w:pPr>
      <w:r w:rsidRPr="00AF554C">
        <w:rPr>
          <w:rFonts w:asciiTheme="minorHAnsi" w:hAnsiTheme="minorHAnsi" w:cstheme="minorHAnsi"/>
          <w:sz w:val="22"/>
          <w:szCs w:val="22"/>
          <w:shd w:val="clear" w:color="auto" w:fill="FFFFFF"/>
        </w:rPr>
        <w:t xml:space="preserve">i uchwalenia </w:t>
      </w:r>
      <w:r w:rsidRPr="00AF554C">
        <w:rPr>
          <w:rFonts w:asciiTheme="minorHAnsi" w:hAnsiTheme="minorHAnsi" w:cstheme="minorHAnsi"/>
          <w:color w:val="000000"/>
          <w:sz w:val="22"/>
          <w:szCs w:val="22"/>
        </w:rPr>
        <w:t>pkt 1 w §8 Statutu w nowym brzmieniu:</w:t>
      </w:r>
    </w:p>
    <w:p w:rsidR="00AF554C" w:rsidRPr="00AF554C" w:rsidRDefault="00AF554C" w:rsidP="00AF554C">
      <w:pPr>
        <w:pStyle w:val="Zwykytekst"/>
        <w:spacing w:before="120" w:after="120"/>
        <w:ind w:left="708"/>
        <w:jc w:val="both"/>
        <w:rPr>
          <w:rFonts w:asciiTheme="minorHAnsi" w:hAnsiTheme="minorHAnsi" w:cstheme="minorHAnsi"/>
          <w:i/>
          <w:sz w:val="22"/>
          <w:szCs w:val="22"/>
          <w:shd w:val="clear" w:color="auto" w:fill="FFFFFF"/>
        </w:rPr>
      </w:pPr>
      <w:r w:rsidRPr="00AF554C">
        <w:rPr>
          <w:rFonts w:asciiTheme="minorHAnsi" w:hAnsiTheme="minorHAnsi" w:cstheme="minorHAnsi"/>
          <w:i/>
          <w:sz w:val="22"/>
          <w:szCs w:val="22"/>
          <w:shd w:val="clear" w:color="auto" w:fill="FFFFFF"/>
        </w:rPr>
        <w:t>„Akcje Serii A o numerach od 1 do 100.000 są akcjami zwykłymi, na okaziciela. Akcje te powstały w wyniku zamiany imiennych akcji założycielskich serii A o numerach od 1 do 100.000, wydanych w zamian za wkłady niepieniężne w postaci majątku przekształconej spółki pod firmą: Biuro Usług Komputerowych „MACROSOFT'' Spółka z ograniczoną odpowiedzialnością”.</w:t>
      </w:r>
    </w:p>
    <w:p w:rsidR="00AF554C" w:rsidRPr="00AF554C" w:rsidRDefault="00AF554C" w:rsidP="00AF554C">
      <w:pPr>
        <w:pStyle w:val="Zwykytekst"/>
        <w:spacing w:before="120" w:after="120"/>
        <w:ind w:left="708"/>
        <w:jc w:val="both"/>
        <w:rPr>
          <w:rFonts w:asciiTheme="minorHAnsi" w:hAnsiTheme="minorHAnsi" w:cstheme="minorHAnsi"/>
          <w:sz w:val="22"/>
          <w:szCs w:val="22"/>
          <w:shd w:val="clear" w:color="auto" w:fill="FFFFFF"/>
        </w:rPr>
      </w:pPr>
      <w:r w:rsidRPr="00AF554C">
        <w:rPr>
          <w:rFonts w:asciiTheme="minorHAnsi" w:hAnsiTheme="minorHAnsi" w:cstheme="minorHAnsi"/>
          <w:sz w:val="22"/>
          <w:szCs w:val="22"/>
          <w:shd w:val="clear" w:color="auto" w:fill="FFFFFF"/>
        </w:rPr>
        <w:t xml:space="preserve">II. </w:t>
      </w:r>
      <w:r w:rsidRPr="00AF554C">
        <w:rPr>
          <w:rFonts w:asciiTheme="minorHAnsi" w:hAnsiTheme="minorHAnsi" w:cstheme="minorHAnsi"/>
          <w:color w:val="000000"/>
          <w:sz w:val="22"/>
          <w:szCs w:val="22"/>
        </w:rPr>
        <w:t xml:space="preserve">uchylenia w całości ust.2 w §12 w jego dotychczasowym brzmieniu: </w:t>
      </w:r>
      <w:r w:rsidRPr="00AF554C">
        <w:rPr>
          <w:rFonts w:asciiTheme="minorHAnsi" w:hAnsiTheme="minorHAnsi" w:cstheme="minorHAnsi"/>
          <w:i/>
          <w:color w:val="000000"/>
          <w:sz w:val="22"/>
          <w:szCs w:val="22"/>
        </w:rPr>
        <w:t>„</w:t>
      </w:r>
      <w:r w:rsidRPr="00AF554C">
        <w:rPr>
          <w:rFonts w:asciiTheme="minorHAnsi" w:hAnsiTheme="minorHAnsi" w:cstheme="minorHAnsi"/>
          <w:i/>
          <w:sz w:val="22"/>
          <w:szCs w:val="22"/>
          <w:shd w:val="clear" w:color="auto" w:fill="FFFFFF"/>
        </w:rPr>
        <w:t>Kadencja Zarządu trwa 3 lata”</w:t>
      </w:r>
      <w:r w:rsidRPr="00AF554C">
        <w:rPr>
          <w:rFonts w:asciiTheme="minorHAnsi" w:hAnsiTheme="minorHAnsi" w:cstheme="minorHAnsi"/>
          <w:sz w:val="22"/>
          <w:szCs w:val="22"/>
          <w:shd w:val="clear" w:color="auto" w:fill="FFFFFF"/>
        </w:rPr>
        <w:t xml:space="preserve"> bez wprowadzania w to miejsce nowego zapisu Statutu.</w:t>
      </w:r>
    </w:p>
    <w:p w:rsidR="00AF554C" w:rsidRPr="00AF554C" w:rsidRDefault="00AF554C" w:rsidP="00AF554C">
      <w:pPr>
        <w:pStyle w:val="Zwykytekst"/>
        <w:spacing w:before="120" w:after="120"/>
        <w:ind w:left="708"/>
        <w:jc w:val="both"/>
        <w:rPr>
          <w:rFonts w:asciiTheme="minorHAnsi" w:hAnsiTheme="minorHAnsi" w:cstheme="minorHAnsi"/>
          <w:sz w:val="22"/>
          <w:szCs w:val="22"/>
          <w:shd w:val="clear" w:color="auto" w:fill="FFFFFF"/>
        </w:rPr>
      </w:pPr>
      <w:r w:rsidRPr="00AF554C">
        <w:rPr>
          <w:rFonts w:asciiTheme="minorHAnsi" w:hAnsiTheme="minorHAnsi" w:cstheme="minorHAnsi"/>
          <w:sz w:val="22"/>
          <w:szCs w:val="22"/>
          <w:shd w:val="clear" w:color="auto" w:fill="FFFFFF"/>
        </w:rPr>
        <w:t>III. zmiany oznaczenia ust.3 w §12 poprzez nadanie mu nowego oznaczenia cyfrą „2”</w:t>
      </w:r>
    </w:p>
    <w:p w:rsidR="00AF554C" w:rsidRPr="00AF554C" w:rsidRDefault="00AF554C" w:rsidP="00AF554C">
      <w:pPr>
        <w:pStyle w:val="Zwykytekst"/>
        <w:spacing w:before="120" w:after="120"/>
        <w:ind w:left="708"/>
        <w:jc w:val="both"/>
        <w:rPr>
          <w:rFonts w:asciiTheme="minorHAnsi" w:hAnsiTheme="minorHAnsi" w:cstheme="minorHAnsi"/>
          <w:sz w:val="22"/>
          <w:szCs w:val="22"/>
          <w:shd w:val="clear" w:color="auto" w:fill="FFFFFF"/>
        </w:rPr>
      </w:pPr>
      <w:r w:rsidRPr="00AF554C">
        <w:rPr>
          <w:rFonts w:asciiTheme="minorHAnsi" w:hAnsiTheme="minorHAnsi" w:cstheme="minorHAnsi"/>
          <w:sz w:val="22"/>
          <w:szCs w:val="22"/>
          <w:shd w:val="clear" w:color="auto" w:fill="FFFFFF"/>
        </w:rPr>
        <w:t>10) Ustalenia tekstu jednolitego Statutu Spółki.</w:t>
      </w:r>
    </w:p>
    <w:p w:rsidR="00AF554C" w:rsidRPr="00AF554C" w:rsidRDefault="00AF554C" w:rsidP="00AF554C">
      <w:pPr>
        <w:pStyle w:val="Zwykytekst"/>
        <w:spacing w:before="120" w:after="120"/>
        <w:ind w:left="708"/>
        <w:jc w:val="both"/>
        <w:rPr>
          <w:rFonts w:asciiTheme="minorHAnsi" w:hAnsiTheme="minorHAnsi" w:cstheme="minorHAnsi"/>
          <w:sz w:val="22"/>
          <w:szCs w:val="22"/>
        </w:rPr>
      </w:pPr>
      <w:r w:rsidRPr="00AF554C">
        <w:rPr>
          <w:rFonts w:asciiTheme="minorHAnsi" w:hAnsiTheme="minorHAnsi" w:cstheme="minorHAnsi"/>
          <w:sz w:val="22"/>
          <w:szCs w:val="22"/>
          <w:shd w:val="clear" w:color="auto" w:fill="FFFFFF"/>
        </w:rPr>
        <w:t xml:space="preserve">11) Przekazania kwoty </w:t>
      </w:r>
      <w:r w:rsidRPr="00AF554C">
        <w:rPr>
          <w:rFonts w:asciiTheme="minorHAnsi" w:hAnsiTheme="minorHAnsi" w:cstheme="minorHAnsi"/>
          <w:sz w:val="22"/>
          <w:szCs w:val="22"/>
        </w:rPr>
        <w:t>128.721,79 zł wykazanej w pozycji zysku z lat ubiegłych na kapitał zapasowy Spółki.</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12) Zatwierdzenia sprawozdania Zarządu spółki przejętej pod firmą Biuro Handlowo-Usługowe MS-</w:t>
      </w:r>
      <w:proofErr w:type="spellStart"/>
      <w:r w:rsidRPr="00AF554C">
        <w:rPr>
          <w:rFonts w:asciiTheme="minorHAnsi" w:hAnsiTheme="minorHAnsi" w:cstheme="minorHAnsi"/>
          <w:sz w:val="22"/>
          <w:szCs w:val="22"/>
        </w:rPr>
        <w:t>Soft</w:t>
      </w:r>
      <w:proofErr w:type="spellEnd"/>
      <w:r w:rsidRPr="00AF554C">
        <w:rPr>
          <w:rFonts w:asciiTheme="minorHAnsi" w:hAnsiTheme="minorHAnsi" w:cstheme="minorHAnsi"/>
          <w:sz w:val="22"/>
          <w:szCs w:val="22"/>
        </w:rPr>
        <w:t xml:space="preserve"> sp. z o.o. z działalności tej spółki w 2011 roku; </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13) Zatwierdzenia sprawozdania finansowego spółki przejętej pod firmą Biuro Handlowo-Usługowe MS-</w:t>
      </w:r>
      <w:proofErr w:type="spellStart"/>
      <w:r w:rsidRPr="00AF554C">
        <w:rPr>
          <w:rFonts w:asciiTheme="minorHAnsi" w:hAnsiTheme="minorHAnsi" w:cstheme="minorHAnsi"/>
          <w:sz w:val="22"/>
          <w:szCs w:val="22"/>
        </w:rPr>
        <w:t>Soft</w:t>
      </w:r>
      <w:proofErr w:type="spellEnd"/>
      <w:r w:rsidRPr="00AF554C">
        <w:rPr>
          <w:rFonts w:asciiTheme="minorHAnsi" w:hAnsiTheme="minorHAnsi" w:cstheme="minorHAnsi"/>
          <w:sz w:val="22"/>
          <w:szCs w:val="22"/>
        </w:rPr>
        <w:t xml:space="preserve"> sp. z o.o. za rok obrotowy 2011; </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14) Udzielenia Zarządowi spółki przejętej pod firmą Biur</w:t>
      </w:r>
      <w:r>
        <w:rPr>
          <w:rFonts w:asciiTheme="minorHAnsi" w:hAnsiTheme="minorHAnsi" w:cstheme="minorHAnsi"/>
          <w:sz w:val="22"/>
          <w:szCs w:val="22"/>
        </w:rPr>
        <w:t>o Handlowo-Usługowe MS-</w:t>
      </w:r>
      <w:proofErr w:type="spellStart"/>
      <w:r>
        <w:rPr>
          <w:rFonts w:asciiTheme="minorHAnsi" w:hAnsiTheme="minorHAnsi" w:cstheme="minorHAnsi"/>
          <w:sz w:val="22"/>
          <w:szCs w:val="22"/>
        </w:rPr>
        <w:t>Soft</w:t>
      </w:r>
      <w:proofErr w:type="spellEnd"/>
      <w:r>
        <w:rPr>
          <w:rFonts w:asciiTheme="minorHAnsi" w:hAnsiTheme="minorHAnsi" w:cstheme="minorHAnsi"/>
          <w:sz w:val="22"/>
          <w:szCs w:val="22"/>
        </w:rPr>
        <w:t> sp. </w:t>
      </w:r>
      <w:r w:rsidRPr="00AF554C">
        <w:rPr>
          <w:rFonts w:asciiTheme="minorHAnsi" w:hAnsiTheme="minorHAnsi" w:cstheme="minorHAnsi"/>
          <w:sz w:val="22"/>
          <w:szCs w:val="22"/>
        </w:rPr>
        <w:t>z</w:t>
      </w:r>
      <w:r>
        <w:rPr>
          <w:rFonts w:asciiTheme="minorHAnsi" w:hAnsiTheme="minorHAnsi" w:cstheme="minorHAnsi"/>
          <w:sz w:val="22"/>
          <w:szCs w:val="22"/>
        </w:rPr>
        <w:t> </w:t>
      </w:r>
      <w:r w:rsidRPr="00AF554C">
        <w:rPr>
          <w:rFonts w:asciiTheme="minorHAnsi" w:hAnsiTheme="minorHAnsi" w:cstheme="minorHAnsi"/>
          <w:sz w:val="22"/>
          <w:szCs w:val="22"/>
        </w:rPr>
        <w:t>o.o. absolutorium z wykonania obowiązków w roku 2011.</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15) Zatwierdzenia sprawozdania Zarządu spółki przejętej pod firmą Biuro Handlowo-Usługowe MS-</w:t>
      </w:r>
      <w:proofErr w:type="spellStart"/>
      <w:r w:rsidRPr="00AF554C">
        <w:rPr>
          <w:rFonts w:asciiTheme="minorHAnsi" w:hAnsiTheme="minorHAnsi" w:cstheme="minorHAnsi"/>
          <w:sz w:val="22"/>
          <w:szCs w:val="22"/>
        </w:rPr>
        <w:t>Soft</w:t>
      </w:r>
      <w:proofErr w:type="spellEnd"/>
      <w:r w:rsidRPr="00AF554C">
        <w:rPr>
          <w:rFonts w:asciiTheme="minorHAnsi" w:hAnsiTheme="minorHAnsi" w:cstheme="minorHAnsi"/>
          <w:sz w:val="22"/>
          <w:szCs w:val="22"/>
        </w:rPr>
        <w:t xml:space="preserve"> sp. z o.o. z działalności tej spółki w okresie 1-24 stycznia 2012 roku; </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16) Zatwierdzenia sprawozdania finansowego spółki przejętej pod firmą Biuro Handlowo-Usługowe MS-</w:t>
      </w:r>
      <w:proofErr w:type="spellStart"/>
      <w:r w:rsidRPr="00AF554C">
        <w:rPr>
          <w:rFonts w:asciiTheme="minorHAnsi" w:hAnsiTheme="minorHAnsi" w:cstheme="minorHAnsi"/>
          <w:sz w:val="22"/>
          <w:szCs w:val="22"/>
        </w:rPr>
        <w:t>Soft</w:t>
      </w:r>
      <w:proofErr w:type="spellEnd"/>
      <w:r w:rsidRPr="00AF554C">
        <w:rPr>
          <w:rFonts w:asciiTheme="minorHAnsi" w:hAnsiTheme="minorHAnsi" w:cstheme="minorHAnsi"/>
          <w:sz w:val="22"/>
          <w:szCs w:val="22"/>
        </w:rPr>
        <w:t xml:space="preserve"> sp. z o.o. za okres 1-24 stycznia 2012; </w:t>
      </w:r>
    </w:p>
    <w:p w:rsidR="00AF554C" w:rsidRPr="00AF554C" w:rsidRDefault="00AF554C" w:rsidP="00AF554C">
      <w:pPr>
        <w:pStyle w:val="Zwykytekst"/>
        <w:spacing w:before="120" w:after="120"/>
        <w:ind w:left="708"/>
        <w:rPr>
          <w:rFonts w:asciiTheme="minorHAnsi" w:hAnsiTheme="minorHAnsi" w:cstheme="minorHAnsi"/>
          <w:sz w:val="22"/>
          <w:szCs w:val="22"/>
        </w:rPr>
      </w:pPr>
      <w:r w:rsidRPr="00AF554C">
        <w:rPr>
          <w:rFonts w:asciiTheme="minorHAnsi" w:hAnsiTheme="minorHAnsi" w:cstheme="minorHAnsi"/>
          <w:sz w:val="22"/>
          <w:szCs w:val="22"/>
        </w:rPr>
        <w:t xml:space="preserve">17) Udzielenia Zarządowi spółki przejętej pod firmą Biuro </w:t>
      </w:r>
      <w:r>
        <w:rPr>
          <w:rFonts w:asciiTheme="minorHAnsi" w:hAnsiTheme="minorHAnsi" w:cstheme="minorHAnsi"/>
          <w:sz w:val="22"/>
          <w:szCs w:val="22"/>
        </w:rPr>
        <w:t>Handlowo-Usługowe MS-</w:t>
      </w:r>
      <w:proofErr w:type="spellStart"/>
      <w:r>
        <w:rPr>
          <w:rFonts w:asciiTheme="minorHAnsi" w:hAnsiTheme="minorHAnsi" w:cstheme="minorHAnsi"/>
          <w:sz w:val="22"/>
          <w:szCs w:val="22"/>
        </w:rPr>
        <w:t>Soft</w:t>
      </w:r>
      <w:proofErr w:type="spellEnd"/>
      <w:r>
        <w:rPr>
          <w:rFonts w:asciiTheme="minorHAnsi" w:hAnsiTheme="minorHAnsi" w:cstheme="minorHAnsi"/>
          <w:sz w:val="22"/>
          <w:szCs w:val="22"/>
        </w:rPr>
        <w:t> sp. z </w:t>
      </w:r>
      <w:r w:rsidRPr="00AF554C">
        <w:rPr>
          <w:rFonts w:asciiTheme="minorHAnsi" w:hAnsiTheme="minorHAnsi" w:cstheme="minorHAnsi"/>
          <w:sz w:val="22"/>
          <w:szCs w:val="22"/>
        </w:rPr>
        <w:t>o.o. absolutorium z wykonania obowiązków w okresie 1-24 stycznia 2012.</w:t>
      </w:r>
    </w:p>
    <w:p w:rsidR="00AF554C" w:rsidRPr="00AF554C" w:rsidRDefault="00AF554C" w:rsidP="00AF554C">
      <w:pPr>
        <w:spacing w:before="240" w:after="117"/>
        <w:ind w:left="284"/>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Na podstawie art. 402</w:t>
      </w:r>
      <w:r w:rsidRPr="00AF554C">
        <w:rPr>
          <w:rFonts w:asciiTheme="minorHAnsi" w:hAnsiTheme="minorHAnsi" w:cstheme="minorHAnsi"/>
          <w:color w:val="000000"/>
          <w:sz w:val="22"/>
          <w:szCs w:val="22"/>
          <w:vertAlign w:val="superscript"/>
        </w:rPr>
        <w:t>2</w:t>
      </w:r>
      <w:r w:rsidRPr="00AF554C">
        <w:rPr>
          <w:rFonts w:asciiTheme="minorHAnsi" w:hAnsiTheme="minorHAnsi" w:cstheme="minorHAnsi"/>
          <w:color w:val="000000"/>
          <w:sz w:val="22"/>
          <w:szCs w:val="22"/>
        </w:rPr>
        <w:t xml:space="preserve"> </w:t>
      </w:r>
      <w:proofErr w:type="spellStart"/>
      <w:r w:rsidRPr="00AF554C">
        <w:rPr>
          <w:rFonts w:asciiTheme="minorHAnsi" w:hAnsiTheme="minorHAnsi" w:cstheme="minorHAnsi"/>
          <w:color w:val="000000"/>
          <w:sz w:val="22"/>
          <w:szCs w:val="22"/>
        </w:rPr>
        <w:t>Ksh</w:t>
      </w:r>
      <w:proofErr w:type="spellEnd"/>
      <w:r w:rsidRPr="00AF554C">
        <w:rPr>
          <w:rFonts w:asciiTheme="minorHAnsi" w:hAnsiTheme="minorHAnsi" w:cstheme="minorHAnsi"/>
          <w:color w:val="000000"/>
          <w:sz w:val="22"/>
          <w:szCs w:val="22"/>
        </w:rPr>
        <w:t xml:space="preserve"> Spółka przekazuje info</w:t>
      </w:r>
      <w:r>
        <w:rPr>
          <w:rFonts w:asciiTheme="minorHAnsi" w:hAnsiTheme="minorHAnsi" w:cstheme="minorHAnsi"/>
          <w:color w:val="000000"/>
          <w:sz w:val="22"/>
          <w:szCs w:val="22"/>
        </w:rPr>
        <w:t>rmacje dotyczące uczestnictwa w </w:t>
      </w:r>
      <w:r w:rsidRPr="00AF554C">
        <w:rPr>
          <w:rFonts w:asciiTheme="minorHAnsi" w:hAnsiTheme="minorHAnsi" w:cstheme="minorHAnsi"/>
          <w:color w:val="000000"/>
          <w:sz w:val="22"/>
          <w:szCs w:val="22"/>
        </w:rPr>
        <w:t>Zgromadzeniu:</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bookmarkStart w:id="0" w:name="_Ref301876665"/>
      <w:r w:rsidRPr="00AF554C">
        <w:rPr>
          <w:rFonts w:asciiTheme="minorHAnsi" w:hAnsiTheme="minorHAnsi" w:cstheme="minorHAnsi"/>
          <w:color w:val="000000"/>
          <w:sz w:val="22"/>
          <w:szCs w:val="22"/>
        </w:rPr>
        <w:t xml:space="preserve">Akcjonariuszowi lub akcjonariuszom Spółki reprezentującym co najmniej 1/20 kapitału zakładowego przysługuje prawo żądania umieszczenia określonych spraw w porządku obrad Zgromadzenia. Żądanie powinno zostać zgłoszone Zarządowi Spółki nie później niż na 21 dni przed terminem Zgromadzenia, tj. do dnia </w:t>
      </w:r>
      <w:r w:rsidRPr="008F1B60">
        <w:rPr>
          <w:rFonts w:asciiTheme="minorHAnsi" w:hAnsiTheme="minorHAnsi" w:cstheme="minorHAnsi"/>
          <w:b/>
          <w:color w:val="000000"/>
          <w:sz w:val="22"/>
          <w:szCs w:val="22"/>
        </w:rPr>
        <w:t>28 lutego 2012</w:t>
      </w:r>
      <w:r w:rsidRPr="00AF554C">
        <w:rPr>
          <w:rFonts w:asciiTheme="minorHAnsi" w:hAnsiTheme="minorHAnsi" w:cstheme="minorHAnsi"/>
          <w:color w:val="000000"/>
          <w:sz w:val="22"/>
          <w:szCs w:val="22"/>
        </w:rPr>
        <w:t xml:space="preserve"> roku. Żądanie powinno zawierać uzasadnienie lub projekt uchwały dotyczącej proponowanego punktu porządku obrad. Żądanie może zostać złożone również w postaci elektronicznej i przesłane na adres poczty elektronicznej Spółki podany w punkcie </w:t>
      </w:r>
      <w:r w:rsidRPr="00AF554C">
        <w:rPr>
          <w:rFonts w:asciiTheme="minorHAnsi" w:hAnsiTheme="minorHAnsi" w:cstheme="minorHAnsi"/>
          <w:color w:val="000000"/>
          <w:sz w:val="22"/>
          <w:szCs w:val="22"/>
        </w:rPr>
        <w:fldChar w:fldCharType="begin"/>
      </w:r>
      <w:r w:rsidRPr="00AF554C">
        <w:rPr>
          <w:rFonts w:asciiTheme="minorHAnsi" w:hAnsiTheme="minorHAnsi" w:cstheme="minorHAnsi"/>
          <w:color w:val="000000"/>
          <w:sz w:val="22"/>
          <w:szCs w:val="22"/>
        </w:rPr>
        <w:instrText xml:space="preserve"> REF _Ref301876614 \r \h  \* MERGEFORMAT </w:instrText>
      </w:r>
      <w:r w:rsidRPr="00AF554C">
        <w:rPr>
          <w:rFonts w:asciiTheme="minorHAnsi" w:hAnsiTheme="minorHAnsi" w:cstheme="minorHAnsi"/>
          <w:color w:val="000000"/>
          <w:sz w:val="22"/>
          <w:szCs w:val="22"/>
        </w:rPr>
      </w:r>
      <w:r w:rsidRPr="00AF554C">
        <w:rPr>
          <w:rFonts w:asciiTheme="minorHAnsi" w:hAnsiTheme="minorHAnsi" w:cstheme="minorHAnsi"/>
          <w:color w:val="000000"/>
          <w:sz w:val="22"/>
          <w:szCs w:val="22"/>
        </w:rPr>
        <w:fldChar w:fldCharType="separate"/>
      </w:r>
      <w:r w:rsidRPr="00AF554C">
        <w:rPr>
          <w:rFonts w:asciiTheme="minorHAnsi" w:hAnsiTheme="minorHAnsi" w:cstheme="minorHAnsi"/>
          <w:color w:val="000000"/>
          <w:sz w:val="22"/>
          <w:szCs w:val="22"/>
        </w:rPr>
        <w:t>XIV</w:t>
      </w:r>
      <w:r w:rsidRPr="00AF554C">
        <w:rPr>
          <w:rFonts w:asciiTheme="minorHAnsi" w:hAnsiTheme="minorHAnsi" w:cstheme="minorHAnsi"/>
          <w:color w:val="000000"/>
          <w:sz w:val="22"/>
          <w:szCs w:val="22"/>
        </w:rPr>
        <w:fldChar w:fldCharType="end"/>
      </w:r>
      <w:r w:rsidRPr="00AF554C">
        <w:rPr>
          <w:rFonts w:asciiTheme="minorHAnsi" w:hAnsiTheme="minorHAnsi" w:cstheme="minorHAnsi"/>
          <w:color w:val="000000"/>
          <w:sz w:val="22"/>
          <w:szCs w:val="22"/>
        </w:rPr>
        <w:t>.</w:t>
      </w:r>
      <w:bookmarkEnd w:id="0"/>
      <w:r w:rsidRPr="00AF554C">
        <w:rPr>
          <w:rFonts w:asciiTheme="minorHAnsi" w:hAnsiTheme="minorHAnsi" w:cstheme="minorHAnsi"/>
          <w:color w:val="000000"/>
          <w:sz w:val="22"/>
          <w:szCs w:val="22"/>
        </w:rPr>
        <w:t xml:space="preserve"> </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bookmarkStart w:id="1" w:name="_Ref301876676"/>
      <w:r w:rsidRPr="00AF554C">
        <w:rPr>
          <w:rFonts w:asciiTheme="minorHAnsi" w:hAnsiTheme="minorHAnsi" w:cstheme="minorHAnsi"/>
          <w:color w:val="000000"/>
          <w:sz w:val="22"/>
          <w:szCs w:val="22"/>
        </w:rPr>
        <w:t>Akcjonariusz lub akcjonariusze Spółki reprezentujący co najmniej 1/20 kapitału zakładowego mogą przed terminem Zgromadzenia zgłaszać Spółce na piśmie lub przy wykorzystaniu środków komunikacji elektronicznej projekty uchwał dotyczące spraw wprowadzonych do porządku obrad Zgromadzenia lub spraw, które mają zostać wprowadzone do porządku obrad</w:t>
      </w:r>
      <w:bookmarkEnd w:id="1"/>
      <w:r w:rsidRPr="00AF554C">
        <w:rPr>
          <w:rFonts w:asciiTheme="minorHAnsi" w:hAnsiTheme="minorHAnsi" w:cstheme="minorHAnsi"/>
          <w:color w:val="000000"/>
          <w:sz w:val="22"/>
          <w:szCs w:val="22"/>
        </w:rPr>
        <w:t>.</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lastRenderedPageBreak/>
        <w:t xml:space="preserve">Akcjonariusze, zgłaszający żądanie wskazane w punkcie </w:t>
      </w:r>
      <w:r w:rsidRPr="00AF554C">
        <w:rPr>
          <w:rFonts w:asciiTheme="minorHAnsi" w:hAnsiTheme="minorHAnsi" w:cstheme="minorHAnsi"/>
          <w:color w:val="000000"/>
          <w:sz w:val="22"/>
          <w:szCs w:val="22"/>
        </w:rPr>
        <w:fldChar w:fldCharType="begin"/>
      </w:r>
      <w:r w:rsidRPr="00AF554C">
        <w:rPr>
          <w:rFonts w:asciiTheme="minorHAnsi" w:hAnsiTheme="minorHAnsi" w:cstheme="minorHAnsi"/>
          <w:color w:val="000000"/>
          <w:sz w:val="22"/>
          <w:szCs w:val="22"/>
        </w:rPr>
        <w:instrText xml:space="preserve"> REF _Ref301876665 \r \h  \* MERGEFORMAT </w:instrText>
      </w:r>
      <w:r w:rsidRPr="00AF554C">
        <w:rPr>
          <w:rFonts w:asciiTheme="minorHAnsi" w:hAnsiTheme="minorHAnsi" w:cstheme="minorHAnsi"/>
          <w:color w:val="000000"/>
          <w:sz w:val="22"/>
          <w:szCs w:val="22"/>
        </w:rPr>
      </w:r>
      <w:r w:rsidRPr="00AF554C">
        <w:rPr>
          <w:rFonts w:asciiTheme="minorHAnsi" w:hAnsiTheme="minorHAnsi" w:cstheme="minorHAnsi"/>
          <w:color w:val="000000"/>
          <w:sz w:val="22"/>
          <w:szCs w:val="22"/>
        </w:rPr>
        <w:fldChar w:fldCharType="separate"/>
      </w:r>
      <w:r w:rsidRPr="00AF554C">
        <w:rPr>
          <w:rFonts w:asciiTheme="minorHAnsi" w:hAnsiTheme="minorHAnsi" w:cstheme="minorHAnsi"/>
          <w:color w:val="000000"/>
          <w:sz w:val="22"/>
          <w:szCs w:val="22"/>
        </w:rPr>
        <w:t>I</w:t>
      </w:r>
      <w:r w:rsidRPr="00AF554C">
        <w:rPr>
          <w:rFonts w:asciiTheme="minorHAnsi" w:hAnsiTheme="minorHAnsi" w:cstheme="minorHAnsi"/>
          <w:color w:val="000000"/>
          <w:sz w:val="22"/>
          <w:szCs w:val="22"/>
        </w:rPr>
        <w:fldChar w:fldCharType="end"/>
      </w:r>
      <w:r w:rsidRPr="00AF554C">
        <w:rPr>
          <w:rFonts w:asciiTheme="minorHAnsi" w:hAnsiTheme="minorHAnsi" w:cstheme="minorHAnsi"/>
          <w:color w:val="000000"/>
          <w:sz w:val="22"/>
          <w:szCs w:val="22"/>
        </w:rPr>
        <w:t xml:space="preserve"> lub zgłaszający projekty, o których mowa w punkcie </w:t>
      </w:r>
      <w:r w:rsidRPr="00AF554C">
        <w:rPr>
          <w:rFonts w:asciiTheme="minorHAnsi" w:hAnsiTheme="minorHAnsi" w:cstheme="minorHAnsi"/>
          <w:color w:val="000000"/>
          <w:sz w:val="22"/>
          <w:szCs w:val="22"/>
        </w:rPr>
        <w:fldChar w:fldCharType="begin"/>
      </w:r>
      <w:r w:rsidRPr="00AF554C">
        <w:rPr>
          <w:rFonts w:asciiTheme="minorHAnsi" w:hAnsiTheme="minorHAnsi" w:cstheme="minorHAnsi"/>
          <w:color w:val="000000"/>
          <w:sz w:val="22"/>
          <w:szCs w:val="22"/>
        </w:rPr>
        <w:instrText xml:space="preserve"> REF _Ref301876676 \r \h  \* MERGEFORMAT </w:instrText>
      </w:r>
      <w:r w:rsidRPr="00AF554C">
        <w:rPr>
          <w:rFonts w:asciiTheme="minorHAnsi" w:hAnsiTheme="minorHAnsi" w:cstheme="minorHAnsi"/>
          <w:color w:val="000000"/>
          <w:sz w:val="22"/>
          <w:szCs w:val="22"/>
        </w:rPr>
      </w:r>
      <w:r w:rsidRPr="00AF554C">
        <w:rPr>
          <w:rFonts w:asciiTheme="minorHAnsi" w:hAnsiTheme="minorHAnsi" w:cstheme="minorHAnsi"/>
          <w:color w:val="000000"/>
          <w:sz w:val="22"/>
          <w:szCs w:val="22"/>
        </w:rPr>
        <w:fldChar w:fldCharType="separate"/>
      </w:r>
      <w:r w:rsidRPr="00AF554C">
        <w:rPr>
          <w:rFonts w:asciiTheme="minorHAnsi" w:hAnsiTheme="minorHAnsi" w:cstheme="minorHAnsi"/>
          <w:color w:val="000000"/>
          <w:sz w:val="22"/>
          <w:szCs w:val="22"/>
        </w:rPr>
        <w:t>II</w:t>
      </w:r>
      <w:r w:rsidRPr="00AF554C">
        <w:rPr>
          <w:rFonts w:asciiTheme="minorHAnsi" w:hAnsiTheme="minorHAnsi" w:cstheme="minorHAnsi"/>
          <w:color w:val="000000"/>
          <w:sz w:val="22"/>
          <w:szCs w:val="22"/>
        </w:rPr>
        <w:fldChar w:fldCharType="end"/>
      </w:r>
      <w:r w:rsidRPr="00AF554C">
        <w:rPr>
          <w:rFonts w:asciiTheme="minorHAnsi" w:hAnsiTheme="minorHAnsi" w:cstheme="minorHAnsi"/>
          <w:color w:val="000000"/>
          <w:sz w:val="22"/>
          <w:szCs w:val="22"/>
        </w:rPr>
        <w:t xml:space="preserve"> powinni wykazać posiadanie odpowiedniej liczby akcji na dzień złożenia żądania lub projektu, załączając świadectwo lub świadectwa depozytowe, a w przypadku akcjonariuszy będących osobami prawnymi i spółkami osobowymi potwierdzić również uprawnienie do działania w imieniu tego podmiotu załączając aktualny odpis z KRS. </w:t>
      </w:r>
      <w:r>
        <w:rPr>
          <w:rFonts w:asciiTheme="minorHAnsi" w:hAnsiTheme="minorHAnsi" w:cstheme="minorHAnsi"/>
          <w:color w:val="000000"/>
          <w:sz w:val="22"/>
          <w:szCs w:val="22"/>
        </w:rPr>
        <w:t>W </w:t>
      </w:r>
      <w:r w:rsidRPr="00AF554C">
        <w:rPr>
          <w:rFonts w:asciiTheme="minorHAnsi" w:hAnsiTheme="minorHAnsi" w:cstheme="minorHAnsi"/>
          <w:color w:val="000000"/>
          <w:sz w:val="22"/>
          <w:szCs w:val="22"/>
        </w:rPr>
        <w:t>przypadku składania wyżej wymienionych żądań lub zgłoszeń przez pełnomocników, należy dołączyć również udzielone pełnomocnictwo.</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Każdy akcjonariusz uprawniony do uczestnictwa w Zgromadzeniu może podczas Zgromadzenia zgłaszać projekty uchwał dotyczące spraw wprowadzonych do porządku obrad.</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Akcjonariusz może uczestniczyć w Zgromadzeniu oraz wykonywać prawo głosu osobiście lub przez pełnomocnika. Pełnomocnik może reprezentować więcej niż jednego akcjonariusza i gło</w:t>
      </w:r>
      <w:r w:rsidRPr="00AF554C">
        <w:rPr>
          <w:rFonts w:asciiTheme="minorHAnsi" w:hAnsiTheme="minorHAnsi" w:cstheme="minorHAnsi"/>
          <w:color w:val="000000"/>
          <w:sz w:val="22"/>
          <w:szCs w:val="22"/>
        </w:rPr>
        <w:softHyphen/>
        <w:t>sować odmiennie z akcji każdego akcjonariusza. Akcjonariusz posiadający akcje zapisane na więcej niż jednym rachunku papierów wartościowych może ustanowić oddzielnych pełnomocników do wykonywania praw z akcji zapisanych na każdym z rachunków.</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Wzór formularza pozwalającego na wykonywanie prawa głosu przez pełnomocnika, zawierającego dane określone art. 402</w:t>
      </w:r>
      <w:r w:rsidRPr="00AF554C">
        <w:rPr>
          <w:rFonts w:asciiTheme="minorHAnsi" w:hAnsiTheme="minorHAnsi" w:cstheme="minorHAnsi"/>
          <w:color w:val="000000"/>
          <w:sz w:val="22"/>
          <w:szCs w:val="22"/>
          <w:vertAlign w:val="superscript"/>
        </w:rPr>
        <w:t>3</w:t>
      </w:r>
      <w:r w:rsidRPr="00AF554C">
        <w:rPr>
          <w:rFonts w:asciiTheme="minorHAnsi" w:hAnsiTheme="minorHAnsi" w:cstheme="minorHAnsi"/>
          <w:color w:val="000000"/>
          <w:sz w:val="22"/>
          <w:szCs w:val="22"/>
        </w:rPr>
        <w:t xml:space="preserve"> </w:t>
      </w:r>
      <w:proofErr w:type="spellStart"/>
      <w:r w:rsidRPr="00AF554C">
        <w:rPr>
          <w:rFonts w:asciiTheme="minorHAnsi" w:hAnsiTheme="minorHAnsi" w:cstheme="minorHAnsi"/>
          <w:color w:val="000000"/>
          <w:sz w:val="22"/>
          <w:szCs w:val="22"/>
        </w:rPr>
        <w:t>Ksh</w:t>
      </w:r>
      <w:proofErr w:type="spellEnd"/>
      <w:r w:rsidRPr="00AF554C">
        <w:rPr>
          <w:rFonts w:asciiTheme="minorHAnsi" w:hAnsiTheme="minorHAnsi" w:cstheme="minorHAnsi"/>
          <w:color w:val="000000"/>
          <w:sz w:val="22"/>
          <w:szCs w:val="22"/>
        </w:rPr>
        <w:t xml:space="preserve"> został zamieszczony na stronie internetowej Spółki pod adresem wymienionym w punkcie </w:t>
      </w:r>
      <w:r w:rsidRPr="00AF554C">
        <w:rPr>
          <w:rFonts w:asciiTheme="minorHAnsi" w:hAnsiTheme="minorHAnsi" w:cstheme="minorHAnsi"/>
          <w:color w:val="000000"/>
          <w:sz w:val="22"/>
          <w:szCs w:val="22"/>
        </w:rPr>
        <w:fldChar w:fldCharType="begin"/>
      </w:r>
      <w:r w:rsidRPr="00AF554C">
        <w:rPr>
          <w:rFonts w:asciiTheme="minorHAnsi" w:hAnsiTheme="minorHAnsi" w:cstheme="minorHAnsi"/>
          <w:color w:val="000000"/>
          <w:sz w:val="22"/>
          <w:szCs w:val="22"/>
        </w:rPr>
        <w:instrText xml:space="preserve"> REF _Ref301876614 \r \h  \* MERGEFORMAT </w:instrText>
      </w:r>
      <w:r w:rsidRPr="00AF554C">
        <w:rPr>
          <w:rFonts w:asciiTheme="minorHAnsi" w:hAnsiTheme="minorHAnsi" w:cstheme="minorHAnsi"/>
          <w:color w:val="000000"/>
          <w:sz w:val="22"/>
          <w:szCs w:val="22"/>
        </w:rPr>
      </w:r>
      <w:r w:rsidRPr="00AF554C">
        <w:rPr>
          <w:rFonts w:asciiTheme="minorHAnsi" w:hAnsiTheme="minorHAnsi" w:cstheme="minorHAnsi"/>
          <w:color w:val="000000"/>
          <w:sz w:val="22"/>
          <w:szCs w:val="22"/>
        </w:rPr>
        <w:fldChar w:fldCharType="separate"/>
      </w:r>
      <w:r w:rsidRPr="00AF554C">
        <w:rPr>
          <w:rFonts w:asciiTheme="minorHAnsi" w:hAnsiTheme="minorHAnsi" w:cstheme="minorHAnsi"/>
          <w:color w:val="000000"/>
          <w:sz w:val="22"/>
          <w:szCs w:val="22"/>
        </w:rPr>
        <w:t>XIV</w:t>
      </w:r>
      <w:r w:rsidRPr="00AF554C">
        <w:rPr>
          <w:rFonts w:asciiTheme="minorHAnsi" w:hAnsiTheme="minorHAnsi" w:cstheme="minorHAnsi"/>
          <w:color w:val="000000"/>
          <w:sz w:val="22"/>
          <w:szCs w:val="22"/>
        </w:rPr>
        <w:fldChar w:fldCharType="end"/>
      </w:r>
      <w:r w:rsidRPr="00AF554C">
        <w:rPr>
          <w:rFonts w:asciiTheme="minorHAnsi" w:hAnsiTheme="minorHAnsi" w:cstheme="minorHAnsi"/>
          <w:color w:val="000000"/>
          <w:sz w:val="22"/>
          <w:szCs w:val="22"/>
        </w:rPr>
        <w:t xml:space="preserve"> w pozycji „Z</w:t>
      </w:r>
      <w:r>
        <w:rPr>
          <w:rFonts w:asciiTheme="minorHAnsi" w:hAnsiTheme="minorHAnsi" w:cstheme="minorHAnsi"/>
          <w:color w:val="000000"/>
          <w:sz w:val="22"/>
          <w:szCs w:val="22"/>
        </w:rPr>
        <w:t>WZA — Formularz na </w:t>
      </w:r>
      <w:r w:rsidRPr="00AF554C">
        <w:rPr>
          <w:rFonts w:asciiTheme="minorHAnsi" w:hAnsiTheme="minorHAnsi" w:cstheme="minorHAnsi"/>
          <w:color w:val="000000"/>
          <w:sz w:val="22"/>
          <w:szCs w:val="22"/>
        </w:rPr>
        <w:t xml:space="preserve">wykonywanie prawa głosu”. Pełnomocnictwo do uczestniczenia i wykonywania prawa głosu przez pełnomocnika powinno być udzielone na piśmie lub w postaci elektronicznej. Udzielenie pełnomocnictwa w postaci elektronicznej nie wymaga opatrzenia bezpiecznym podpisem elektronicznym weryfikowanym przy pomocy ważnego kwalifikowanego certyfikatu. O udzieleniu pełnomocnictwa w postaci elektronicznej należy zawiadomić Spółkę przy wykorzystaniu środków komunikacji elektronicznej. Dla potrzeb wyżej wymienionego zawiadomienia Spółka wskazuje adres poczty elektronicznej podany w punkcie </w:t>
      </w:r>
      <w:r w:rsidRPr="00AF554C">
        <w:rPr>
          <w:rFonts w:asciiTheme="minorHAnsi" w:hAnsiTheme="minorHAnsi" w:cstheme="minorHAnsi"/>
          <w:color w:val="000000"/>
          <w:sz w:val="22"/>
          <w:szCs w:val="22"/>
        </w:rPr>
        <w:fldChar w:fldCharType="begin"/>
      </w:r>
      <w:r w:rsidRPr="00AF554C">
        <w:rPr>
          <w:rFonts w:asciiTheme="minorHAnsi" w:hAnsiTheme="minorHAnsi" w:cstheme="minorHAnsi"/>
          <w:color w:val="000000"/>
          <w:sz w:val="22"/>
          <w:szCs w:val="22"/>
        </w:rPr>
        <w:instrText xml:space="preserve"> REF _Ref301876614 \r \h  \* MERGEFORMAT </w:instrText>
      </w:r>
      <w:r w:rsidRPr="00AF554C">
        <w:rPr>
          <w:rFonts w:asciiTheme="minorHAnsi" w:hAnsiTheme="minorHAnsi" w:cstheme="minorHAnsi"/>
          <w:color w:val="000000"/>
          <w:sz w:val="22"/>
          <w:szCs w:val="22"/>
        </w:rPr>
      </w:r>
      <w:r w:rsidRPr="00AF554C">
        <w:rPr>
          <w:rFonts w:asciiTheme="minorHAnsi" w:hAnsiTheme="minorHAnsi" w:cstheme="minorHAnsi"/>
          <w:color w:val="000000"/>
          <w:sz w:val="22"/>
          <w:szCs w:val="22"/>
        </w:rPr>
        <w:fldChar w:fldCharType="separate"/>
      </w:r>
      <w:r w:rsidRPr="00AF554C">
        <w:rPr>
          <w:rFonts w:asciiTheme="minorHAnsi" w:hAnsiTheme="minorHAnsi" w:cstheme="minorHAnsi"/>
          <w:color w:val="000000"/>
          <w:sz w:val="22"/>
          <w:szCs w:val="22"/>
        </w:rPr>
        <w:t>XIV</w:t>
      </w:r>
      <w:r w:rsidRPr="00AF554C">
        <w:rPr>
          <w:rFonts w:asciiTheme="minorHAnsi" w:hAnsiTheme="minorHAnsi" w:cstheme="minorHAnsi"/>
          <w:color w:val="000000"/>
          <w:sz w:val="22"/>
          <w:szCs w:val="22"/>
        </w:rPr>
        <w:fldChar w:fldCharType="end"/>
      </w:r>
      <w:r w:rsidRPr="00AF554C">
        <w:rPr>
          <w:rFonts w:asciiTheme="minorHAnsi" w:hAnsiTheme="minorHAnsi" w:cstheme="minorHAnsi"/>
          <w:color w:val="000000"/>
          <w:sz w:val="22"/>
          <w:szCs w:val="22"/>
        </w:rPr>
        <w:t>, przy czym zawiadomienie powinno zostać przesłane najpóźniej na trzy dni przed dniem Zgromadzenia.</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Akcjonariusze zostaną dopuszczeni do uczestnictwa w Zgromadzeniu po okazaniu dowodu tożsamości, a pełnomocnicy po okazaniu dowodu tożsamości i ważnego pełnomocnictwa udzielonego w formie pisemnej, a w przypadku pełnomocnictwa w postaci elektronicznej nieopatrzonego bezpiecznym podpisem elektronicznym weryfikowanym przy pomocy ważnego kwalifikowanego certyfikatu — po pozytywnej weryfikacji ważności pełnomocnictwa przez Zarząd. Przedstawiciele osób prawnych lub spółek osobowych winni dodatkowo okazać aktualne odpisy z odpowiednich rejestrów, wymieniające osoby uprawnione do reprezentowania tych podmiotów.</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Statut Spółki nie przewiduje możliwości uczestniczenia i wypowiadania się akcjonariuszy w Zgro</w:t>
      </w:r>
      <w:r w:rsidRPr="00AF554C">
        <w:rPr>
          <w:rFonts w:asciiTheme="minorHAnsi" w:hAnsiTheme="minorHAnsi" w:cstheme="minorHAnsi"/>
          <w:color w:val="000000"/>
          <w:sz w:val="22"/>
          <w:szCs w:val="22"/>
        </w:rPr>
        <w:softHyphen/>
        <w:t>ma</w:t>
      </w:r>
      <w:r w:rsidRPr="00AF554C">
        <w:rPr>
          <w:rFonts w:asciiTheme="minorHAnsi" w:hAnsiTheme="minorHAnsi" w:cstheme="minorHAnsi"/>
          <w:color w:val="000000"/>
          <w:sz w:val="22"/>
          <w:szCs w:val="22"/>
        </w:rPr>
        <w:softHyphen/>
        <w:t>dzeniu Spółki przy wykorzystaniu środków komunikacji elektronicznej (art. 406</w:t>
      </w:r>
      <w:r w:rsidRPr="00AF554C">
        <w:rPr>
          <w:rFonts w:asciiTheme="minorHAnsi" w:hAnsiTheme="minorHAnsi" w:cstheme="minorHAnsi"/>
          <w:color w:val="000000"/>
          <w:sz w:val="22"/>
          <w:szCs w:val="22"/>
          <w:vertAlign w:val="superscript"/>
        </w:rPr>
        <w:t>5</w:t>
      </w:r>
      <w:r w:rsidRPr="00AF554C">
        <w:rPr>
          <w:rFonts w:asciiTheme="minorHAnsi" w:hAnsiTheme="minorHAnsi" w:cstheme="minorHAnsi"/>
          <w:color w:val="000000"/>
          <w:sz w:val="22"/>
          <w:szCs w:val="22"/>
        </w:rPr>
        <w:t xml:space="preserve"> §1 </w:t>
      </w:r>
      <w:proofErr w:type="spellStart"/>
      <w:r w:rsidRPr="00AF554C">
        <w:rPr>
          <w:rFonts w:asciiTheme="minorHAnsi" w:hAnsiTheme="minorHAnsi" w:cstheme="minorHAnsi"/>
          <w:color w:val="000000"/>
          <w:sz w:val="22"/>
          <w:szCs w:val="22"/>
        </w:rPr>
        <w:t>Ksh</w:t>
      </w:r>
      <w:proofErr w:type="spellEnd"/>
      <w:r w:rsidRPr="00AF554C">
        <w:rPr>
          <w:rFonts w:asciiTheme="minorHAnsi" w:hAnsiTheme="minorHAnsi" w:cstheme="minorHAnsi"/>
          <w:color w:val="000000"/>
          <w:sz w:val="22"/>
          <w:szCs w:val="22"/>
        </w:rPr>
        <w:t>).</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Regulamin Walnego Zgromadzenia Spółki nie przewiduje możliwości oddawania głosów na Zgromadzeniu Spółki drogą korespondencyjną (art. 411</w:t>
      </w:r>
      <w:r w:rsidRPr="00AF554C">
        <w:rPr>
          <w:rFonts w:asciiTheme="minorHAnsi" w:hAnsiTheme="minorHAnsi" w:cstheme="minorHAnsi"/>
          <w:color w:val="000000"/>
          <w:sz w:val="22"/>
          <w:szCs w:val="22"/>
          <w:vertAlign w:val="superscript"/>
        </w:rPr>
        <w:t>1</w:t>
      </w:r>
      <w:r w:rsidRPr="00AF554C">
        <w:rPr>
          <w:rFonts w:asciiTheme="minorHAnsi" w:hAnsiTheme="minorHAnsi" w:cstheme="minorHAnsi"/>
          <w:color w:val="000000"/>
          <w:sz w:val="22"/>
          <w:szCs w:val="22"/>
        </w:rPr>
        <w:t xml:space="preserve"> §1 </w:t>
      </w:r>
      <w:proofErr w:type="spellStart"/>
      <w:r w:rsidRPr="00AF554C">
        <w:rPr>
          <w:rFonts w:asciiTheme="minorHAnsi" w:hAnsiTheme="minorHAnsi" w:cstheme="minorHAnsi"/>
          <w:color w:val="000000"/>
          <w:sz w:val="22"/>
          <w:szCs w:val="22"/>
        </w:rPr>
        <w:t>Ksh</w:t>
      </w:r>
      <w:proofErr w:type="spellEnd"/>
      <w:r w:rsidRPr="00AF554C">
        <w:rPr>
          <w:rFonts w:asciiTheme="minorHAnsi" w:hAnsiTheme="minorHAnsi" w:cstheme="minorHAnsi"/>
          <w:color w:val="000000"/>
          <w:sz w:val="22"/>
          <w:szCs w:val="22"/>
        </w:rPr>
        <w:t>).</w:t>
      </w:r>
    </w:p>
    <w:p w:rsidR="00AF554C" w:rsidRPr="00AF554C" w:rsidRDefault="00AF554C" w:rsidP="00AF554C">
      <w:pPr>
        <w:numPr>
          <w:ilvl w:val="0"/>
          <w:numId w:val="1"/>
        </w:numPr>
        <w:spacing w:before="240" w:afterAutospacing="1"/>
        <w:ind w:left="709" w:right="16" w:hanging="425"/>
        <w:jc w:val="both"/>
        <w:rPr>
          <w:rFonts w:asciiTheme="minorHAnsi" w:hAnsiTheme="minorHAnsi" w:cstheme="minorHAnsi"/>
          <w:b/>
          <w:color w:val="000000"/>
          <w:sz w:val="22"/>
          <w:szCs w:val="22"/>
        </w:rPr>
      </w:pPr>
      <w:r w:rsidRPr="00AF554C">
        <w:rPr>
          <w:rFonts w:asciiTheme="minorHAnsi" w:hAnsiTheme="minorHAnsi" w:cstheme="minorHAnsi"/>
          <w:color w:val="000000"/>
          <w:sz w:val="22"/>
          <w:szCs w:val="22"/>
        </w:rPr>
        <w:t>Zgodnie z art. 406</w:t>
      </w:r>
      <w:r w:rsidRPr="00AF554C">
        <w:rPr>
          <w:rFonts w:asciiTheme="minorHAnsi" w:hAnsiTheme="minorHAnsi" w:cstheme="minorHAnsi"/>
          <w:color w:val="000000"/>
          <w:sz w:val="22"/>
          <w:szCs w:val="22"/>
          <w:vertAlign w:val="superscript"/>
        </w:rPr>
        <w:t xml:space="preserve">1 </w:t>
      </w:r>
      <w:r w:rsidRPr="00AF554C">
        <w:rPr>
          <w:rFonts w:asciiTheme="minorHAnsi" w:hAnsiTheme="minorHAnsi" w:cstheme="minorHAnsi"/>
          <w:color w:val="000000"/>
          <w:sz w:val="22"/>
          <w:szCs w:val="22"/>
        </w:rPr>
        <w:t xml:space="preserve">§ 1 </w:t>
      </w:r>
      <w:proofErr w:type="spellStart"/>
      <w:r w:rsidRPr="00AF554C">
        <w:rPr>
          <w:rFonts w:asciiTheme="minorHAnsi" w:hAnsiTheme="minorHAnsi" w:cstheme="minorHAnsi"/>
          <w:color w:val="000000"/>
          <w:sz w:val="22"/>
          <w:szCs w:val="22"/>
        </w:rPr>
        <w:t>Ksh</w:t>
      </w:r>
      <w:proofErr w:type="spellEnd"/>
      <w:r w:rsidRPr="00AF554C">
        <w:rPr>
          <w:rFonts w:asciiTheme="minorHAnsi" w:hAnsiTheme="minorHAnsi" w:cstheme="minorHAnsi"/>
          <w:color w:val="000000"/>
          <w:sz w:val="22"/>
          <w:szCs w:val="22"/>
        </w:rPr>
        <w:t xml:space="preserve"> prawo uczestniczenia w walnym zgromadzeniu spółki publicznej mają osoby będące akcjonariuszami spółki na szesnaście dni przed datą walnego zgromadzenia („</w:t>
      </w:r>
      <w:r w:rsidRPr="00AF554C">
        <w:rPr>
          <w:rFonts w:asciiTheme="minorHAnsi" w:hAnsiTheme="minorHAnsi" w:cstheme="minorHAnsi"/>
          <w:b/>
          <w:color w:val="000000"/>
          <w:sz w:val="22"/>
          <w:szCs w:val="22"/>
        </w:rPr>
        <w:t>Dzień Rejestracji</w:t>
      </w:r>
      <w:r w:rsidRPr="00AF554C">
        <w:rPr>
          <w:rFonts w:asciiTheme="minorHAnsi" w:hAnsiTheme="minorHAnsi" w:cstheme="minorHAnsi"/>
          <w:color w:val="000000"/>
          <w:sz w:val="22"/>
          <w:szCs w:val="22"/>
        </w:rPr>
        <w:t xml:space="preserve">”). Dniem Rejestracji uczestnictwa w Zgromadzeniu jest </w:t>
      </w:r>
      <w:r w:rsidRPr="00AF554C">
        <w:rPr>
          <w:rFonts w:asciiTheme="minorHAnsi" w:hAnsiTheme="minorHAnsi" w:cstheme="minorHAnsi"/>
          <w:b/>
          <w:color w:val="000000"/>
          <w:sz w:val="22"/>
          <w:szCs w:val="22"/>
        </w:rPr>
        <w:t>3</w:t>
      </w:r>
      <w:r w:rsidR="008F1B60">
        <w:rPr>
          <w:rFonts w:asciiTheme="minorHAnsi" w:hAnsiTheme="minorHAnsi" w:cstheme="minorHAnsi"/>
          <w:b/>
          <w:color w:val="000000"/>
          <w:sz w:val="22"/>
          <w:szCs w:val="22"/>
        </w:rPr>
        <w:t> </w:t>
      </w:r>
      <w:r w:rsidRPr="00AF554C">
        <w:rPr>
          <w:rFonts w:asciiTheme="minorHAnsi" w:hAnsiTheme="minorHAnsi" w:cstheme="minorHAnsi"/>
          <w:b/>
          <w:color w:val="000000"/>
          <w:sz w:val="22"/>
          <w:szCs w:val="22"/>
        </w:rPr>
        <w:t>marca 2012.</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lastRenderedPageBreak/>
        <w:t xml:space="preserve">Dzień rejestracji uczestnictwa w Zgromadzeniu jest jednolity dla uprawnionych z akcji na okaziciela i akcji imiennych. W celu zapewnienia udziału w Zgromadzeniu akcjonariusz uprawniony ze zdematerializowanych akcji na okaziciela powinien żądać — nie wcześniej niż po ogłoszeniu zwołania Zgromadzenia, tj. nie wcześniej niż w dniu </w:t>
      </w:r>
      <w:r w:rsidRPr="00AF554C">
        <w:rPr>
          <w:rFonts w:asciiTheme="minorHAnsi" w:hAnsiTheme="minorHAnsi" w:cstheme="minorHAnsi"/>
          <w:b/>
          <w:color w:val="000000"/>
          <w:sz w:val="22"/>
          <w:szCs w:val="22"/>
        </w:rPr>
        <w:t>1</w:t>
      </w:r>
      <w:r w:rsidR="008F1B60">
        <w:rPr>
          <w:rFonts w:asciiTheme="minorHAnsi" w:hAnsiTheme="minorHAnsi" w:cstheme="minorHAnsi"/>
          <w:b/>
          <w:color w:val="000000"/>
          <w:sz w:val="22"/>
          <w:szCs w:val="22"/>
        </w:rPr>
        <w:t>6</w:t>
      </w:r>
      <w:bookmarkStart w:id="2" w:name="_GoBack"/>
      <w:bookmarkEnd w:id="2"/>
      <w:r w:rsidRPr="00AF554C">
        <w:rPr>
          <w:rFonts w:asciiTheme="minorHAnsi" w:hAnsiTheme="minorHAnsi" w:cstheme="minorHAnsi"/>
          <w:b/>
          <w:color w:val="000000"/>
          <w:sz w:val="22"/>
          <w:szCs w:val="22"/>
        </w:rPr>
        <w:t xml:space="preserve"> lutego 2012</w:t>
      </w:r>
      <w:r w:rsidRPr="00AF554C">
        <w:rPr>
          <w:rFonts w:asciiTheme="minorHAnsi" w:hAnsiTheme="minorHAnsi" w:cstheme="minorHAnsi"/>
          <w:color w:val="000000"/>
          <w:sz w:val="22"/>
          <w:szCs w:val="22"/>
        </w:rPr>
        <w:t xml:space="preserve"> i nie później niż w pierwszym dniu powszednim po dniu rejestracji, tj. nie później niż w dniu </w:t>
      </w:r>
      <w:r w:rsidRPr="00AF554C">
        <w:rPr>
          <w:rFonts w:asciiTheme="minorHAnsi" w:hAnsiTheme="minorHAnsi" w:cstheme="minorHAnsi"/>
          <w:b/>
          <w:color w:val="000000"/>
          <w:sz w:val="22"/>
          <w:szCs w:val="22"/>
        </w:rPr>
        <w:t>5 marca 2012</w:t>
      </w:r>
      <w:r w:rsidRPr="00AF554C">
        <w:rPr>
          <w:rFonts w:asciiTheme="minorHAnsi" w:hAnsiTheme="minorHAnsi" w:cstheme="minorHAnsi"/>
          <w:color w:val="000000"/>
          <w:sz w:val="22"/>
          <w:szCs w:val="22"/>
        </w:rPr>
        <w:t xml:space="preserve"> roku —od podmiotu prowadzącego rachunek papierów wartościowych wystawienia imiennego zaświadczenia o prawie uczestnictwa w Zgromadzeniu. Uprawnieni z akcji imiennych oraz zastawnicy, którym przysługuje prawo głosu, mają prawo uczestniczenia w Zgromadzeniu, jeżeli są wpisani do księgi akcyjnej w dniu rejestracji uczestnictwa w Zgromadzeniu. </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Spółka ustala listę uprawnionych z akcji na okaziciela do</w:t>
      </w:r>
      <w:r>
        <w:rPr>
          <w:rFonts w:asciiTheme="minorHAnsi" w:hAnsiTheme="minorHAnsi" w:cstheme="minorHAnsi"/>
          <w:color w:val="000000"/>
          <w:sz w:val="22"/>
          <w:szCs w:val="22"/>
        </w:rPr>
        <w:t xml:space="preserve"> uczestnictwa w Zgromadzeniu na </w:t>
      </w:r>
      <w:r w:rsidRPr="00AF554C">
        <w:rPr>
          <w:rFonts w:asciiTheme="minorHAnsi" w:hAnsiTheme="minorHAnsi" w:cstheme="minorHAnsi"/>
          <w:color w:val="000000"/>
          <w:sz w:val="22"/>
          <w:szCs w:val="22"/>
        </w:rPr>
        <w:t>podstawie akcji złożonych zgodnie z powyższymi zasadami oraz wykazu sporządzonego przez Krajowy Depozyt Papierów Wartościowych (KDPW). KDPW sporządza wykaz, o którym mowa powyżej, na podstawie wykazów przekazywanych nie później niż na dwanaście dni przed dniem odbycia Zgromadzenia przez podmioty up</w:t>
      </w:r>
      <w:r>
        <w:rPr>
          <w:rFonts w:asciiTheme="minorHAnsi" w:hAnsiTheme="minorHAnsi" w:cstheme="minorHAnsi"/>
          <w:color w:val="000000"/>
          <w:sz w:val="22"/>
          <w:szCs w:val="22"/>
        </w:rPr>
        <w:t>rawnione zgodnie z przepisami o </w:t>
      </w:r>
      <w:r w:rsidRPr="00AF554C">
        <w:rPr>
          <w:rFonts w:asciiTheme="minorHAnsi" w:hAnsiTheme="minorHAnsi" w:cstheme="minorHAnsi"/>
          <w:color w:val="000000"/>
          <w:sz w:val="22"/>
          <w:szCs w:val="22"/>
        </w:rPr>
        <w:t>obrocie instrumentami finansowymi.</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Lista akcjonariuszy  uprawnionych do uczestnictwa w Zgromadzeniu zostanie wyłożona w sie</w:t>
      </w:r>
      <w:r w:rsidRPr="00AF554C">
        <w:rPr>
          <w:rFonts w:asciiTheme="minorHAnsi" w:hAnsiTheme="minorHAnsi" w:cstheme="minorHAnsi"/>
          <w:color w:val="000000"/>
          <w:sz w:val="22"/>
          <w:szCs w:val="22"/>
        </w:rPr>
        <w:softHyphen/>
        <w:t>dzi</w:t>
      </w:r>
      <w:r w:rsidRPr="00AF554C">
        <w:rPr>
          <w:rFonts w:asciiTheme="minorHAnsi" w:hAnsiTheme="minorHAnsi" w:cstheme="minorHAnsi"/>
          <w:color w:val="000000"/>
          <w:sz w:val="22"/>
          <w:szCs w:val="22"/>
        </w:rPr>
        <w:softHyphen/>
        <w:t>bie Spółki przez trzy dni powszednie przed dniem odbycia Zgromadzenia, tj. w </w:t>
      </w:r>
      <w:r w:rsidRPr="00AF554C">
        <w:rPr>
          <w:rFonts w:asciiTheme="minorHAnsi" w:hAnsiTheme="minorHAnsi" w:cstheme="minorHAnsi"/>
          <w:b/>
          <w:color w:val="000000"/>
          <w:sz w:val="22"/>
          <w:szCs w:val="22"/>
        </w:rPr>
        <w:t>dniach 14-16 marca 2012</w:t>
      </w:r>
      <w:r w:rsidRPr="00AF554C">
        <w:rPr>
          <w:rFonts w:asciiTheme="minorHAnsi" w:hAnsiTheme="minorHAnsi" w:cstheme="minorHAnsi"/>
          <w:color w:val="000000"/>
          <w:sz w:val="22"/>
          <w:szCs w:val="22"/>
        </w:rPr>
        <w:t>, w godz. 9:00–16:00, oraz na stronie internetowej Spółki pod adresem wymienionym w punk</w:t>
      </w:r>
      <w:r w:rsidRPr="00AF554C">
        <w:rPr>
          <w:rFonts w:asciiTheme="minorHAnsi" w:hAnsiTheme="minorHAnsi" w:cstheme="minorHAnsi"/>
          <w:color w:val="000000"/>
          <w:sz w:val="22"/>
          <w:szCs w:val="22"/>
        </w:rPr>
        <w:softHyphen/>
        <w:t xml:space="preserve">cie </w:t>
      </w:r>
      <w:r w:rsidRPr="00AF554C">
        <w:rPr>
          <w:rFonts w:asciiTheme="minorHAnsi" w:hAnsiTheme="minorHAnsi" w:cstheme="minorHAnsi"/>
          <w:color w:val="000000"/>
          <w:sz w:val="22"/>
          <w:szCs w:val="22"/>
        </w:rPr>
        <w:fldChar w:fldCharType="begin"/>
      </w:r>
      <w:r w:rsidRPr="00AF554C">
        <w:rPr>
          <w:rFonts w:asciiTheme="minorHAnsi" w:hAnsiTheme="minorHAnsi" w:cstheme="minorHAnsi"/>
          <w:color w:val="000000"/>
          <w:sz w:val="22"/>
          <w:szCs w:val="22"/>
        </w:rPr>
        <w:instrText xml:space="preserve"> REF _Ref301876614 \r \h  \* MERGEFORMAT </w:instrText>
      </w:r>
      <w:r w:rsidRPr="00AF554C">
        <w:rPr>
          <w:rFonts w:asciiTheme="minorHAnsi" w:hAnsiTheme="minorHAnsi" w:cstheme="minorHAnsi"/>
          <w:color w:val="000000"/>
          <w:sz w:val="22"/>
          <w:szCs w:val="22"/>
        </w:rPr>
      </w:r>
      <w:r w:rsidRPr="00AF554C">
        <w:rPr>
          <w:rFonts w:asciiTheme="minorHAnsi" w:hAnsiTheme="minorHAnsi" w:cstheme="minorHAnsi"/>
          <w:color w:val="000000"/>
          <w:sz w:val="22"/>
          <w:szCs w:val="22"/>
        </w:rPr>
        <w:fldChar w:fldCharType="separate"/>
      </w:r>
      <w:r w:rsidRPr="00AF554C">
        <w:rPr>
          <w:rFonts w:asciiTheme="minorHAnsi" w:hAnsiTheme="minorHAnsi" w:cstheme="minorHAnsi"/>
          <w:color w:val="000000"/>
          <w:sz w:val="22"/>
          <w:szCs w:val="22"/>
        </w:rPr>
        <w:t>XIV</w:t>
      </w:r>
      <w:r w:rsidRPr="00AF554C">
        <w:rPr>
          <w:rFonts w:asciiTheme="minorHAnsi" w:hAnsiTheme="minorHAnsi" w:cstheme="minorHAnsi"/>
          <w:color w:val="000000"/>
          <w:sz w:val="22"/>
          <w:szCs w:val="22"/>
        </w:rPr>
        <w:fldChar w:fldCharType="end"/>
      </w:r>
      <w:r w:rsidRPr="00AF554C">
        <w:rPr>
          <w:rFonts w:asciiTheme="minorHAnsi" w:hAnsiTheme="minorHAnsi" w:cstheme="minorHAnsi"/>
          <w:color w:val="000000"/>
          <w:sz w:val="22"/>
          <w:szCs w:val="22"/>
        </w:rPr>
        <w:t>.</w:t>
      </w:r>
    </w:p>
    <w:p w:rsidR="00AF554C" w:rsidRPr="00AF554C" w:rsidRDefault="00AF554C" w:rsidP="00AF554C">
      <w:pPr>
        <w:numPr>
          <w:ilvl w:val="0"/>
          <w:numId w:val="1"/>
        </w:numPr>
        <w:spacing w:before="240" w:after="100" w:afterAutospacing="1"/>
        <w:ind w:left="709" w:right="16" w:hanging="425"/>
        <w:jc w:val="both"/>
        <w:rPr>
          <w:rFonts w:asciiTheme="minorHAnsi" w:hAnsiTheme="minorHAnsi" w:cstheme="minorHAnsi"/>
          <w:color w:val="000000"/>
          <w:sz w:val="22"/>
          <w:szCs w:val="22"/>
        </w:rPr>
      </w:pPr>
      <w:bookmarkStart w:id="3" w:name="_Ref301876614"/>
      <w:r w:rsidRPr="00AF554C">
        <w:rPr>
          <w:rFonts w:asciiTheme="minorHAnsi" w:hAnsiTheme="minorHAnsi" w:cstheme="minorHAnsi"/>
          <w:color w:val="000000"/>
          <w:sz w:val="22"/>
          <w:szCs w:val="22"/>
        </w:rPr>
        <w:t>Wszelkie zawiadomienia i zgłoszenia, wymienione w ni</w:t>
      </w:r>
      <w:r>
        <w:rPr>
          <w:rFonts w:asciiTheme="minorHAnsi" w:hAnsiTheme="minorHAnsi" w:cstheme="minorHAnsi"/>
          <w:color w:val="000000"/>
          <w:sz w:val="22"/>
          <w:szCs w:val="22"/>
        </w:rPr>
        <w:t>niejszym Ogłoszeniu, składane w </w:t>
      </w:r>
      <w:r w:rsidRPr="00AF554C">
        <w:rPr>
          <w:rFonts w:asciiTheme="minorHAnsi" w:hAnsiTheme="minorHAnsi" w:cstheme="minorHAnsi"/>
          <w:color w:val="000000"/>
          <w:sz w:val="22"/>
          <w:szCs w:val="22"/>
        </w:rPr>
        <w:t>formie pisemnej, wymagają postaci oryginalnego dokumentu papierowego opatrzonego własnoręcznymi podpisami osób uprawnionych lub postaci dokumentu elektronicznego opatrzonego bezpiecznym podpisem elektronicznym osób uprawnionych weryfikowanym przy pomocy kwalifikowanego certyfikatu, przy czym podpis może — według wyboru nadawcy — być zintegrowany z dokumentem lub st</w:t>
      </w:r>
      <w:r>
        <w:rPr>
          <w:rFonts w:asciiTheme="minorHAnsi" w:hAnsiTheme="minorHAnsi" w:cstheme="minorHAnsi"/>
          <w:color w:val="000000"/>
          <w:sz w:val="22"/>
          <w:szCs w:val="22"/>
        </w:rPr>
        <w:t>anowić odrębny plik. Adresem do </w:t>
      </w:r>
      <w:r w:rsidRPr="00AF554C">
        <w:rPr>
          <w:rFonts w:asciiTheme="minorHAnsi" w:hAnsiTheme="minorHAnsi" w:cstheme="minorHAnsi"/>
          <w:color w:val="000000"/>
          <w:sz w:val="22"/>
          <w:szCs w:val="22"/>
        </w:rPr>
        <w:t xml:space="preserve">doręczeń jest adres pocztowy: ul. Kłopotowskiego 22, 03-717 Warszawa, a dla postaci elektronicznej dodatkowo — według uznania nadawcy — adres elektroniczny: </w:t>
      </w:r>
      <w:hyperlink r:id="rId8" w:history="1">
        <w:r w:rsidRPr="00AF554C">
          <w:rPr>
            <w:rStyle w:val="Hipercze"/>
            <w:rFonts w:asciiTheme="minorHAnsi" w:hAnsiTheme="minorHAnsi" w:cstheme="minorHAnsi"/>
            <w:i/>
            <w:sz w:val="22"/>
            <w:szCs w:val="22"/>
          </w:rPr>
          <w:t>Patrycja.Ptaszek@macrologic.pl</w:t>
        </w:r>
      </w:hyperlink>
      <w:r w:rsidRPr="00AF554C">
        <w:rPr>
          <w:rFonts w:asciiTheme="minorHAnsi" w:hAnsiTheme="minorHAnsi" w:cstheme="minorHAnsi"/>
          <w:i/>
          <w:color w:val="000000"/>
          <w:sz w:val="22"/>
          <w:szCs w:val="22"/>
        </w:rPr>
        <w:t xml:space="preserve">. </w:t>
      </w:r>
      <w:r w:rsidRPr="00AF554C">
        <w:rPr>
          <w:rFonts w:asciiTheme="minorHAnsi" w:hAnsiTheme="minorHAnsi" w:cstheme="minorHAnsi"/>
          <w:color w:val="000000"/>
          <w:sz w:val="22"/>
          <w:szCs w:val="22"/>
        </w:rPr>
        <w:t>Dla dokumentów w postaci elektronicznej dopuszcza się format PDF lub prosty tekstowy, a w przypadku załączania obrazu dokumentu papierowego w celu potwierdzania jego zgodności z ory</w:t>
      </w:r>
      <w:r w:rsidRPr="00AF554C">
        <w:rPr>
          <w:rFonts w:asciiTheme="minorHAnsi" w:hAnsiTheme="minorHAnsi" w:cstheme="minorHAnsi"/>
          <w:color w:val="000000"/>
          <w:sz w:val="22"/>
          <w:szCs w:val="22"/>
        </w:rPr>
        <w:softHyphen/>
        <w:t>ginałem — według wyboru nadawcy — format JPG, TIFF lub PDF.</w:t>
      </w:r>
      <w:bookmarkEnd w:id="3"/>
    </w:p>
    <w:p w:rsidR="00AF554C" w:rsidRPr="00AF554C" w:rsidRDefault="00AF554C" w:rsidP="00AF554C">
      <w:pPr>
        <w:spacing w:before="240" w:after="100" w:afterAutospacing="1"/>
        <w:ind w:left="708" w:right="16"/>
        <w:jc w:val="both"/>
        <w:rPr>
          <w:rFonts w:asciiTheme="minorHAnsi" w:hAnsiTheme="minorHAnsi" w:cstheme="minorHAnsi"/>
          <w:color w:val="000000"/>
          <w:sz w:val="22"/>
          <w:szCs w:val="22"/>
        </w:rPr>
      </w:pPr>
      <w:r w:rsidRPr="00AF554C">
        <w:rPr>
          <w:rFonts w:asciiTheme="minorHAnsi" w:hAnsiTheme="minorHAnsi" w:cstheme="minorHAnsi"/>
          <w:color w:val="000000"/>
          <w:sz w:val="22"/>
          <w:szCs w:val="22"/>
        </w:rPr>
        <w:t xml:space="preserve">Spółka będzie udostępniała wszelkie informacje dotyczące Zgromadzenia, w tym pełny tekst dokumentacji, która ma być przedstawiona na Zgromadzeniu oraz projekty uchwał na stronie internetowej Spółki pod adresem </w:t>
      </w:r>
      <w:hyperlink r:id="rId9" w:history="1">
        <w:r w:rsidRPr="00AF554C">
          <w:rPr>
            <w:rStyle w:val="Hipercze"/>
            <w:rFonts w:asciiTheme="minorHAnsi" w:hAnsiTheme="minorHAnsi" w:cstheme="minorHAnsi"/>
            <w:i/>
            <w:sz w:val="22"/>
            <w:szCs w:val="22"/>
          </w:rPr>
          <w:t>www.macrologic.pl/relacje/spolka/walne_zgromadze nie/zwza2012</w:t>
        </w:r>
      </w:hyperlink>
      <w:r w:rsidRPr="00AF554C">
        <w:rPr>
          <w:rFonts w:asciiTheme="minorHAnsi" w:hAnsiTheme="minorHAnsi" w:cstheme="minorHAnsi"/>
          <w:color w:val="000000"/>
          <w:sz w:val="22"/>
          <w:szCs w:val="22"/>
        </w:rPr>
        <w:t xml:space="preserve"> oraz w siedzibie Spółki pod adresem ul. Kłopotowskiego 22, 03-717 Warszawa. </w:t>
      </w:r>
      <w:bookmarkStart w:id="4" w:name="_Ref301877157"/>
      <w:r w:rsidRPr="00AF554C">
        <w:rPr>
          <w:rFonts w:asciiTheme="minorHAnsi" w:hAnsiTheme="minorHAnsi" w:cstheme="minorHAnsi"/>
          <w:color w:val="000000"/>
          <w:sz w:val="22"/>
          <w:szCs w:val="22"/>
        </w:rPr>
        <w:t xml:space="preserve">Statut Spółki dostępny jest na stronie internetowej Spółki pod adresem: </w:t>
      </w:r>
      <w:hyperlink r:id="rId10" w:history="1">
        <w:r w:rsidRPr="00AF554C">
          <w:rPr>
            <w:rStyle w:val="Hipercze"/>
            <w:rFonts w:asciiTheme="minorHAnsi" w:hAnsiTheme="minorHAnsi" w:cstheme="minorHAnsi"/>
            <w:i/>
            <w:sz w:val="22"/>
            <w:szCs w:val="22"/>
          </w:rPr>
          <w:t>www.macrolo gic.pl/firma/statut</w:t>
        </w:r>
      </w:hyperlink>
      <w:r w:rsidRPr="00AF554C">
        <w:rPr>
          <w:rFonts w:asciiTheme="minorHAnsi" w:hAnsiTheme="minorHAnsi" w:cstheme="minorHAnsi"/>
          <w:i/>
          <w:color w:val="000000"/>
          <w:sz w:val="22"/>
          <w:szCs w:val="22"/>
        </w:rPr>
        <w:t xml:space="preserve"> </w:t>
      </w:r>
      <w:r w:rsidRPr="00AF554C">
        <w:rPr>
          <w:rFonts w:asciiTheme="minorHAnsi" w:hAnsiTheme="minorHAnsi" w:cstheme="minorHAnsi"/>
          <w:color w:val="000000"/>
          <w:sz w:val="22"/>
          <w:szCs w:val="22"/>
        </w:rPr>
        <w:t xml:space="preserve">natomiast Regulamin Walnego Zgromadzenia pod adresem </w:t>
      </w:r>
      <w:hyperlink r:id="rId11" w:history="1">
        <w:r w:rsidRPr="00AF554C">
          <w:rPr>
            <w:rStyle w:val="Hipercze"/>
            <w:rFonts w:asciiTheme="minorHAnsi" w:hAnsiTheme="minorHAnsi" w:cstheme="minorHAnsi"/>
            <w:i/>
            <w:sz w:val="22"/>
            <w:szCs w:val="22"/>
          </w:rPr>
          <w:t>www.macro logic.pl/firma/</w:t>
        </w:r>
        <w:proofErr w:type="spellStart"/>
        <w:r w:rsidRPr="00AF554C">
          <w:rPr>
            <w:rStyle w:val="Hipercze"/>
            <w:rFonts w:asciiTheme="minorHAnsi" w:hAnsiTheme="minorHAnsi" w:cstheme="minorHAnsi"/>
            <w:i/>
            <w:sz w:val="22"/>
            <w:szCs w:val="22"/>
          </w:rPr>
          <w:t>regulamin_walnego_zgromadzenia_akcjonariuszy</w:t>
        </w:r>
        <w:proofErr w:type="spellEnd"/>
      </w:hyperlink>
      <w:bookmarkEnd w:id="4"/>
      <w:r w:rsidRPr="00AF554C">
        <w:rPr>
          <w:rFonts w:asciiTheme="minorHAnsi" w:hAnsiTheme="minorHAnsi" w:cstheme="minorHAnsi"/>
          <w:i/>
          <w:sz w:val="22"/>
          <w:szCs w:val="22"/>
        </w:rPr>
        <w:t>.</w:t>
      </w:r>
    </w:p>
    <w:p w:rsidR="005843FB" w:rsidRPr="00AF554C" w:rsidRDefault="005843FB">
      <w:pPr>
        <w:rPr>
          <w:rFonts w:asciiTheme="minorHAnsi" w:hAnsiTheme="minorHAnsi" w:cstheme="minorHAnsi"/>
          <w:sz w:val="22"/>
          <w:szCs w:val="22"/>
        </w:rPr>
      </w:pPr>
    </w:p>
    <w:sectPr w:rsidR="005843FB" w:rsidRPr="00AF554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84E" w:rsidRDefault="003F784E">
      <w:r>
        <w:separator/>
      </w:r>
    </w:p>
  </w:endnote>
  <w:endnote w:type="continuationSeparator" w:id="0">
    <w:p w:rsidR="003F784E" w:rsidRDefault="003F7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10002FF" w:usb1="4000ACFF" w:usb2="00000009" w:usb3="00000000" w:csb0="0000019F" w:csb1="00000000"/>
  </w:font>
  <w:font w:name="Minion Pro">
    <w:altName w:val="Cambria Math"/>
    <w:panose1 w:val="00000000000000000000"/>
    <w:charset w:val="00"/>
    <w:family w:val="roman"/>
    <w:notTrueType/>
    <w:pitch w:val="variable"/>
    <w:sig w:usb0="00000001" w:usb1="5000E07B" w:usb2="0000000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BE" w:rsidRDefault="008674B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219E" w:rsidRPr="0072219E" w:rsidRDefault="005843FB" w:rsidP="0072219E">
    <w:pPr>
      <w:pStyle w:val="Stopka"/>
      <w:spacing w:before="360"/>
      <w:jc w:val="center"/>
      <w:rPr>
        <w:rFonts w:ascii="Myriad Pro" w:hAnsi="Myriad Pro"/>
        <w:color w:val="808080"/>
        <w:sz w:val="16"/>
        <w:szCs w:val="16"/>
      </w:rPr>
    </w:pPr>
    <w:r w:rsidRPr="0072219E">
      <w:rPr>
        <w:rFonts w:ascii="Myriad Pro" w:hAnsi="Myriad Pro"/>
        <w:color w:val="808080"/>
        <w:sz w:val="16"/>
        <w:szCs w:val="16"/>
      </w:rPr>
      <w:t>www.macrologic.pl   office@macrologic.pl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BE" w:rsidRDefault="008674B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84E" w:rsidRDefault="003F784E">
      <w:r>
        <w:separator/>
      </w:r>
    </w:p>
  </w:footnote>
  <w:footnote w:type="continuationSeparator" w:id="0">
    <w:p w:rsidR="003F784E" w:rsidRDefault="003F7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BE" w:rsidRDefault="008674B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Ind w:w="-38" w:type="dxa"/>
      <w:tblLayout w:type="fixed"/>
      <w:tblCellMar>
        <w:left w:w="70" w:type="dxa"/>
        <w:right w:w="70" w:type="dxa"/>
      </w:tblCellMar>
      <w:tblLook w:val="01E0" w:firstRow="1" w:lastRow="1" w:firstColumn="1" w:lastColumn="1" w:noHBand="0" w:noVBand="0"/>
    </w:tblPr>
    <w:tblGrid>
      <w:gridCol w:w="9288"/>
    </w:tblGrid>
    <w:tr w:rsidR="005843FB">
      <w:tc>
        <w:tcPr>
          <w:tcW w:w="9288" w:type="dxa"/>
        </w:tcPr>
        <w:p w:rsidR="005843FB" w:rsidRDefault="008674BE" w:rsidP="0072219E">
          <w:pPr>
            <w:spacing w:before="360"/>
            <w:jc w:val="center"/>
            <w:rPr>
              <w:rFonts w:ascii="Minion Pro" w:hAnsi="Minion Pro"/>
            </w:rPr>
          </w:pPr>
          <w:r>
            <w:rPr>
              <w:rFonts w:ascii="Minion Pro" w:hAnsi="Minion Pro"/>
              <w:noProof/>
            </w:rPr>
            <w:drawing>
              <wp:inline distT="0" distB="0" distL="0" distR="0">
                <wp:extent cx="2333625" cy="428625"/>
                <wp:effectExtent l="19050" t="0" r="9525" b="0"/>
                <wp:docPr id="1" name="Obraz 1" descr="forma_podstaw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a_podstawowa"/>
                        <pic:cNvPicPr>
                          <a:picLocks noChangeAspect="1" noChangeArrowheads="1"/>
                        </pic:cNvPicPr>
                      </pic:nvPicPr>
                      <pic:blipFill>
                        <a:blip r:embed="rId1"/>
                        <a:srcRect/>
                        <a:stretch>
                          <a:fillRect/>
                        </a:stretch>
                      </pic:blipFill>
                      <pic:spPr bwMode="auto">
                        <a:xfrm>
                          <a:off x="0" y="0"/>
                          <a:ext cx="2333625" cy="428625"/>
                        </a:xfrm>
                        <a:prstGeom prst="rect">
                          <a:avLst/>
                        </a:prstGeom>
                        <a:noFill/>
                        <a:ln w="9525">
                          <a:noFill/>
                          <a:miter lim="800000"/>
                          <a:headEnd/>
                          <a:tailEnd/>
                        </a:ln>
                      </pic:spPr>
                    </pic:pic>
                  </a:graphicData>
                </a:graphic>
              </wp:inline>
            </w:drawing>
          </w:r>
        </w:p>
      </w:tc>
    </w:tr>
  </w:tbl>
  <w:p w:rsidR="0072219E" w:rsidRDefault="0072219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BE" w:rsidRDefault="008674B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1E1AF4"/>
    <w:multiLevelType w:val="multilevel"/>
    <w:tmpl w:val="1D268E46"/>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915"/>
    <w:rsid w:val="003F784E"/>
    <w:rsid w:val="005843FB"/>
    <w:rsid w:val="00642D9E"/>
    <w:rsid w:val="0072219E"/>
    <w:rsid w:val="008674BE"/>
    <w:rsid w:val="008F1B60"/>
    <w:rsid w:val="00AB4A0B"/>
    <w:rsid w:val="00AF554C"/>
    <w:rsid w:val="00DF2DE8"/>
    <w:rsid w:val="00E549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Hipercze">
    <w:name w:val="Hyperlink"/>
    <w:basedOn w:val="Domylnaczcionkaakapitu"/>
    <w:uiPriority w:val="99"/>
    <w:rsid w:val="005843FB"/>
    <w:rPr>
      <w:color w:val="0000FF"/>
      <w:u w:val="single"/>
    </w:rPr>
  </w:style>
  <w:style w:type="paragraph" w:styleId="Tekstdymka">
    <w:name w:val="Balloon Text"/>
    <w:basedOn w:val="Normalny"/>
    <w:link w:val="TekstdymkaZnak"/>
    <w:rsid w:val="00AF554C"/>
    <w:rPr>
      <w:rFonts w:ascii="Tahoma" w:hAnsi="Tahoma" w:cs="Tahoma"/>
      <w:sz w:val="16"/>
      <w:szCs w:val="16"/>
    </w:rPr>
  </w:style>
  <w:style w:type="character" w:customStyle="1" w:styleId="TekstdymkaZnak">
    <w:name w:val="Tekst dymka Znak"/>
    <w:basedOn w:val="Domylnaczcionkaakapitu"/>
    <w:link w:val="Tekstdymka"/>
    <w:rsid w:val="00AF554C"/>
    <w:rPr>
      <w:rFonts w:ascii="Tahoma" w:hAnsi="Tahoma" w:cs="Tahoma"/>
      <w:sz w:val="16"/>
      <w:szCs w:val="16"/>
    </w:rPr>
  </w:style>
  <w:style w:type="paragraph" w:styleId="Zwykytekst">
    <w:name w:val="Plain Text"/>
    <w:basedOn w:val="Normalny"/>
    <w:link w:val="ZwykytekstZnak"/>
    <w:uiPriority w:val="99"/>
    <w:unhideWhenUsed/>
    <w:rsid w:val="00AF554C"/>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AF554C"/>
    <w:rPr>
      <w:rFonts w:ascii="Consolas" w:eastAsia="Calibri" w:hAnsi="Consolas"/>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character" w:styleId="Hipercze">
    <w:name w:val="Hyperlink"/>
    <w:basedOn w:val="Domylnaczcionkaakapitu"/>
    <w:uiPriority w:val="99"/>
    <w:rsid w:val="005843FB"/>
    <w:rPr>
      <w:color w:val="0000FF"/>
      <w:u w:val="single"/>
    </w:rPr>
  </w:style>
  <w:style w:type="paragraph" w:styleId="Tekstdymka">
    <w:name w:val="Balloon Text"/>
    <w:basedOn w:val="Normalny"/>
    <w:link w:val="TekstdymkaZnak"/>
    <w:rsid w:val="00AF554C"/>
    <w:rPr>
      <w:rFonts w:ascii="Tahoma" w:hAnsi="Tahoma" w:cs="Tahoma"/>
      <w:sz w:val="16"/>
      <w:szCs w:val="16"/>
    </w:rPr>
  </w:style>
  <w:style w:type="character" w:customStyle="1" w:styleId="TekstdymkaZnak">
    <w:name w:val="Tekst dymka Znak"/>
    <w:basedOn w:val="Domylnaczcionkaakapitu"/>
    <w:link w:val="Tekstdymka"/>
    <w:rsid w:val="00AF554C"/>
    <w:rPr>
      <w:rFonts w:ascii="Tahoma" w:hAnsi="Tahoma" w:cs="Tahoma"/>
      <w:sz w:val="16"/>
      <w:szCs w:val="16"/>
    </w:rPr>
  </w:style>
  <w:style w:type="paragraph" w:styleId="Zwykytekst">
    <w:name w:val="Plain Text"/>
    <w:basedOn w:val="Normalny"/>
    <w:link w:val="ZwykytekstZnak"/>
    <w:uiPriority w:val="99"/>
    <w:unhideWhenUsed/>
    <w:rsid w:val="00AF554C"/>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AF554C"/>
    <w:rPr>
      <w:rFonts w:ascii="Consolas" w:eastAsia="Calibri"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trycja.Ptaszek@macrologic.pl"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acrologic.pl/firma/regulamin_walnego_zgromadzenia_akcjonariusz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acrologic.pl/firma/statu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crologic.pl/relacje/spolka/walne_zgromadze%20nie/zwza201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PS\USTAWI~1\Temp\notesBEA28F\firmowy.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firmowy.dot</Template>
  <TotalTime>8</TotalTime>
  <Pages>4</Pages>
  <Words>1852</Words>
  <Characters>11116</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MacroSoft SA</Company>
  <LinksUpToDate>false</LinksUpToDate>
  <CharactersWithSpaces>12943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PPS</cp:lastModifiedBy>
  <cp:revision>4</cp:revision>
  <cp:lastPrinted>2008-07-02T12:40:00Z</cp:lastPrinted>
  <dcterms:created xsi:type="dcterms:W3CDTF">2012-02-15T14:15:00Z</dcterms:created>
  <dcterms:modified xsi:type="dcterms:W3CDTF">2012-02-15T14:58:00Z</dcterms:modified>
</cp:coreProperties>
</file>