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5C" w:rsidRPr="00171B20" w:rsidRDefault="004C2D5C" w:rsidP="004C2D5C">
      <w:pPr>
        <w:pStyle w:val="NormalWeb"/>
        <w:jc w:val="both"/>
        <w:rPr>
          <w:rStyle w:val="submenuyellowbold1"/>
          <w:rFonts w:ascii="Tahoma" w:hAnsi="Tahoma" w:cs="Tahoma"/>
          <w:color w:val="auto"/>
          <w:sz w:val="20"/>
          <w:szCs w:val="20"/>
        </w:rPr>
      </w:pPr>
      <w:r w:rsidRPr="00171B20">
        <w:rPr>
          <w:rStyle w:val="submenuyellowbold1"/>
          <w:rFonts w:ascii="Tahoma" w:hAnsi="Tahoma" w:cs="Tahoma"/>
          <w:color w:val="auto"/>
          <w:sz w:val="20"/>
          <w:szCs w:val="20"/>
        </w:rPr>
        <w:t xml:space="preserve">Raport Bieżący nr </w:t>
      </w:r>
      <w:r>
        <w:rPr>
          <w:rStyle w:val="submenuyellowbold1"/>
          <w:rFonts w:ascii="Tahoma" w:hAnsi="Tahoma" w:cs="Tahoma"/>
          <w:color w:val="auto"/>
          <w:sz w:val="20"/>
          <w:szCs w:val="20"/>
        </w:rPr>
        <w:t>11</w:t>
      </w:r>
      <w:r w:rsidRPr="00171B20">
        <w:rPr>
          <w:rStyle w:val="submenuyellowbold1"/>
          <w:rFonts w:ascii="Tahoma" w:hAnsi="Tahoma" w:cs="Tahoma"/>
          <w:color w:val="auto"/>
          <w:sz w:val="20"/>
          <w:szCs w:val="20"/>
        </w:rPr>
        <w:t xml:space="preserve">/2011 z dnia </w:t>
      </w:r>
      <w:r>
        <w:rPr>
          <w:rStyle w:val="submenuyellowbold1"/>
          <w:rFonts w:ascii="Tahoma" w:hAnsi="Tahoma" w:cs="Tahoma"/>
          <w:color w:val="auto"/>
          <w:sz w:val="20"/>
          <w:szCs w:val="20"/>
        </w:rPr>
        <w:t>16.06.2011</w:t>
      </w:r>
      <w:r w:rsidRPr="00171B20">
        <w:rPr>
          <w:rStyle w:val="submenuyellowbold1"/>
          <w:rFonts w:ascii="Tahoma" w:hAnsi="Tahoma" w:cs="Tahoma"/>
          <w:color w:val="auto"/>
          <w:sz w:val="20"/>
          <w:szCs w:val="20"/>
        </w:rPr>
        <w:t xml:space="preserve"> </w:t>
      </w:r>
    </w:p>
    <w:p w:rsidR="004C2D5C" w:rsidRPr="00171B20" w:rsidRDefault="004C2D5C" w:rsidP="004C2D5C">
      <w:pPr>
        <w:pStyle w:val="NormalWeb"/>
        <w:spacing w:before="0" w:after="0"/>
        <w:jc w:val="center"/>
        <w:rPr>
          <w:rStyle w:val="submenuyellowbold1"/>
          <w:rFonts w:ascii="Tahoma" w:hAnsi="Tahoma" w:cs="Tahoma"/>
          <w:b w:val="0"/>
          <w:bCs w:val="0"/>
          <w:color w:val="auto"/>
          <w:sz w:val="20"/>
          <w:szCs w:val="20"/>
        </w:rPr>
      </w:pPr>
      <w:r w:rsidRPr="00171B20">
        <w:rPr>
          <w:rStyle w:val="submenuyellowbold1"/>
          <w:rFonts w:ascii="Tahoma" w:hAnsi="Tahoma" w:cs="Tahoma"/>
          <w:color w:val="auto"/>
          <w:sz w:val="20"/>
          <w:szCs w:val="20"/>
        </w:rPr>
        <w:t>Wykaz akcjonariuszy posiadających co najmniej 5% liczby głosów na WZA w dniu 15 czerwca 2011 r.</w:t>
      </w:r>
    </w:p>
    <w:p w:rsidR="004C2D5C" w:rsidRPr="00171B20" w:rsidRDefault="004C2D5C" w:rsidP="004C2D5C">
      <w:pPr>
        <w:pStyle w:val="NormalWeb"/>
        <w:jc w:val="both"/>
        <w:rPr>
          <w:rFonts w:ascii="Tahoma" w:hAnsi="Tahoma" w:cs="Tahoma"/>
          <w:color w:val="auto"/>
          <w:sz w:val="20"/>
          <w:szCs w:val="20"/>
        </w:rPr>
      </w:pPr>
      <w:r w:rsidRPr="00171B20">
        <w:rPr>
          <w:rFonts w:ascii="Tahoma" w:hAnsi="Tahoma" w:cs="Tahoma"/>
          <w:color w:val="auto"/>
          <w:sz w:val="20"/>
          <w:szCs w:val="20"/>
        </w:rPr>
        <w:t xml:space="preserve">Działając zgodnie z art.70 pkt 3) ustawy z dnia 29 lipca 2005 r. o ofercie publicznej i warunkach wprowadzania instrumentów finansowych do zorganizowanego systemu obrotu oraz o spółkach publicznych (Dz.U. nr 184 poz. 1539 ze zmianami) Rada Dyrektorów spółki Atlas Estates Limited z siedzibą Guernsey przekazuje w załączeniu wykaz akcjonariuszy posiadających co najmniej 5% liczby głosów na Zwyczajnym Walnym Zgromadzeniu Akcjonariuszy, które odbyło się w dniu 15 czerwca 2011 r., na którym to Zgromadzeniu było wykonywanych </w:t>
      </w:r>
      <w:r w:rsidRPr="00171B20">
        <w:rPr>
          <w:rFonts w:ascii="Tahoma" w:hAnsi="Tahoma" w:cs="Tahoma"/>
          <w:sz w:val="20"/>
          <w:szCs w:val="20"/>
        </w:rPr>
        <w:t xml:space="preserve">41,367,910 </w:t>
      </w:r>
      <w:r w:rsidRPr="00171B20">
        <w:rPr>
          <w:rFonts w:ascii="Tahoma" w:hAnsi="Tahoma" w:cs="Tahoma"/>
          <w:color w:val="auto"/>
          <w:sz w:val="20"/>
          <w:szCs w:val="20"/>
        </w:rPr>
        <w:t>głosów z posiadanych akcji.</w:t>
      </w:r>
    </w:p>
    <w:p w:rsidR="004C2D5C" w:rsidRPr="00171B20" w:rsidRDefault="004C2D5C" w:rsidP="004C2D5C">
      <w:pPr>
        <w:pStyle w:val="NormalWeb"/>
        <w:rPr>
          <w:rFonts w:ascii="Tahoma" w:hAnsi="Tahoma" w:cs="Tahoma"/>
          <w:color w:val="auto"/>
          <w:sz w:val="20"/>
          <w:szCs w:val="20"/>
        </w:rPr>
      </w:pP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</w:p>
    <w:tbl>
      <w:tblPr>
        <w:tblW w:w="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4"/>
        <w:gridCol w:w="1546"/>
        <w:gridCol w:w="1259"/>
        <w:gridCol w:w="1309"/>
        <w:gridCol w:w="1269"/>
        <w:gridCol w:w="1629"/>
      </w:tblGrid>
      <w:tr w:rsidR="004C2D5C" w:rsidRPr="00171B20" w:rsidTr="004102AA">
        <w:trPr>
          <w:trHeight w:val="1980"/>
        </w:trPr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</w:rPr>
              <w:t xml:space="preserve">lp. </w:t>
            </w: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</w:rPr>
              <w:t xml:space="preserve">Nazwa akcjonariusza (posiadającego co najmniej 5% głosów na ZWA z dnia 15 czerwca 2011 roku) </w:t>
            </w:r>
          </w:p>
        </w:tc>
        <w:tc>
          <w:tcPr>
            <w:tcW w:w="125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Liczba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posiadanych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akcji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</w:rPr>
              <w:t>Procentowy udział posiadanych akcji w ogólnej liczbie głosów</w:t>
            </w:r>
          </w:p>
        </w:tc>
        <w:tc>
          <w:tcPr>
            <w:tcW w:w="126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</w:rPr>
              <w:t xml:space="preserve">Liczba akcji z których było wykonywane prawo głosu na ZWA </w:t>
            </w:r>
          </w:p>
        </w:tc>
        <w:tc>
          <w:tcPr>
            <w:tcW w:w="1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</w:rPr>
              <w:t>Procentowy udział w liczbie głosów na ZWA (w stosunku do głosów tam wykonywanych)</w:t>
            </w:r>
          </w:p>
        </w:tc>
      </w:tr>
      <w:tr w:rsidR="004C2D5C" w:rsidRPr="00171B20" w:rsidTr="004102AA"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1.</w:t>
            </w: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Forest Nominees Limited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działający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rzecz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Atlas International Holdings Limited (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członka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Izaki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Group)*</w:t>
            </w:r>
          </w:p>
        </w:tc>
        <w:tc>
          <w:tcPr>
            <w:tcW w:w="125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6,536,925</w:t>
            </w:r>
          </w:p>
        </w:tc>
        <w:tc>
          <w:tcPr>
            <w:tcW w:w="1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13.95</w:t>
            </w:r>
            <w:r w:rsidRPr="00171B20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  <w:tc>
          <w:tcPr>
            <w:tcW w:w="126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6,461,425</w:t>
            </w:r>
          </w:p>
        </w:tc>
        <w:tc>
          <w:tcPr>
            <w:tcW w:w="1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15.61%</w:t>
            </w:r>
          </w:p>
        </w:tc>
      </w:tr>
      <w:tr w:rsidR="004C2D5C" w:rsidRPr="00171B20" w:rsidTr="004102AA">
        <w:trPr>
          <w:trHeight w:val="593"/>
        </w:trPr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HSBC Client Holdings Nominee (UK) Limited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działający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rzecz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Fragiolig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Holdings </w:t>
            </w:r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Limited (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członka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>Izaki</w:t>
            </w:r>
            <w:proofErr w:type="spellEnd"/>
            <w:r w:rsidRPr="00171B20">
              <w:rPr>
                <w:rFonts w:ascii="Tahoma" w:hAnsi="Tahoma" w:cs="Tahoma"/>
                <w:sz w:val="20"/>
                <w:szCs w:val="20"/>
                <w:lang w:val="en-US"/>
              </w:rPr>
              <w:t xml:space="preserve"> Group)**</w:t>
            </w:r>
          </w:p>
        </w:tc>
        <w:tc>
          <w:tcPr>
            <w:tcW w:w="125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lastRenderedPageBreak/>
              <w:t>34,994,624</w:t>
            </w:r>
          </w:p>
        </w:tc>
        <w:tc>
          <w:tcPr>
            <w:tcW w:w="1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74.69%</w:t>
            </w:r>
          </w:p>
        </w:tc>
        <w:tc>
          <w:tcPr>
            <w:tcW w:w="1269" w:type="dxa"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34,906,485</w:t>
            </w:r>
          </w:p>
        </w:tc>
        <w:tc>
          <w:tcPr>
            <w:tcW w:w="1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D5C" w:rsidRPr="00171B20" w:rsidRDefault="004C2D5C" w:rsidP="004102AA">
            <w:pPr>
              <w:rPr>
                <w:rFonts w:ascii="Tahoma" w:hAnsi="Tahoma" w:cs="Tahoma"/>
                <w:sz w:val="20"/>
                <w:szCs w:val="20"/>
              </w:rPr>
            </w:pPr>
            <w:r w:rsidRPr="00171B20">
              <w:rPr>
                <w:rFonts w:ascii="Tahoma" w:hAnsi="Tahoma" w:cs="Tahoma"/>
                <w:sz w:val="20"/>
                <w:szCs w:val="20"/>
                <w:lang w:val="en-GB"/>
              </w:rPr>
              <w:t>84.39%</w:t>
            </w:r>
          </w:p>
        </w:tc>
      </w:tr>
    </w:tbl>
    <w:p w:rsidR="004C2D5C" w:rsidRPr="00171B20" w:rsidRDefault="004C2D5C" w:rsidP="004C2D5C">
      <w:pPr>
        <w:rPr>
          <w:rFonts w:ascii="Tahoma" w:hAnsi="Tahoma" w:cs="Tahoma"/>
          <w:sz w:val="20"/>
          <w:szCs w:val="20"/>
          <w:lang w:val="en-US"/>
        </w:rPr>
      </w:pPr>
    </w:p>
    <w:p w:rsidR="004C2D5C" w:rsidRPr="00171B20" w:rsidRDefault="004C2D5C" w:rsidP="004C2D5C">
      <w:pPr>
        <w:rPr>
          <w:rFonts w:ascii="Tahoma" w:hAnsi="Tahoma" w:cs="Tahoma"/>
          <w:sz w:val="20"/>
          <w:szCs w:val="20"/>
          <w:lang w:val="en-US"/>
        </w:rPr>
      </w:pP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  <w:r w:rsidRPr="00171B20">
        <w:rPr>
          <w:rFonts w:ascii="Tahoma" w:hAnsi="Tahoma" w:cs="Tahoma"/>
          <w:sz w:val="20"/>
          <w:szCs w:val="20"/>
        </w:rPr>
        <w:t xml:space="preserve">* Na dzień 15 czerwca 2011 roku 6.536.925 akcji, reprezentujących 13,95% kapitału zakładowego Spółki było w posiadaniu Forest Nominees Limited, z czego 6.461.425 akcji (reprezentujących 13,79% kapitału zakładowego Spółki) były zdeponowane w imieniu i na rzecz Atlas International Holdings Limited (członka Izaki Group) </w:t>
      </w: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  <w:r w:rsidRPr="00171B20">
        <w:rPr>
          <w:rFonts w:ascii="Tahoma" w:hAnsi="Tahoma" w:cs="Tahoma"/>
          <w:sz w:val="20"/>
          <w:szCs w:val="20"/>
        </w:rPr>
        <w:t>** Na dzień 15 czerwca 2011 roku 34.994.624 akcji, reprezentujących 74,69 % kapitału zakładowego Spółki było w posiadaniu HSBC Client Holdings Nominee (UK) Limited, z czego 34.906.485 akcji (reprezentujących 75,5% kapitału zakładowego Spółki) były zdeponowane w imieniu i na rzecz Fragiolig Holdings International (członka Izaki Group)</w:t>
      </w:r>
    </w:p>
    <w:p w:rsidR="004C2D5C" w:rsidRPr="00171B20" w:rsidRDefault="004C2D5C" w:rsidP="004C2D5C">
      <w:pPr>
        <w:pStyle w:val="NormalWeb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171B20">
        <w:rPr>
          <w:rFonts w:ascii="Tahoma" w:hAnsi="Tahoma" w:cs="Tahoma"/>
          <w:i/>
          <w:color w:val="auto"/>
          <w:sz w:val="20"/>
          <w:szCs w:val="20"/>
        </w:rPr>
        <w:t>Podstawa prawna: art.70 pkt 3) ustawy z dnia 29 lipca 2005 r. o ofercie publicznej i warunkach wprowadzania instrumentów finansowych do zorganizowanego systemu obrotu oraz o spółkach publicznych (Dz.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</w:t>
      </w:r>
      <w:r w:rsidRPr="00171B20">
        <w:rPr>
          <w:rFonts w:ascii="Tahoma" w:hAnsi="Tahoma" w:cs="Tahoma"/>
          <w:i/>
          <w:color w:val="auto"/>
          <w:sz w:val="20"/>
          <w:szCs w:val="20"/>
        </w:rPr>
        <w:t>U. nr 184 poz. 1539 ze zmianami)</w:t>
      </w: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</w:p>
    <w:p w:rsidR="004C2D5C" w:rsidRPr="00171B20" w:rsidRDefault="004C2D5C" w:rsidP="004C2D5C">
      <w:pPr>
        <w:rPr>
          <w:rFonts w:ascii="Tahoma" w:hAnsi="Tahoma" w:cs="Tahoma"/>
          <w:sz w:val="20"/>
          <w:szCs w:val="20"/>
        </w:rPr>
      </w:pPr>
    </w:p>
    <w:p w:rsidR="00520BB2" w:rsidRDefault="00520BB2"/>
    <w:sectPr w:rsidR="00520BB2" w:rsidSect="004C2D5C">
      <w:pgSz w:w="11906" w:h="16838" w:code="9"/>
      <w:pgMar w:top="2336" w:right="1701" w:bottom="2693" w:left="1701" w:header="567" w:footer="454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C2D5C"/>
    <w:rsid w:val="004C2D5C"/>
    <w:rsid w:val="0052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5C"/>
    <w:rPr>
      <w:rFonts w:ascii="Calibri" w:eastAsia="Calibri" w:hAnsi="Calibri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2D5C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5"/>
      <w:szCs w:val="15"/>
      <w:lang w:eastAsia="pl-PL"/>
    </w:rPr>
  </w:style>
  <w:style w:type="character" w:customStyle="1" w:styleId="submenuyellowbold1">
    <w:name w:val="submenu_yellow_bold1"/>
    <w:basedOn w:val="DefaultParagraphFont"/>
    <w:rsid w:val="004C2D5C"/>
    <w:rPr>
      <w:rFonts w:ascii="Verdana" w:hAnsi="Verdana" w:hint="default"/>
      <w:b/>
      <w:bCs/>
      <w:color w:val="FFB9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edytaw</dc:creator>
  <cp:keywords/>
  <dc:description/>
  <cp:lastModifiedBy>edytaw</cp:lastModifiedBy>
  <cp:revision>1</cp:revision>
  <dcterms:created xsi:type="dcterms:W3CDTF">2011-06-16T12:57:00Z</dcterms:created>
  <dcterms:modified xsi:type="dcterms:W3CDTF">2011-06-16T12:58:00Z</dcterms:modified>
</cp:coreProperties>
</file>