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25" w:rsidRPr="00282500" w:rsidRDefault="00184425" w:rsidP="00184425">
      <w:pPr>
        <w:rPr>
          <w:rFonts w:ascii="Arial" w:hAnsi="Arial" w:cs="Arial"/>
          <w:sz w:val="22"/>
          <w:szCs w:val="22"/>
        </w:rPr>
      </w:pPr>
      <w:r w:rsidRPr="00282500">
        <w:rPr>
          <w:rFonts w:ascii="Arial" w:hAnsi="Arial" w:cs="Arial"/>
          <w:sz w:val="22"/>
          <w:szCs w:val="22"/>
        </w:rPr>
        <w:t>Raport bieżący nr 5/2011 z dnia 18.04.2011 r.</w:t>
      </w:r>
    </w:p>
    <w:p w:rsidR="00282500" w:rsidRPr="00282500" w:rsidRDefault="00282500" w:rsidP="00184425">
      <w:pPr>
        <w:rPr>
          <w:rFonts w:ascii="Arial" w:hAnsi="Arial" w:cs="Arial"/>
          <w:sz w:val="22"/>
          <w:szCs w:val="22"/>
        </w:rPr>
      </w:pPr>
    </w:p>
    <w:p w:rsidR="00282500" w:rsidRPr="00282500" w:rsidRDefault="00282500" w:rsidP="00282500">
      <w:pPr>
        <w:jc w:val="center"/>
        <w:rPr>
          <w:rFonts w:ascii="Arial" w:hAnsi="Arial" w:cs="Arial"/>
          <w:b/>
          <w:sz w:val="22"/>
          <w:szCs w:val="22"/>
        </w:rPr>
      </w:pPr>
      <w:r w:rsidRPr="00282500">
        <w:rPr>
          <w:rFonts w:ascii="Arial" w:hAnsi="Arial" w:cs="Arial"/>
          <w:b/>
          <w:sz w:val="22"/>
          <w:szCs w:val="22"/>
        </w:rPr>
        <w:t>Stan posiadania Akcji Spółki</w:t>
      </w:r>
    </w:p>
    <w:p w:rsidR="00184425" w:rsidRPr="00282500" w:rsidRDefault="00184425" w:rsidP="0018442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</w:p>
    <w:p w:rsidR="00184425" w:rsidRPr="00282500" w:rsidRDefault="00184425" w:rsidP="00184425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282500">
        <w:rPr>
          <w:rFonts w:ascii="Arial" w:hAnsi="Arial" w:cs="Arial"/>
          <w:sz w:val="22"/>
          <w:szCs w:val="22"/>
          <w:lang w:eastAsia="pl-PL"/>
        </w:rPr>
        <w:t xml:space="preserve">Atlas </w:t>
      </w:r>
      <w:proofErr w:type="spellStart"/>
      <w:r w:rsidRPr="00282500">
        <w:rPr>
          <w:rFonts w:ascii="Arial" w:hAnsi="Arial" w:cs="Arial"/>
          <w:sz w:val="22"/>
          <w:szCs w:val="22"/>
          <w:lang w:eastAsia="pl-PL"/>
        </w:rPr>
        <w:t>Estates</w:t>
      </w:r>
      <w:proofErr w:type="spellEnd"/>
      <w:r w:rsidRPr="00282500">
        <w:rPr>
          <w:rFonts w:ascii="Arial" w:hAnsi="Arial" w:cs="Arial"/>
          <w:sz w:val="22"/>
          <w:szCs w:val="22"/>
          <w:lang w:eastAsia="pl-PL"/>
        </w:rPr>
        <w:t xml:space="preserve"> Limited (“AEL”) w dniu dzisiejszy otrzymała informację od członka Rady Dyrektorów, że </w:t>
      </w:r>
      <w:proofErr w:type="spellStart"/>
      <w:r w:rsidRPr="00282500">
        <w:rPr>
          <w:rFonts w:ascii="Arial" w:hAnsi="Arial" w:cs="Arial"/>
          <w:sz w:val="22"/>
          <w:szCs w:val="22"/>
          <w:lang w:eastAsia="pl-PL"/>
        </w:rPr>
        <w:t>Fragiolig</w:t>
      </w:r>
      <w:proofErr w:type="spellEnd"/>
      <w:r w:rsidRPr="00282500">
        <w:rPr>
          <w:rFonts w:ascii="Arial" w:hAnsi="Arial" w:cs="Arial"/>
          <w:sz w:val="22"/>
          <w:szCs w:val="22"/>
          <w:lang w:eastAsia="pl-PL"/>
        </w:rPr>
        <w:t xml:space="preserve"> Holdings Limited (“</w:t>
      </w:r>
      <w:proofErr w:type="spellStart"/>
      <w:r w:rsidRPr="00282500">
        <w:rPr>
          <w:rFonts w:ascii="Arial" w:hAnsi="Arial" w:cs="Arial"/>
          <w:sz w:val="22"/>
          <w:szCs w:val="22"/>
          <w:lang w:eastAsia="pl-PL"/>
        </w:rPr>
        <w:t>Fragiolig</w:t>
      </w:r>
      <w:proofErr w:type="spellEnd"/>
      <w:r w:rsidRPr="00282500">
        <w:rPr>
          <w:rFonts w:ascii="Arial" w:hAnsi="Arial" w:cs="Arial"/>
          <w:sz w:val="22"/>
          <w:szCs w:val="22"/>
          <w:lang w:eastAsia="pl-PL"/>
        </w:rPr>
        <w:t xml:space="preserve">”) – osoba blisko związana z informującym dyrektorem, w dniu 15 kwietnia 2011 nabył 3.144.608 akcji AEL, które </w:t>
      </w:r>
      <w:r w:rsidRPr="00282500">
        <w:rPr>
          <w:rFonts w:ascii="Arial" w:hAnsi="Arial" w:cs="Arial"/>
          <w:sz w:val="22"/>
          <w:szCs w:val="22"/>
        </w:rPr>
        <w:t xml:space="preserve">zostały wniesione jako wkład niepieniężny do </w:t>
      </w:r>
      <w:proofErr w:type="spellStart"/>
      <w:r w:rsidRPr="00282500">
        <w:rPr>
          <w:rFonts w:ascii="Arial" w:hAnsi="Arial" w:cs="Arial"/>
          <w:sz w:val="22"/>
          <w:szCs w:val="22"/>
        </w:rPr>
        <w:t>Fragiolig</w:t>
      </w:r>
      <w:proofErr w:type="spellEnd"/>
      <w:r w:rsidRPr="00282500">
        <w:rPr>
          <w:rFonts w:ascii="Arial" w:hAnsi="Arial" w:cs="Arial"/>
          <w:sz w:val="22"/>
          <w:szCs w:val="22"/>
        </w:rPr>
        <w:t xml:space="preserve"> w zamian za udziały w tej spółce (jeden udział podlegający umorzeniu serii A oraz jeden udział podlegający umorzeniu serii B)</w:t>
      </w:r>
      <w:r w:rsidRPr="00282500">
        <w:rPr>
          <w:rFonts w:ascii="Arial" w:hAnsi="Arial" w:cs="Arial"/>
          <w:sz w:val="22"/>
          <w:szCs w:val="22"/>
          <w:lang w:eastAsia="pl-PL"/>
        </w:rPr>
        <w:t xml:space="preserve">. Przedmiotowa transakcja została dokonana </w:t>
      </w:r>
      <w:r w:rsidRPr="00282500">
        <w:rPr>
          <w:rFonts w:ascii="Arial" w:hAnsi="Arial" w:cs="Arial"/>
          <w:sz w:val="22"/>
          <w:szCs w:val="22"/>
        </w:rPr>
        <w:t xml:space="preserve">poza rynkiem regulowanym w wykonaniu umowy pisemnej z dnia 6 kwietnia 2011 r., która weszła w życie 13 kwietnia 2011 </w:t>
      </w:r>
      <w:proofErr w:type="spellStart"/>
      <w:r w:rsidRPr="00282500">
        <w:rPr>
          <w:rFonts w:ascii="Arial" w:hAnsi="Arial" w:cs="Arial"/>
          <w:sz w:val="22"/>
          <w:szCs w:val="22"/>
        </w:rPr>
        <w:t>r</w:t>
      </w:r>
      <w:proofErr w:type="spellEnd"/>
      <w:r w:rsidRPr="00282500">
        <w:rPr>
          <w:rFonts w:ascii="Arial" w:hAnsi="Arial" w:cs="Arial"/>
          <w:sz w:val="22"/>
          <w:szCs w:val="22"/>
        </w:rPr>
        <w:t xml:space="preserve"> .</w:t>
      </w:r>
    </w:p>
    <w:p w:rsidR="00184425" w:rsidRPr="00282500" w:rsidRDefault="00184425" w:rsidP="0018442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184425" w:rsidRPr="00282500" w:rsidRDefault="00184425" w:rsidP="0018442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</w:p>
    <w:p w:rsidR="00184425" w:rsidRPr="00282500" w:rsidRDefault="00184425" w:rsidP="0018442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</w:p>
    <w:p w:rsidR="00184425" w:rsidRPr="00282500" w:rsidRDefault="00184425" w:rsidP="0018442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282500">
        <w:rPr>
          <w:rFonts w:ascii="Arial" w:hAnsi="Arial" w:cs="Arial"/>
          <w:sz w:val="22"/>
          <w:szCs w:val="22"/>
          <w:lang w:eastAsia="pl-PL"/>
        </w:rPr>
        <w:t>Podstawa prawna: § 3 Rozporządzenia Ministra Finansów z dnia 15 listopada 2005 w sprawie przekazywania i udostępniania informacji o niektórych transakcjach instrumentami finansowymi oraz zasad sporządzania i prowadzenia listy osób posiadających dostęp do określonych informacji w związku z art. 160 ustawy o obrocie instrumentami finansowymi z dnia 29 lipca 2005 roku.</w:t>
      </w:r>
    </w:p>
    <w:p w:rsidR="00184425" w:rsidRPr="00282500" w:rsidRDefault="00184425" w:rsidP="00184425">
      <w:pPr>
        <w:jc w:val="both"/>
        <w:rPr>
          <w:rFonts w:ascii="Arial" w:hAnsi="Arial" w:cs="Arial"/>
          <w:sz w:val="22"/>
          <w:szCs w:val="22"/>
        </w:rPr>
      </w:pPr>
    </w:p>
    <w:p w:rsidR="00237FA3" w:rsidRDefault="00237FA3"/>
    <w:sectPr w:rsidR="00237FA3" w:rsidSect="002323F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/>
  <w:defaultTabStop w:val="708"/>
  <w:hyphenationZone w:val="425"/>
  <w:characterSpacingControl w:val="doNotCompress"/>
  <w:compat/>
  <w:rsids>
    <w:rsidRoot w:val="00184425"/>
    <w:rsid w:val="00184425"/>
    <w:rsid w:val="00237FA3"/>
    <w:rsid w:val="00282500"/>
    <w:rsid w:val="00D7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Wójcik</dc:creator>
  <cp:keywords/>
  <dc:description/>
  <cp:lastModifiedBy>Edyta Wójcik</cp:lastModifiedBy>
  <cp:revision>2</cp:revision>
  <dcterms:created xsi:type="dcterms:W3CDTF">2011-04-18T11:42:00Z</dcterms:created>
  <dcterms:modified xsi:type="dcterms:W3CDTF">2011-04-18T12:09:00Z</dcterms:modified>
</cp:coreProperties>
</file>