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C8BC6" w14:textId="5CAA9E11" w:rsidR="001463C4" w:rsidRDefault="00A222CC" w:rsidP="001463C4">
      <w:pPr>
        <w:widowControl w:val="0"/>
        <w:autoSpaceDE w:val="0"/>
        <w:autoSpaceDN w:val="0"/>
        <w:adjustRightInd w:val="0"/>
        <w:spacing w:line="360" w:lineRule="auto"/>
        <w:jc w:val="right"/>
        <w:rPr>
          <w:rFonts w:eastAsiaTheme="minorEastAsia" w:cs="Arial"/>
          <w:szCs w:val="20"/>
        </w:rPr>
      </w:pPr>
      <w:r>
        <w:rPr>
          <w:rFonts w:eastAsiaTheme="minorEastAsia" w:cs="Arial"/>
          <w:szCs w:val="20"/>
        </w:rPr>
        <w:t xml:space="preserve">Projekt z </w:t>
      </w:r>
      <w:r w:rsidR="003C232C">
        <w:rPr>
          <w:rFonts w:eastAsiaTheme="minorEastAsia" w:cs="Arial"/>
          <w:szCs w:val="20"/>
        </w:rPr>
        <w:t>14</w:t>
      </w:r>
      <w:r w:rsidR="0098372B">
        <w:rPr>
          <w:rFonts w:eastAsiaTheme="minorEastAsia" w:cs="Arial"/>
          <w:szCs w:val="20"/>
        </w:rPr>
        <w:t>.0</w:t>
      </w:r>
      <w:r w:rsidR="003C232C">
        <w:rPr>
          <w:rFonts w:eastAsiaTheme="minorEastAsia" w:cs="Arial"/>
          <w:szCs w:val="20"/>
        </w:rPr>
        <w:t>8</w:t>
      </w:r>
      <w:r w:rsidR="0098372B">
        <w:rPr>
          <w:rFonts w:eastAsiaTheme="minorEastAsia" w:cs="Arial"/>
          <w:szCs w:val="20"/>
        </w:rPr>
        <w:t>.2024</w:t>
      </w:r>
    </w:p>
    <w:p w14:paraId="12C47B23" w14:textId="41FB927A" w:rsidR="003330DA" w:rsidRDefault="003330DA" w:rsidP="001463C4">
      <w:pPr>
        <w:widowControl w:val="0"/>
        <w:autoSpaceDE w:val="0"/>
        <w:autoSpaceDN w:val="0"/>
        <w:adjustRightInd w:val="0"/>
        <w:spacing w:line="360" w:lineRule="auto"/>
        <w:jc w:val="center"/>
        <w:rPr>
          <w:rFonts w:eastAsiaTheme="minorEastAsia" w:cs="Arial"/>
          <w:b/>
          <w:bCs/>
          <w:szCs w:val="20"/>
        </w:rPr>
      </w:pPr>
      <w:r w:rsidRPr="001463C4">
        <w:rPr>
          <w:rFonts w:eastAsiaTheme="minorEastAsia" w:cs="Arial"/>
          <w:b/>
          <w:bCs/>
          <w:szCs w:val="20"/>
        </w:rPr>
        <w:t>UZASADNIENIE</w:t>
      </w:r>
    </w:p>
    <w:p w14:paraId="6B2F1AA0" w14:textId="77777777" w:rsidR="001463C4" w:rsidRPr="00C15934" w:rsidRDefault="001463C4" w:rsidP="001463C4">
      <w:pPr>
        <w:widowControl w:val="0"/>
        <w:autoSpaceDE w:val="0"/>
        <w:autoSpaceDN w:val="0"/>
        <w:adjustRightInd w:val="0"/>
        <w:spacing w:line="360" w:lineRule="auto"/>
        <w:jc w:val="center"/>
        <w:rPr>
          <w:rFonts w:eastAsiaTheme="minorEastAsia" w:cs="Arial"/>
          <w:szCs w:val="20"/>
        </w:rPr>
      </w:pPr>
    </w:p>
    <w:p w14:paraId="2B845BDF" w14:textId="6A23020C" w:rsidR="00311493" w:rsidRDefault="00E36D05" w:rsidP="00DB4FD4">
      <w:pPr>
        <w:widowControl w:val="0"/>
        <w:autoSpaceDE w:val="0"/>
        <w:autoSpaceDN w:val="0"/>
        <w:adjustRightInd w:val="0"/>
        <w:spacing w:line="360" w:lineRule="auto"/>
        <w:ind w:firstLine="709"/>
        <w:jc w:val="both"/>
      </w:pPr>
      <w:r>
        <w:rPr>
          <w:rFonts w:eastAsiaTheme="minorEastAsia" w:cs="Arial"/>
          <w:szCs w:val="20"/>
        </w:rPr>
        <w:t>Projektowane r</w:t>
      </w:r>
      <w:r w:rsidR="003330DA" w:rsidRPr="00C15934">
        <w:rPr>
          <w:rFonts w:eastAsiaTheme="minorEastAsia" w:cs="Arial"/>
          <w:szCs w:val="20"/>
        </w:rPr>
        <w:t>ozporządzeni</w:t>
      </w:r>
      <w:r w:rsidR="00A222CC">
        <w:rPr>
          <w:rFonts w:eastAsiaTheme="minorEastAsia" w:cs="Arial"/>
          <w:szCs w:val="20"/>
        </w:rPr>
        <w:t>e</w:t>
      </w:r>
      <w:r w:rsidR="003330DA" w:rsidRPr="00C15934">
        <w:rPr>
          <w:rFonts w:eastAsiaTheme="minorEastAsia" w:cs="Arial"/>
          <w:szCs w:val="20"/>
        </w:rPr>
        <w:t xml:space="preserve"> </w:t>
      </w:r>
      <w:r w:rsidR="00340EB8">
        <w:rPr>
          <w:rFonts w:eastAsiaTheme="minorEastAsia" w:cs="Arial"/>
          <w:szCs w:val="20"/>
        </w:rPr>
        <w:t xml:space="preserve">stanowi </w:t>
      </w:r>
      <w:r w:rsidR="003330DA">
        <w:rPr>
          <w:rFonts w:eastAsiaTheme="minorEastAsia" w:cs="Arial"/>
          <w:szCs w:val="20"/>
        </w:rPr>
        <w:t>realizacj</w:t>
      </w:r>
      <w:r w:rsidR="00340EB8">
        <w:rPr>
          <w:rFonts w:eastAsiaTheme="minorEastAsia" w:cs="Arial"/>
          <w:szCs w:val="20"/>
        </w:rPr>
        <w:t>ę</w:t>
      </w:r>
      <w:r w:rsidR="003330DA">
        <w:rPr>
          <w:rFonts w:eastAsiaTheme="minorEastAsia" w:cs="Arial"/>
          <w:szCs w:val="20"/>
        </w:rPr>
        <w:t xml:space="preserve"> </w:t>
      </w:r>
      <w:r w:rsidR="0037136B" w:rsidRPr="00C15934">
        <w:rPr>
          <w:rFonts w:eastAsiaTheme="minorEastAsia" w:cs="Arial"/>
          <w:szCs w:val="20"/>
        </w:rPr>
        <w:t>delegacji ustawowej</w:t>
      </w:r>
      <w:r w:rsidR="0037136B">
        <w:rPr>
          <w:rFonts w:eastAsiaTheme="minorEastAsia" w:cs="Arial"/>
          <w:szCs w:val="20"/>
        </w:rPr>
        <w:t xml:space="preserve"> </w:t>
      </w:r>
      <w:r w:rsidR="003330DA">
        <w:rPr>
          <w:rFonts w:eastAsiaTheme="minorEastAsia" w:cs="Arial"/>
          <w:szCs w:val="20"/>
        </w:rPr>
        <w:t xml:space="preserve">zawartej w art. </w:t>
      </w:r>
      <w:r w:rsidR="00471449">
        <w:rPr>
          <w:rFonts w:eastAsiaTheme="minorEastAsia" w:cs="Arial"/>
          <w:szCs w:val="20"/>
        </w:rPr>
        <w:t>31</w:t>
      </w:r>
      <w:r w:rsidR="00306B0E">
        <w:rPr>
          <w:rFonts w:eastAsiaTheme="minorEastAsia" w:cs="Arial"/>
          <w:szCs w:val="20"/>
        </w:rPr>
        <w:t xml:space="preserve"> ust</w:t>
      </w:r>
      <w:r w:rsidR="00544DA3">
        <w:rPr>
          <w:rFonts w:eastAsiaTheme="minorEastAsia" w:cs="Arial"/>
          <w:szCs w:val="20"/>
        </w:rPr>
        <w:t>.</w:t>
      </w:r>
      <w:r w:rsidR="00306B0E">
        <w:rPr>
          <w:rFonts w:eastAsiaTheme="minorEastAsia" w:cs="Arial"/>
          <w:szCs w:val="20"/>
        </w:rPr>
        <w:t xml:space="preserve"> </w:t>
      </w:r>
      <w:r w:rsidR="00471449">
        <w:rPr>
          <w:rFonts w:eastAsiaTheme="minorEastAsia" w:cs="Arial"/>
          <w:szCs w:val="20"/>
        </w:rPr>
        <w:t>11</w:t>
      </w:r>
      <w:r w:rsidR="003F1317">
        <w:rPr>
          <w:rFonts w:eastAsiaTheme="minorEastAsia" w:cs="Arial"/>
          <w:szCs w:val="20"/>
        </w:rPr>
        <w:t xml:space="preserve"> </w:t>
      </w:r>
      <w:r w:rsidR="003F2D82">
        <w:t xml:space="preserve">ustawy z dnia </w:t>
      </w:r>
      <w:r w:rsidR="00F559FE">
        <w:t>17 grudnia</w:t>
      </w:r>
      <w:r w:rsidR="003F2D82">
        <w:t xml:space="preserve"> 2020 r. o promowaniu wytwarzania energii elektrycznej w</w:t>
      </w:r>
      <w:r w:rsidR="00790B7A">
        <w:t> </w:t>
      </w:r>
      <w:r w:rsidR="003F2D82">
        <w:t>morskich farmach wiatrowych (</w:t>
      </w:r>
      <w:bookmarkStart w:id="0" w:name="_Hlk63763942"/>
      <w:r w:rsidR="00F559FE" w:rsidRPr="00CC0515">
        <w:t>Dz. U. z 202</w:t>
      </w:r>
      <w:r w:rsidR="00DB404A">
        <w:t>4</w:t>
      </w:r>
      <w:r w:rsidR="00F559FE" w:rsidRPr="00CC0515">
        <w:t xml:space="preserve"> r. poz. </w:t>
      </w:r>
      <w:bookmarkEnd w:id="0"/>
      <w:r w:rsidR="00DB404A">
        <w:t>182</w:t>
      </w:r>
      <w:r w:rsidR="00F559FE">
        <w:t>)</w:t>
      </w:r>
      <w:r w:rsidR="001A2003">
        <w:t>,</w:t>
      </w:r>
      <w:r w:rsidR="00F559FE">
        <w:t xml:space="preserve"> </w:t>
      </w:r>
      <w:r w:rsidR="00C4685F">
        <w:rPr>
          <w:rFonts w:eastAsiaTheme="minorEastAsia" w:cs="Arial"/>
          <w:szCs w:val="20"/>
        </w:rPr>
        <w:t>zwanej dalej „ustawą”,</w:t>
      </w:r>
      <w:r w:rsidR="003330DA" w:rsidRPr="00C15934">
        <w:rPr>
          <w:rFonts w:eastAsiaTheme="minorEastAsia" w:cs="Arial"/>
          <w:szCs w:val="20"/>
        </w:rPr>
        <w:t xml:space="preserve"> która nakłada </w:t>
      </w:r>
      <w:r w:rsidR="00E8571D">
        <w:rPr>
          <w:rFonts w:eastAsiaTheme="minorEastAsia" w:cs="Arial"/>
          <w:szCs w:val="20"/>
        </w:rPr>
        <w:t xml:space="preserve">na </w:t>
      </w:r>
      <w:r w:rsidR="00032BDC">
        <w:rPr>
          <w:rFonts w:eastAsiaTheme="minorEastAsia" w:cs="Arial"/>
          <w:szCs w:val="20"/>
        </w:rPr>
        <w:t xml:space="preserve">ministra </w:t>
      </w:r>
      <w:r w:rsidR="00737298">
        <w:rPr>
          <w:rFonts w:eastAsiaTheme="minorEastAsia" w:cs="Arial"/>
          <w:szCs w:val="20"/>
        </w:rPr>
        <w:t>właściwego</w:t>
      </w:r>
      <w:r w:rsidR="00737298" w:rsidRPr="00737298">
        <w:rPr>
          <w:rFonts w:eastAsiaTheme="minorEastAsia" w:cs="Arial"/>
          <w:szCs w:val="20"/>
        </w:rPr>
        <w:t xml:space="preserve"> do spraw klimatu</w:t>
      </w:r>
      <w:r w:rsidR="001A2003">
        <w:rPr>
          <w:rFonts w:eastAsiaTheme="minorEastAsia" w:cs="Arial"/>
          <w:szCs w:val="20"/>
        </w:rPr>
        <w:t xml:space="preserve"> obowiązek określenia, </w:t>
      </w:r>
      <w:r w:rsidR="00737298" w:rsidRPr="00737298">
        <w:rPr>
          <w:rFonts w:eastAsiaTheme="minorEastAsia" w:cs="Arial"/>
          <w:szCs w:val="20"/>
        </w:rPr>
        <w:t>po zasięgnięciu opinii ministra właściwego do spraw aktywów państwowych</w:t>
      </w:r>
      <w:r w:rsidR="001A2003">
        <w:rPr>
          <w:rFonts w:eastAsiaTheme="minorEastAsia" w:cs="Arial"/>
          <w:szCs w:val="20"/>
        </w:rPr>
        <w:t>,</w:t>
      </w:r>
      <w:r w:rsidR="00DB4FD4">
        <w:rPr>
          <w:rFonts w:eastAsiaTheme="minorEastAsia" w:cs="Arial"/>
          <w:szCs w:val="20"/>
        </w:rPr>
        <w:t xml:space="preserve"> </w:t>
      </w:r>
      <w:r w:rsidR="00DB404A" w:rsidRPr="00DB404A">
        <w:t>maksymalnej</w:t>
      </w:r>
      <w:r>
        <w:t xml:space="preserve"> ceny</w:t>
      </w:r>
      <w:r w:rsidR="00DB404A" w:rsidRPr="00DB404A">
        <w:t xml:space="preserve"> w złotych za </w:t>
      </w:r>
      <w:r w:rsidR="00C3472C" w:rsidRPr="00DB404A">
        <w:t>1</w:t>
      </w:r>
      <w:r w:rsidR="00C3472C">
        <w:t> </w:t>
      </w:r>
      <w:r w:rsidR="00DB404A" w:rsidRPr="00DB404A">
        <w:t>MWh, jaka może być wskazana w ofertach złożonych w aukcji przez wytwórców</w:t>
      </w:r>
      <w:r w:rsidR="001A2003">
        <w:t xml:space="preserve"> (dalej: „cena maksymalna”).</w:t>
      </w:r>
    </w:p>
    <w:p w14:paraId="7BE7D125" w14:textId="327C1847" w:rsidR="008A5612" w:rsidRDefault="008A5612" w:rsidP="00DB4FD4">
      <w:pPr>
        <w:widowControl w:val="0"/>
        <w:autoSpaceDE w:val="0"/>
        <w:autoSpaceDN w:val="0"/>
        <w:adjustRightInd w:val="0"/>
        <w:spacing w:line="360" w:lineRule="auto"/>
        <w:ind w:firstLine="709"/>
        <w:jc w:val="both"/>
        <w:rPr>
          <w:rFonts w:eastAsiaTheme="minorEastAsia" w:cs="Arial"/>
          <w:szCs w:val="20"/>
        </w:rPr>
      </w:pPr>
      <w:bookmarkStart w:id="1" w:name="_Hlk173308752"/>
      <w:r w:rsidRPr="008A5612">
        <w:rPr>
          <w:rFonts w:eastAsiaTheme="minorEastAsia" w:cs="Arial"/>
          <w:szCs w:val="20"/>
        </w:rPr>
        <w:t xml:space="preserve">Przedmiotowe rozporządzenie określa </w:t>
      </w:r>
      <w:r w:rsidR="00DB404A" w:rsidRPr="00DB404A">
        <w:rPr>
          <w:rFonts w:eastAsiaTheme="minorEastAsia" w:cs="Arial"/>
          <w:szCs w:val="20"/>
        </w:rPr>
        <w:t>cen</w:t>
      </w:r>
      <w:r w:rsidR="00FA46BD">
        <w:rPr>
          <w:rFonts w:eastAsiaTheme="minorEastAsia" w:cs="Arial"/>
          <w:szCs w:val="20"/>
        </w:rPr>
        <w:t>ę</w:t>
      </w:r>
      <w:r w:rsidR="00DB404A" w:rsidRPr="00DB404A">
        <w:rPr>
          <w:rFonts w:eastAsiaTheme="minorEastAsia" w:cs="Arial"/>
          <w:szCs w:val="20"/>
        </w:rPr>
        <w:t xml:space="preserve"> maksymaln</w:t>
      </w:r>
      <w:r w:rsidR="00FA46BD">
        <w:rPr>
          <w:rFonts w:eastAsiaTheme="minorEastAsia" w:cs="Arial"/>
          <w:szCs w:val="20"/>
        </w:rPr>
        <w:t>ą</w:t>
      </w:r>
      <w:r w:rsidR="00DB404A" w:rsidRPr="00DB404A">
        <w:rPr>
          <w:rFonts w:eastAsiaTheme="minorEastAsia" w:cs="Arial"/>
          <w:szCs w:val="20"/>
        </w:rPr>
        <w:t xml:space="preserve"> za energię elektryczną wytworzoną w morskich farmach wiatrowych i wprowadzoną do sieci</w:t>
      </w:r>
      <w:r w:rsidR="00A72262">
        <w:rPr>
          <w:rFonts w:eastAsiaTheme="minorEastAsia" w:cs="Arial"/>
          <w:szCs w:val="20"/>
        </w:rPr>
        <w:t>,</w:t>
      </w:r>
      <w:r w:rsidR="00DB404A" w:rsidRPr="00DB404A">
        <w:rPr>
          <w:rFonts w:eastAsiaTheme="minorEastAsia" w:cs="Arial"/>
          <w:szCs w:val="20"/>
        </w:rPr>
        <w:t xml:space="preserve"> </w:t>
      </w:r>
      <w:r w:rsidRPr="008A5612">
        <w:rPr>
          <w:rFonts w:eastAsiaTheme="minorEastAsia" w:cs="Arial"/>
          <w:szCs w:val="20"/>
        </w:rPr>
        <w:t>w</w:t>
      </w:r>
      <w:r w:rsidR="00790B7A">
        <w:rPr>
          <w:rFonts w:eastAsiaTheme="minorEastAsia" w:cs="Arial"/>
          <w:szCs w:val="20"/>
        </w:rPr>
        <w:t xml:space="preserve"> ramach</w:t>
      </w:r>
      <w:r w:rsidRPr="008A5612">
        <w:rPr>
          <w:rFonts w:eastAsiaTheme="minorEastAsia" w:cs="Arial"/>
          <w:szCs w:val="20"/>
        </w:rPr>
        <w:t xml:space="preserve"> I</w:t>
      </w:r>
      <w:r w:rsidR="00DB404A">
        <w:rPr>
          <w:rFonts w:eastAsiaTheme="minorEastAsia" w:cs="Arial"/>
          <w:szCs w:val="20"/>
        </w:rPr>
        <w:t>I</w:t>
      </w:r>
      <w:r w:rsidRPr="008A5612">
        <w:rPr>
          <w:rFonts w:eastAsiaTheme="minorEastAsia" w:cs="Arial"/>
          <w:szCs w:val="20"/>
        </w:rPr>
        <w:t xml:space="preserve"> faz</w:t>
      </w:r>
      <w:r w:rsidR="00790B7A">
        <w:rPr>
          <w:rFonts w:eastAsiaTheme="minorEastAsia" w:cs="Arial"/>
          <w:szCs w:val="20"/>
        </w:rPr>
        <w:t>y</w:t>
      </w:r>
      <w:r w:rsidRPr="008A5612">
        <w:rPr>
          <w:rFonts w:eastAsiaTheme="minorEastAsia" w:cs="Arial"/>
          <w:szCs w:val="20"/>
        </w:rPr>
        <w:t xml:space="preserve"> systemu wsparcia.</w:t>
      </w:r>
      <w:r w:rsidR="000522A9">
        <w:rPr>
          <w:rFonts w:eastAsiaTheme="minorEastAsia" w:cs="Arial"/>
          <w:szCs w:val="20"/>
        </w:rPr>
        <w:t xml:space="preserve"> </w:t>
      </w:r>
      <w:bookmarkEnd w:id="1"/>
      <w:r w:rsidR="000522A9">
        <w:rPr>
          <w:rFonts w:eastAsiaTheme="minorEastAsia" w:cs="Arial"/>
          <w:szCs w:val="20"/>
        </w:rPr>
        <w:t xml:space="preserve">W celu zapewnienia lepszej komunikatywności tytułu projektowanego rozporządzenia oraz wewnętrznej spójności aktu, w tytule oraz w § 1 zdecydowano się doprecyzować, że dotyczy ono ceny maksymalnej za energię elektryczną wytworzoną </w:t>
      </w:r>
      <w:r w:rsidR="00C3472C">
        <w:rPr>
          <w:rFonts w:eastAsiaTheme="minorEastAsia" w:cs="Arial"/>
          <w:szCs w:val="20"/>
        </w:rPr>
        <w:t>w </w:t>
      </w:r>
      <w:r w:rsidR="000522A9">
        <w:rPr>
          <w:rFonts w:eastAsiaTheme="minorEastAsia" w:cs="Arial"/>
          <w:szCs w:val="20"/>
        </w:rPr>
        <w:t>morskich farmach wiatrowych i wprowadzoną do sieci, mimo że samo upoważnienie określa ten zakres w formie skróconej.</w:t>
      </w:r>
    </w:p>
    <w:p w14:paraId="1B775A30" w14:textId="62B04F7A" w:rsidR="00434BB3" w:rsidRPr="007C6B2A" w:rsidRDefault="00A4294B" w:rsidP="00A72F41">
      <w:pPr>
        <w:widowControl w:val="0"/>
        <w:autoSpaceDE w:val="0"/>
        <w:autoSpaceDN w:val="0"/>
        <w:adjustRightInd w:val="0"/>
        <w:spacing w:line="360" w:lineRule="auto"/>
        <w:ind w:firstLine="567"/>
        <w:jc w:val="both"/>
        <w:rPr>
          <w:rFonts w:eastAsiaTheme="minorEastAsia" w:cs="Arial"/>
          <w:sz w:val="28"/>
          <w:szCs w:val="22"/>
        </w:rPr>
      </w:pPr>
      <w:r w:rsidRPr="00A4294B">
        <w:rPr>
          <w:rFonts w:eastAsiaTheme="minorEastAsia" w:cs="Arial"/>
          <w:szCs w:val="20"/>
        </w:rPr>
        <w:t xml:space="preserve">Przy ustalaniu </w:t>
      </w:r>
      <w:r w:rsidR="001A2003">
        <w:rPr>
          <w:rFonts w:eastAsiaTheme="minorEastAsia" w:cs="Arial"/>
          <w:szCs w:val="20"/>
        </w:rPr>
        <w:t xml:space="preserve">ceny </w:t>
      </w:r>
      <w:r w:rsidR="00DB4FD4">
        <w:rPr>
          <w:rFonts w:eastAsiaTheme="minorEastAsia" w:cs="Arial"/>
          <w:szCs w:val="20"/>
        </w:rPr>
        <w:t>maksymalnej</w:t>
      </w:r>
      <w:r w:rsidR="003F2D82">
        <w:rPr>
          <w:rFonts w:eastAsiaTheme="minorEastAsia" w:cs="Arial"/>
          <w:szCs w:val="20"/>
        </w:rPr>
        <w:t xml:space="preserve"> </w:t>
      </w:r>
      <w:r w:rsidR="00A72262">
        <w:rPr>
          <w:rFonts w:eastAsiaTheme="minorEastAsia" w:cs="Arial"/>
          <w:szCs w:val="20"/>
        </w:rPr>
        <w:t>kierowano się wytycznymi do</w:t>
      </w:r>
      <w:r w:rsidR="00743F68">
        <w:rPr>
          <w:rFonts w:eastAsiaTheme="minorEastAsia" w:cs="Arial"/>
          <w:szCs w:val="20"/>
        </w:rPr>
        <w:t xml:space="preserve"> </w:t>
      </w:r>
      <w:r w:rsidR="006D5517">
        <w:rPr>
          <w:rFonts w:eastAsiaTheme="minorEastAsia" w:cs="Arial"/>
          <w:szCs w:val="20"/>
        </w:rPr>
        <w:t xml:space="preserve">upoważnienia ustawowego, </w:t>
      </w:r>
      <w:r w:rsidR="007D0A2F">
        <w:rPr>
          <w:rFonts w:eastAsiaTheme="minorEastAsia" w:cs="Arial"/>
          <w:szCs w:val="20"/>
        </w:rPr>
        <w:t>zgodnie z którym</w:t>
      </w:r>
      <w:r w:rsidR="00A72262">
        <w:rPr>
          <w:rFonts w:eastAsiaTheme="minorEastAsia" w:cs="Arial"/>
          <w:szCs w:val="20"/>
        </w:rPr>
        <w:t>i</w:t>
      </w:r>
      <w:r w:rsidR="00324C86">
        <w:rPr>
          <w:rFonts w:eastAsiaTheme="minorEastAsia" w:cs="Arial"/>
          <w:szCs w:val="20"/>
        </w:rPr>
        <w:t xml:space="preserve"> ustalając cenę</w:t>
      </w:r>
      <w:r w:rsidR="007D0A2F">
        <w:rPr>
          <w:rFonts w:eastAsiaTheme="minorEastAsia" w:cs="Arial"/>
          <w:szCs w:val="20"/>
        </w:rPr>
        <w:t xml:space="preserve"> należy </w:t>
      </w:r>
      <w:r w:rsidR="006D5517">
        <w:rPr>
          <w:rFonts w:eastAsiaTheme="minorEastAsia" w:cs="Arial"/>
          <w:szCs w:val="20"/>
        </w:rPr>
        <w:t>uwzględnić</w:t>
      </w:r>
      <w:r w:rsidR="003F2D82">
        <w:rPr>
          <w:rFonts w:eastAsiaTheme="minorEastAsia" w:cs="Arial"/>
          <w:szCs w:val="20"/>
        </w:rPr>
        <w:t>:</w:t>
      </w:r>
    </w:p>
    <w:p w14:paraId="66CE221D" w14:textId="77777777" w:rsidR="00DB4FD4" w:rsidRPr="007C6B2A" w:rsidRDefault="00DB4FD4" w:rsidP="00DB4FD4">
      <w:pPr>
        <w:pStyle w:val="PKTpunkt"/>
        <w:numPr>
          <w:ilvl w:val="0"/>
          <w:numId w:val="22"/>
        </w:numPr>
        <w:rPr>
          <w:szCs w:val="24"/>
        </w:rPr>
      </w:pPr>
      <w:r w:rsidRPr="007C6B2A">
        <w:rPr>
          <w:szCs w:val="24"/>
        </w:rPr>
        <w:t>koszty operacyjne oraz dodatkowe koszty inwestycyjne ponoszone w okresie eksploatacji, w którym wytwórca korzysta z prawa do pokrycia ujemnego salda;</w:t>
      </w:r>
    </w:p>
    <w:p w14:paraId="0CFFA69A" w14:textId="20FDE85D" w:rsidR="00DB4FD4" w:rsidRPr="007C6B2A" w:rsidRDefault="00DB4FD4" w:rsidP="00DB4FD4">
      <w:pPr>
        <w:pStyle w:val="PKTpunkt"/>
        <w:numPr>
          <w:ilvl w:val="0"/>
          <w:numId w:val="22"/>
        </w:numPr>
        <w:rPr>
          <w:szCs w:val="24"/>
        </w:rPr>
      </w:pPr>
      <w:r w:rsidRPr="007C6B2A">
        <w:rPr>
          <w:szCs w:val="24"/>
        </w:rPr>
        <w:t>koszty inwestycyjne ponoszone w okresie przygotowania projektu i budowy morskiej farmy wiatrowej wraz z niezbędną infrastrukturą techniczną oraz zespołem urządzeń służących do wyprowadzenia mocy, a także koszty całkowitej likwidacji morskiej farmy wiatrowej wraz z zespołem urządzeń służących do wyprowadzenia mocy, po zakończeniu jej eksploatacji;</w:t>
      </w:r>
    </w:p>
    <w:p w14:paraId="40491F93" w14:textId="77777777" w:rsidR="00DB4FD4" w:rsidRPr="007C6B2A" w:rsidRDefault="00DB4FD4" w:rsidP="00DB4FD4">
      <w:pPr>
        <w:pStyle w:val="PKTpunkt"/>
        <w:numPr>
          <w:ilvl w:val="0"/>
          <w:numId w:val="22"/>
        </w:numPr>
        <w:rPr>
          <w:i/>
          <w:sz w:val="22"/>
          <w:szCs w:val="18"/>
        </w:rPr>
      </w:pPr>
      <w:r w:rsidRPr="007C6B2A">
        <w:rPr>
          <w:szCs w:val="24"/>
        </w:rPr>
        <w:t>uzasadniony zwrot z kapitału zaangażowanego w wykonywaną działalność gospodarczą w zakresie przygotowania, budowy i eksploatacji morskiej farmy wiatrowej.</w:t>
      </w:r>
    </w:p>
    <w:p w14:paraId="508A1FC0" w14:textId="039D4F5C" w:rsidR="008050EE" w:rsidRDefault="00A839A0" w:rsidP="00342C25">
      <w:pPr>
        <w:pStyle w:val="PKTpunkt"/>
        <w:ind w:left="0" w:firstLine="567"/>
      </w:pPr>
      <w:r w:rsidRPr="00A839A0">
        <w:t>Określ</w:t>
      </w:r>
      <w:r w:rsidR="00195FFB">
        <w:t>e</w:t>
      </w:r>
      <w:r w:rsidRPr="00A839A0">
        <w:t>nie</w:t>
      </w:r>
      <w:r w:rsidR="00195FFB">
        <w:t xml:space="preserve"> wysokości</w:t>
      </w:r>
      <w:r w:rsidRPr="00A839A0">
        <w:t xml:space="preserve"> </w:t>
      </w:r>
      <w:r w:rsidR="00D401AA" w:rsidRPr="00A839A0">
        <w:t xml:space="preserve">ceny </w:t>
      </w:r>
      <w:r w:rsidRPr="00A839A0">
        <w:t xml:space="preserve">maksymalnej jest niezbędne dla </w:t>
      </w:r>
      <w:r w:rsidR="00D401AA">
        <w:t xml:space="preserve">uruchomienia </w:t>
      </w:r>
      <w:r w:rsidR="00932936">
        <w:t>I</w:t>
      </w:r>
      <w:r w:rsidR="00D401AA">
        <w:t xml:space="preserve">I fazy systemu wsparcia, a </w:t>
      </w:r>
      <w:r w:rsidR="00324C86">
        <w:t>w związku z tym</w:t>
      </w:r>
      <w:r w:rsidR="003A5643">
        <w:t xml:space="preserve"> </w:t>
      </w:r>
      <w:r w:rsidR="003A5643">
        <w:rPr>
          <w:color w:val="000000"/>
          <w:spacing w:val="-2"/>
        </w:rPr>
        <w:t>–</w:t>
      </w:r>
      <w:r w:rsidR="00D401AA">
        <w:t xml:space="preserve"> dla </w:t>
      </w:r>
      <w:r w:rsidR="008050EE">
        <w:t>terminowego i </w:t>
      </w:r>
      <w:r w:rsidRPr="00A839A0">
        <w:t xml:space="preserve">zrównoważonego rozwoju morskich farm wiatrowych w Polsce. Informacje dotyczące </w:t>
      </w:r>
      <w:r w:rsidR="008050EE" w:rsidRPr="00A839A0">
        <w:t xml:space="preserve">ceny </w:t>
      </w:r>
      <w:r w:rsidRPr="00A839A0">
        <w:t xml:space="preserve">maksymalnej są </w:t>
      </w:r>
      <w:r w:rsidR="005D4A49">
        <w:t xml:space="preserve">bowiem </w:t>
      </w:r>
      <w:r w:rsidRPr="00A839A0">
        <w:t xml:space="preserve">ważnym </w:t>
      </w:r>
      <w:r w:rsidRPr="00A839A0">
        <w:lastRenderedPageBreak/>
        <w:t xml:space="preserve">sygnałem dla inwestorów pozwalającym na określenie, czy dany projekt inwestycyjny ma szansę na partycypację w systemie wsparcia, a tym samym na realizację. </w:t>
      </w:r>
    </w:p>
    <w:p w14:paraId="356082BC" w14:textId="3652F716" w:rsidR="003E4FCB" w:rsidRDefault="00A839A0" w:rsidP="001F16EB">
      <w:pPr>
        <w:pStyle w:val="PKTpunkt"/>
        <w:ind w:left="0" w:firstLine="567"/>
        <w:rPr>
          <w:rFonts w:ascii="Times New Roman" w:hAnsi="Times New Roman"/>
          <w:color w:val="000000"/>
          <w:spacing w:val="-2"/>
        </w:rPr>
      </w:pPr>
      <w:r w:rsidRPr="00A839A0">
        <w:t xml:space="preserve">Terminowa realizacja inwestycji </w:t>
      </w:r>
      <w:r>
        <w:t>w morskie farmy wiatrowe</w:t>
      </w:r>
      <w:r w:rsidRPr="00A839A0">
        <w:t xml:space="preserve"> </w:t>
      </w:r>
      <w:r w:rsidR="00893BC4">
        <w:t>(</w:t>
      </w:r>
      <w:r w:rsidR="005F2BBD">
        <w:t>dalej także: „</w:t>
      </w:r>
      <w:r w:rsidR="00893BC4">
        <w:t>MFW</w:t>
      </w:r>
      <w:r w:rsidR="005F2BBD">
        <w:t>”</w:t>
      </w:r>
      <w:r w:rsidR="00893BC4">
        <w:t xml:space="preserve">) </w:t>
      </w:r>
      <w:r w:rsidRPr="00A839A0">
        <w:t xml:space="preserve">jest </w:t>
      </w:r>
      <w:r w:rsidR="005C5829">
        <w:t>niezwykle istotna</w:t>
      </w:r>
      <w:r w:rsidR="005C5829" w:rsidRPr="00A839A0">
        <w:t xml:space="preserve"> </w:t>
      </w:r>
      <w:r w:rsidRPr="00A839A0">
        <w:t>dla spełniania zobowiązań Polski wynikających z</w:t>
      </w:r>
      <w:r w:rsidR="00893BC4">
        <w:t> </w:t>
      </w:r>
      <w:r w:rsidRPr="00A839A0">
        <w:t>unijnej polityki energetyczno</w:t>
      </w:r>
      <w:r w:rsidR="00957133">
        <w:t xml:space="preserve"> </w:t>
      </w:r>
      <w:r w:rsidRPr="00A839A0">
        <w:t>-</w:t>
      </w:r>
      <w:r w:rsidR="00957133">
        <w:t xml:space="preserve"> </w:t>
      </w:r>
      <w:r w:rsidRPr="00A839A0">
        <w:t>klimatycznej.</w:t>
      </w:r>
    </w:p>
    <w:p w14:paraId="6F40E70C" w14:textId="6915467F" w:rsidR="00C938B9" w:rsidRDefault="0035546B" w:rsidP="00A03858">
      <w:pPr>
        <w:pStyle w:val="PKTpunkt"/>
        <w:ind w:left="0" w:firstLine="567"/>
      </w:pPr>
      <w:r>
        <w:rPr>
          <w:rFonts w:ascii="Times New Roman" w:hAnsi="Times New Roman"/>
          <w:bCs w:val="0"/>
          <w:color w:val="000000"/>
          <w:spacing w:val="-2"/>
        </w:rPr>
        <w:t>Do wyliczenia ceny maksymalnej wykorzystano metodykę</w:t>
      </w:r>
      <w:r w:rsidR="002F0448">
        <w:rPr>
          <w:rFonts w:ascii="Times New Roman" w:hAnsi="Times New Roman"/>
          <w:bCs w:val="0"/>
          <w:color w:val="000000"/>
          <w:spacing w:val="-2"/>
        </w:rPr>
        <w:t>,</w:t>
      </w:r>
      <w:r w:rsidR="00FE5B70">
        <w:rPr>
          <w:rFonts w:ascii="Times New Roman" w:hAnsi="Times New Roman"/>
          <w:bCs w:val="0"/>
          <w:color w:val="000000"/>
          <w:spacing w:val="-2"/>
        </w:rPr>
        <w:t xml:space="preserve"> </w:t>
      </w:r>
      <w:r w:rsidR="00D9051A">
        <w:rPr>
          <w:rFonts w:ascii="Times New Roman" w:hAnsi="Times New Roman"/>
          <w:bCs w:val="0"/>
          <w:color w:val="000000"/>
          <w:spacing w:val="-2"/>
        </w:rPr>
        <w:t>według której</w:t>
      </w:r>
      <w:r w:rsidR="00C938B9" w:rsidRPr="009A3F49">
        <w:rPr>
          <w:rFonts w:ascii="TimesNewRomanPSMT" w:hAnsi="TimesNewRomanPSMT" w:cs="TimesNewRomanPSMT"/>
        </w:rPr>
        <w:t xml:space="preserve"> </w:t>
      </w:r>
      <w:r w:rsidR="007007E0">
        <w:rPr>
          <w:color w:val="000000"/>
          <w:spacing w:val="-2"/>
        </w:rPr>
        <w:t>na</w:t>
      </w:r>
      <w:r w:rsidR="00C938B9" w:rsidRPr="00184B58">
        <w:t xml:space="preserve"> </w:t>
      </w:r>
      <w:r w:rsidR="00226867">
        <w:t>koszt</w:t>
      </w:r>
      <w:r w:rsidR="00226867" w:rsidRPr="00184B58">
        <w:t xml:space="preserve"> </w:t>
      </w:r>
      <w:r w:rsidR="00C938B9" w:rsidRPr="00184B58">
        <w:t xml:space="preserve">energii elektrycznej </w:t>
      </w:r>
      <w:r w:rsidR="00C938B9">
        <w:t xml:space="preserve">(LCOE) </w:t>
      </w:r>
      <w:r w:rsidR="00226867">
        <w:t xml:space="preserve">wytwarzanej w </w:t>
      </w:r>
      <w:r w:rsidR="00C938B9">
        <w:t>morskich farm</w:t>
      </w:r>
      <w:r w:rsidR="00226867">
        <w:t>ach</w:t>
      </w:r>
      <w:r w:rsidR="00C938B9">
        <w:t xml:space="preserve"> wiatrowych ma wpływ pięć</w:t>
      </w:r>
      <w:r w:rsidR="00C938B9" w:rsidRPr="00184B58">
        <w:t xml:space="preserve"> czynników</w:t>
      </w:r>
      <w:r w:rsidR="00C938B9">
        <w:t>:</w:t>
      </w:r>
    </w:p>
    <w:p w14:paraId="27ECB876" w14:textId="22CF4EDD" w:rsidR="00C938B9" w:rsidRDefault="005C5829" w:rsidP="006474D1">
      <w:pPr>
        <w:pStyle w:val="Akapitzlist"/>
        <w:numPr>
          <w:ilvl w:val="0"/>
          <w:numId w:val="35"/>
        </w:numPr>
        <w:spacing w:line="360" w:lineRule="auto"/>
        <w:jc w:val="both"/>
        <w:rPr>
          <w:color w:val="000000"/>
          <w:spacing w:val="-2"/>
        </w:rPr>
      </w:pPr>
      <w:r>
        <w:rPr>
          <w:color w:val="000000"/>
          <w:spacing w:val="-2"/>
        </w:rPr>
        <w:t>p</w:t>
      </w:r>
      <w:r w:rsidR="00C938B9">
        <w:rPr>
          <w:color w:val="000000"/>
          <w:spacing w:val="-2"/>
        </w:rPr>
        <w:t xml:space="preserve">rędkość wiatru – wpływa </w:t>
      </w:r>
      <w:r w:rsidR="00C938B9" w:rsidRPr="00184B58">
        <w:rPr>
          <w:color w:val="000000"/>
          <w:spacing w:val="-2"/>
        </w:rPr>
        <w:t xml:space="preserve">na </w:t>
      </w:r>
      <w:r w:rsidR="00A72262">
        <w:rPr>
          <w:color w:val="000000"/>
          <w:spacing w:val="-2"/>
        </w:rPr>
        <w:t>liczbę</w:t>
      </w:r>
      <w:r w:rsidR="00A72262" w:rsidRPr="00184B58">
        <w:rPr>
          <w:color w:val="000000"/>
          <w:spacing w:val="-2"/>
        </w:rPr>
        <w:t xml:space="preserve"> </w:t>
      </w:r>
      <w:r w:rsidR="00C938B9" w:rsidRPr="00184B58">
        <w:rPr>
          <w:color w:val="000000"/>
          <w:spacing w:val="-2"/>
        </w:rPr>
        <w:t>godzin pracy z pełną mocą w ciągu roku (</w:t>
      </w:r>
      <w:r w:rsidR="00C938B9">
        <w:rPr>
          <w:color w:val="000000"/>
          <w:spacing w:val="-2"/>
        </w:rPr>
        <w:t xml:space="preserve">współczynnik wykorzystania mocy, ang. </w:t>
      </w:r>
      <w:r w:rsidR="00C938B9" w:rsidRPr="000664BC">
        <w:rPr>
          <w:rStyle w:val="Kkursywa"/>
        </w:rPr>
        <w:t>capacity factor</w:t>
      </w:r>
      <w:r w:rsidR="000664BC">
        <w:rPr>
          <w:rStyle w:val="Kkursywa"/>
        </w:rPr>
        <w:t>,</w:t>
      </w:r>
      <w:r w:rsidR="00C938B9" w:rsidRPr="000664BC">
        <w:rPr>
          <w:rStyle w:val="Kkursywa"/>
        </w:rPr>
        <w:t xml:space="preserve"> CF</w:t>
      </w:r>
      <w:r w:rsidR="00C938B9" w:rsidRPr="00184B58">
        <w:rPr>
          <w:color w:val="000000"/>
          <w:spacing w:val="-2"/>
        </w:rPr>
        <w:t>)</w:t>
      </w:r>
      <w:r w:rsidR="00C938B9">
        <w:rPr>
          <w:color w:val="000000"/>
          <w:spacing w:val="-2"/>
        </w:rPr>
        <w:t>;</w:t>
      </w:r>
    </w:p>
    <w:p w14:paraId="3F6D5F82" w14:textId="5FF1FEAD" w:rsidR="00C938B9" w:rsidRDefault="005C5829" w:rsidP="006474D1">
      <w:pPr>
        <w:pStyle w:val="Akapitzlist"/>
        <w:numPr>
          <w:ilvl w:val="0"/>
          <w:numId w:val="35"/>
        </w:numPr>
        <w:spacing w:line="360" w:lineRule="auto"/>
        <w:jc w:val="both"/>
        <w:rPr>
          <w:color w:val="000000"/>
          <w:spacing w:val="-2"/>
        </w:rPr>
      </w:pPr>
      <w:r>
        <w:rPr>
          <w:color w:val="000000"/>
          <w:spacing w:val="-2"/>
        </w:rPr>
        <w:t>o</w:t>
      </w:r>
      <w:r w:rsidR="00C938B9">
        <w:rPr>
          <w:color w:val="000000"/>
          <w:spacing w:val="-2"/>
        </w:rPr>
        <w:t>dległość od brzegu – wpływa</w:t>
      </w:r>
      <w:r w:rsidR="00C938B9" w:rsidRPr="00184B58">
        <w:rPr>
          <w:color w:val="000000"/>
          <w:spacing w:val="-2"/>
        </w:rPr>
        <w:t xml:space="preserve"> na długość kabla eksportowego oraz koszty instalacji i</w:t>
      </w:r>
      <w:r w:rsidR="000664BC">
        <w:rPr>
          <w:color w:val="000000"/>
          <w:spacing w:val="-2"/>
        </w:rPr>
        <w:t> </w:t>
      </w:r>
      <w:r w:rsidR="00C938B9" w:rsidRPr="00184B58">
        <w:rPr>
          <w:color w:val="000000"/>
          <w:spacing w:val="-2"/>
        </w:rPr>
        <w:t xml:space="preserve">eksploatacji urządzeń </w:t>
      </w:r>
      <w:r w:rsidR="00A94723">
        <w:rPr>
          <w:color w:val="000000"/>
          <w:spacing w:val="-2"/>
        </w:rPr>
        <w:t xml:space="preserve">uzależnione od długości transportu z portu instalacyjnego na teren </w:t>
      </w:r>
      <w:r>
        <w:rPr>
          <w:color w:val="000000"/>
          <w:spacing w:val="-2"/>
        </w:rPr>
        <w:t>morskiej farmy wiatrowej</w:t>
      </w:r>
      <w:r w:rsidR="00A94723">
        <w:rPr>
          <w:color w:val="000000"/>
          <w:spacing w:val="-2"/>
        </w:rPr>
        <w:t xml:space="preserve"> oraz </w:t>
      </w:r>
      <w:r w:rsidR="003A5643">
        <w:rPr>
          <w:color w:val="000000"/>
          <w:spacing w:val="-2"/>
        </w:rPr>
        <w:t xml:space="preserve">liczby </w:t>
      </w:r>
      <w:r w:rsidR="00A94723">
        <w:rPr>
          <w:color w:val="000000"/>
          <w:spacing w:val="-2"/>
        </w:rPr>
        <w:t>roboczogodzin spędzanych na morzu przez brygady eksploatacyjne i serwisowe</w:t>
      </w:r>
      <w:r w:rsidR="009D28CC">
        <w:rPr>
          <w:color w:val="000000"/>
          <w:spacing w:val="-2"/>
        </w:rPr>
        <w:t>;</w:t>
      </w:r>
      <w:r w:rsidR="00C938B9">
        <w:rPr>
          <w:color w:val="000000"/>
          <w:spacing w:val="-2"/>
        </w:rPr>
        <w:t xml:space="preserve"> </w:t>
      </w:r>
      <w:r w:rsidR="009D28CC">
        <w:rPr>
          <w:color w:val="000000"/>
          <w:spacing w:val="-2"/>
        </w:rPr>
        <w:t>i</w:t>
      </w:r>
      <w:r w:rsidR="00C938B9" w:rsidRPr="0031597C">
        <w:rPr>
          <w:color w:val="000000"/>
          <w:spacing w:val="-2"/>
        </w:rPr>
        <w:t xml:space="preserve">m mniejsza odległość tym </w:t>
      </w:r>
      <w:r w:rsidR="00C938B9">
        <w:rPr>
          <w:color w:val="000000"/>
          <w:spacing w:val="-2"/>
        </w:rPr>
        <w:t xml:space="preserve">niższe koszty kapitałowe budowy, ang. </w:t>
      </w:r>
      <w:r w:rsidR="00C938B9" w:rsidRPr="000664BC">
        <w:rPr>
          <w:rStyle w:val="Kkursywa"/>
        </w:rPr>
        <w:t>Overnight Cost</w:t>
      </w:r>
      <w:r w:rsidR="00C938B9" w:rsidRPr="0031597C">
        <w:rPr>
          <w:color w:val="000000"/>
          <w:spacing w:val="-2"/>
        </w:rPr>
        <w:t xml:space="preserve"> </w:t>
      </w:r>
      <w:r w:rsidR="00C938B9">
        <w:rPr>
          <w:color w:val="000000"/>
          <w:spacing w:val="-2"/>
        </w:rPr>
        <w:t>(OVN)</w:t>
      </w:r>
      <w:r>
        <w:rPr>
          <w:color w:val="000000"/>
          <w:spacing w:val="-2"/>
        </w:rPr>
        <w:t>,</w:t>
      </w:r>
      <w:r w:rsidR="001F2979">
        <w:rPr>
          <w:color w:val="000000"/>
          <w:spacing w:val="-2"/>
        </w:rPr>
        <w:t xml:space="preserve"> </w:t>
      </w:r>
      <w:r w:rsidR="00C938B9" w:rsidRPr="0031597C">
        <w:rPr>
          <w:color w:val="000000"/>
          <w:spacing w:val="-2"/>
        </w:rPr>
        <w:t>przyłącza i samej farmy, oraz</w:t>
      </w:r>
      <w:r w:rsidR="00C938B9">
        <w:rPr>
          <w:color w:val="000000"/>
          <w:spacing w:val="-2"/>
        </w:rPr>
        <w:t xml:space="preserve"> koszty eksploatacji, ang. </w:t>
      </w:r>
      <w:r w:rsidR="00C938B9" w:rsidRPr="000664BC">
        <w:rPr>
          <w:rStyle w:val="Kkursywa"/>
        </w:rPr>
        <w:t>Operational Expenditures</w:t>
      </w:r>
      <w:r w:rsidR="00A72262">
        <w:rPr>
          <w:color w:val="000000"/>
          <w:spacing w:val="-2"/>
        </w:rPr>
        <w:t xml:space="preserve"> (</w:t>
      </w:r>
      <w:r w:rsidR="00C938B9" w:rsidRPr="0031597C">
        <w:rPr>
          <w:color w:val="000000"/>
          <w:spacing w:val="-2"/>
        </w:rPr>
        <w:t>OPEX</w:t>
      </w:r>
      <w:r w:rsidR="00A72262">
        <w:rPr>
          <w:color w:val="000000"/>
          <w:spacing w:val="-2"/>
        </w:rPr>
        <w:t>)</w:t>
      </w:r>
      <w:r w:rsidR="00C938B9">
        <w:rPr>
          <w:color w:val="000000"/>
          <w:spacing w:val="-2"/>
        </w:rPr>
        <w:t>;</w:t>
      </w:r>
    </w:p>
    <w:p w14:paraId="61F5D37E" w14:textId="5A3DF2EC" w:rsidR="00C938B9" w:rsidRDefault="005C5829" w:rsidP="006474D1">
      <w:pPr>
        <w:pStyle w:val="Akapitzlist"/>
        <w:numPr>
          <w:ilvl w:val="0"/>
          <w:numId w:val="35"/>
        </w:numPr>
        <w:spacing w:line="360" w:lineRule="auto"/>
        <w:jc w:val="both"/>
        <w:rPr>
          <w:color w:val="000000"/>
          <w:spacing w:val="-2"/>
        </w:rPr>
      </w:pPr>
      <w:r>
        <w:rPr>
          <w:color w:val="000000"/>
          <w:spacing w:val="-2"/>
        </w:rPr>
        <w:t>g</w:t>
      </w:r>
      <w:r w:rsidR="00C938B9">
        <w:rPr>
          <w:color w:val="000000"/>
          <w:spacing w:val="-2"/>
        </w:rPr>
        <w:t xml:space="preserve">łębokość akwenu – wpływa </w:t>
      </w:r>
      <w:r w:rsidR="00C938B9" w:rsidRPr="0031597C">
        <w:rPr>
          <w:color w:val="000000"/>
          <w:spacing w:val="-2"/>
        </w:rPr>
        <w:t>na typ i rodzaj konstrukcji fundamentów</w:t>
      </w:r>
      <w:r w:rsidR="00C938B9">
        <w:rPr>
          <w:color w:val="000000"/>
          <w:spacing w:val="-2"/>
        </w:rPr>
        <w:t xml:space="preserve">. </w:t>
      </w:r>
      <w:r w:rsidR="00C938B9" w:rsidRPr="0031597C">
        <w:rPr>
          <w:color w:val="000000"/>
          <w:spacing w:val="-2"/>
        </w:rPr>
        <w:t>Im mniejsza głębokość tym niższy koszt fundamentów oraz OVN</w:t>
      </w:r>
      <w:r w:rsidR="00C938B9">
        <w:rPr>
          <w:color w:val="000000"/>
          <w:spacing w:val="-2"/>
        </w:rPr>
        <w:t xml:space="preserve"> </w:t>
      </w:r>
      <w:r w:rsidR="00C938B9" w:rsidRPr="0031597C">
        <w:rPr>
          <w:color w:val="000000"/>
          <w:spacing w:val="-2"/>
        </w:rPr>
        <w:t>samej farmy</w:t>
      </w:r>
      <w:r w:rsidR="00C938B9">
        <w:rPr>
          <w:color w:val="000000"/>
          <w:spacing w:val="-2"/>
        </w:rPr>
        <w:t>;</w:t>
      </w:r>
    </w:p>
    <w:p w14:paraId="2EBF7DBD" w14:textId="654B8829" w:rsidR="00C938B9" w:rsidRPr="00184B58" w:rsidRDefault="005C5829" w:rsidP="006474D1">
      <w:pPr>
        <w:pStyle w:val="Akapitzlist"/>
        <w:numPr>
          <w:ilvl w:val="0"/>
          <w:numId w:val="35"/>
        </w:numPr>
        <w:spacing w:line="360" w:lineRule="auto"/>
        <w:jc w:val="both"/>
        <w:rPr>
          <w:color w:val="000000"/>
          <w:spacing w:val="-2"/>
        </w:rPr>
      </w:pPr>
      <w:r>
        <w:rPr>
          <w:color w:val="000000"/>
          <w:spacing w:val="-2"/>
        </w:rPr>
        <w:t>r</w:t>
      </w:r>
      <w:r w:rsidR="00C938B9">
        <w:rPr>
          <w:color w:val="000000"/>
          <w:spacing w:val="-2"/>
        </w:rPr>
        <w:t xml:space="preserve">ozwój technologii – wpływa </w:t>
      </w:r>
      <w:r w:rsidR="00C938B9" w:rsidRPr="00184B58">
        <w:rPr>
          <w:color w:val="000000"/>
          <w:spacing w:val="-2"/>
        </w:rPr>
        <w:t xml:space="preserve">na wzrost mocy jednostkowych ograniczający zużycie materiałów </w:t>
      </w:r>
      <w:r w:rsidR="00E7121F">
        <w:rPr>
          <w:color w:val="000000"/>
          <w:spacing w:val="-2"/>
        </w:rPr>
        <w:t xml:space="preserve">przy tej samej mocy zainstalowanej MFW i </w:t>
      </w:r>
      <w:r w:rsidR="00C938B9" w:rsidRPr="00184B58">
        <w:rPr>
          <w:color w:val="000000"/>
          <w:spacing w:val="-2"/>
        </w:rPr>
        <w:t>straty zacienienia wiatrowego</w:t>
      </w:r>
      <w:r w:rsidR="00E7121F">
        <w:rPr>
          <w:color w:val="000000"/>
          <w:spacing w:val="-2"/>
        </w:rPr>
        <w:t xml:space="preserve"> wynikające z rozmieszczenia pojedynczych turbin</w:t>
      </w:r>
      <w:r w:rsidR="009D28CC">
        <w:rPr>
          <w:color w:val="000000"/>
          <w:spacing w:val="-2"/>
        </w:rPr>
        <w:t>;</w:t>
      </w:r>
      <w:r w:rsidR="00F40AE8">
        <w:rPr>
          <w:color w:val="000000"/>
          <w:spacing w:val="-2"/>
        </w:rPr>
        <w:t xml:space="preserve"> </w:t>
      </w:r>
      <w:r w:rsidR="009D28CC">
        <w:rPr>
          <w:color w:val="000000"/>
          <w:spacing w:val="-2"/>
        </w:rPr>
        <w:t>r</w:t>
      </w:r>
      <w:r w:rsidR="00E7121F">
        <w:rPr>
          <w:color w:val="000000"/>
          <w:spacing w:val="-2"/>
        </w:rPr>
        <w:t xml:space="preserve">ozwój technologii wpływa również na </w:t>
      </w:r>
      <w:r w:rsidR="00F40AE8">
        <w:rPr>
          <w:color w:val="000000"/>
          <w:spacing w:val="-2"/>
        </w:rPr>
        <w:t>zwiększenie efektywności globalnych łańcuchów dostaw</w:t>
      </w:r>
      <w:r w:rsidR="009D28CC">
        <w:rPr>
          <w:color w:val="000000"/>
          <w:spacing w:val="-2"/>
        </w:rPr>
        <w:t>;</w:t>
      </w:r>
      <w:r w:rsidR="00E7121F">
        <w:rPr>
          <w:color w:val="000000"/>
          <w:spacing w:val="-2"/>
        </w:rPr>
        <w:t xml:space="preserve"> </w:t>
      </w:r>
      <w:r w:rsidR="00C938B9" w:rsidRPr="0031597C">
        <w:rPr>
          <w:color w:val="000000"/>
          <w:spacing w:val="-2"/>
        </w:rPr>
        <w:t>Im dojrzalsza technologia tym niższy koszt OVN farmy</w:t>
      </w:r>
      <w:r w:rsidR="00A94723">
        <w:rPr>
          <w:color w:val="000000"/>
          <w:spacing w:val="-2"/>
        </w:rPr>
        <w:t xml:space="preserve">, OVN </w:t>
      </w:r>
      <w:r w:rsidR="00C938B9" w:rsidRPr="0031597C">
        <w:rPr>
          <w:color w:val="000000"/>
          <w:spacing w:val="-2"/>
        </w:rPr>
        <w:t>przyłącza oraz OPEX</w:t>
      </w:r>
      <w:r w:rsidR="009D28CC">
        <w:rPr>
          <w:color w:val="000000"/>
          <w:spacing w:val="-2"/>
        </w:rPr>
        <w:t>;</w:t>
      </w:r>
      <w:r w:rsidR="00C938B9" w:rsidRPr="0031597C">
        <w:rPr>
          <w:color w:val="000000"/>
          <w:spacing w:val="-2"/>
        </w:rPr>
        <w:t xml:space="preserve"> </w:t>
      </w:r>
      <w:r w:rsidR="009D28CC">
        <w:rPr>
          <w:color w:val="000000"/>
          <w:spacing w:val="-2"/>
        </w:rPr>
        <w:t>w</w:t>
      </w:r>
      <w:r w:rsidR="00C938B9" w:rsidRPr="0031597C">
        <w:rPr>
          <w:color w:val="000000"/>
          <w:spacing w:val="-2"/>
        </w:rPr>
        <w:t xml:space="preserve">zrasta również </w:t>
      </w:r>
      <w:r w:rsidR="00F40AE8">
        <w:rPr>
          <w:color w:val="000000"/>
          <w:spacing w:val="-2"/>
        </w:rPr>
        <w:t>współczynnik wykorzystania mocy, a wraz z nim</w:t>
      </w:r>
      <w:r w:rsidR="00C938B9" w:rsidRPr="0031597C">
        <w:rPr>
          <w:color w:val="000000"/>
          <w:spacing w:val="-2"/>
        </w:rPr>
        <w:t xml:space="preserve"> ilość produkowanej energii</w:t>
      </w:r>
      <w:r w:rsidR="00C938B9">
        <w:rPr>
          <w:color w:val="000000"/>
          <w:spacing w:val="-2"/>
        </w:rPr>
        <w:t>;</w:t>
      </w:r>
    </w:p>
    <w:p w14:paraId="034783E5" w14:textId="1DB37A25" w:rsidR="00C938B9" w:rsidRPr="00184B58" w:rsidRDefault="005C5829" w:rsidP="006474D1">
      <w:pPr>
        <w:pStyle w:val="Akapitzlist"/>
        <w:numPr>
          <w:ilvl w:val="0"/>
          <w:numId w:val="35"/>
        </w:numPr>
        <w:spacing w:line="360" w:lineRule="auto"/>
        <w:jc w:val="both"/>
        <w:rPr>
          <w:color w:val="000000"/>
          <w:spacing w:val="-2"/>
        </w:rPr>
      </w:pPr>
      <w:r>
        <w:rPr>
          <w:color w:val="000000"/>
          <w:spacing w:val="-2"/>
        </w:rPr>
        <w:t>k</w:t>
      </w:r>
      <w:r w:rsidR="00C938B9">
        <w:rPr>
          <w:color w:val="000000"/>
          <w:spacing w:val="-2"/>
        </w:rPr>
        <w:t>oszty pracy – wpływa</w:t>
      </w:r>
      <w:r>
        <w:rPr>
          <w:color w:val="000000"/>
          <w:spacing w:val="-2"/>
        </w:rPr>
        <w:t>ją</w:t>
      </w:r>
      <w:r w:rsidR="00C938B9">
        <w:rPr>
          <w:color w:val="000000"/>
          <w:spacing w:val="-2"/>
        </w:rPr>
        <w:t xml:space="preserve"> na </w:t>
      </w:r>
      <w:r w:rsidR="00C938B9" w:rsidRPr="00184B58">
        <w:rPr>
          <w:color w:val="000000"/>
          <w:spacing w:val="-2"/>
        </w:rPr>
        <w:t>koszt projektowania, instalacji urządzeń oraz ich eksploatacji</w:t>
      </w:r>
      <w:r w:rsidR="009D28CC">
        <w:rPr>
          <w:color w:val="000000"/>
          <w:spacing w:val="-2"/>
        </w:rPr>
        <w:t>;</w:t>
      </w:r>
      <w:r w:rsidR="00C938B9">
        <w:rPr>
          <w:color w:val="000000"/>
          <w:spacing w:val="-2"/>
        </w:rPr>
        <w:t xml:space="preserve"> </w:t>
      </w:r>
      <w:r w:rsidR="00C938B9" w:rsidRPr="0031597C">
        <w:rPr>
          <w:color w:val="000000"/>
          <w:spacing w:val="-2"/>
        </w:rPr>
        <w:t xml:space="preserve">Im niższy </w:t>
      </w:r>
      <w:r w:rsidR="00A94723">
        <w:rPr>
          <w:color w:val="000000"/>
          <w:spacing w:val="-2"/>
        </w:rPr>
        <w:t xml:space="preserve">średni </w:t>
      </w:r>
      <w:r w:rsidR="00C938B9" w:rsidRPr="0031597C">
        <w:rPr>
          <w:color w:val="000000"/>
          <w:spacing w:val="-2"/>
        </w:rPr>
        <w:t xml:space="preserve">koszt roboczogodziny tym niższy </w:t>
      </w:r>
      <w:r w:rsidR="00A94723">
        <w:rPr>
          <w:color w:val="000000"/>
          <w:spacing w:val="-2"/>
        </w:rPr>
        <w:t xml:space="preserve">spodziewany </w:t>
      </w:r>
      <w:r w:rsidR="00C938B9" w:rsidRPr="0031597C">
        <w:rPr>
          <w:color w:val="000000"/>
          <w:spacing w:val="-2"/>
        </w:rPr>
        <w:t xml:space="preserve">OVN farmy i </w:t>
      </w:r>
      <w:r w:rsidR="00A94723">
        <w:rPr>
          <w:color w:val="000000"/>
          <w:spacing w:val="-2"/>
        </w:rPr>
        <w:t xml:space="preserve">OVN </w:t>
      </w:r>
      <w:r w:rsidR="00C938B9" w:rsidRPr="0031597C">
        <w:rPr>
          <w:color w:val="000000"/>
          <w:spacing w:val="-2"/>
        </w:rPr>
        <w:t>przyłącza oraz OPEX</w:t>
      </w:r>
      <w:r w:rsidR="00C938B9">
        <w:rPr>
          <w:color w:val="000000"/>
          <w:spacing w:val="-2"/>
        </w:rPr>
        <w:t>.</w:t>
      </w:r>
    </w:p>
    <w:p w14:paraId="12453A13" w14:textId="703E7151" w:rsidR="00C938B9" w:rsidRPr="00554C1C" w:rsidRDefault="007007E0" w:rsidP="00790B7A">
      <w:pPr>
        <w:spacing w:before="120" w:line="360" w:lineRule="auto"/>
        <w:ind w:firstLine="567"/>
        <w:jc w:val="both"/>
        <w:rPr>
          <w:b/>
          <w:bCs/>
          <w:color w:val="000000"/>
          <w:spacing w:val="-2"/>
        </w:rPr>
      </w:pPr>
      <w:r>
        <w:rPr>
          <w:b/>
          <w:bCs/>
          <w:color w:val="000000"/>
          <w:spacing w:val="-2"/>
        </w:rPr>
        <w:t>Do obliczenia ceny maksymalnej, na podstawie dostępnych dany</w:t>
      </w:r>
      <w:r w:rsidR="005F2BBD">
        <w:rPr>
          <w:b/>
          <w:bCs/>
          <w:color w:val="000000"/>
          <w:spacing w:val="-2"/>
        </w:rPr>
        <w:t>ch</w:t>
      </w:r>
      <w:r w:rsidR="002F0448">
        <w:rPr>
          <w:b/>
          <w:bCs/>
          <w:color w:val="000000"/>
          <w:spacing w:val="-2"/>
        </w:rPr>
        <w:t>,</w:t>
      </w:r>
      <w:r>
        <w:rPr>
          <w:b/>
          <w:bCs/>
          <w:color w:val="000000"/>
          <w:spacing w:val="-2"/>
        </w:rPr>
        <w:t xml:space="preserve"> przyjęto następujące </w:t>
      </w:r>
      <w:r w:rsidR="00C938B9" w:rsidRPr="00554C1C">
        <w:rPr>
          <w:b/>
          <w:bCs/>
          <w:color w:val="000000"/>
          <w:spacing w:val="-2"/>
        </w:rPr>
        <w:t xml:space="preserve">parametry techniczne </w:t>
      </w:r>
      <w:r>
        <w:rPr>
          <w:b/>
          <w:bCs/>
          <w:color w:val="000000"/>
          <w:spacing w:val="-2"/>
        </w:rPr>
        <w:t>oraz wskaźniki</w:t>
      </w:r>
      <w:r w:rsidR="00E7121F">
        <w:rPr>
          <w:b/>
          <w:bCs/>
          <w:color w:val="000000"/>
          <w:spacing w:val="-2"/>
        </w:rPr>
        <w:t xml:space="preserve"> dla referencyjnej morskiej farmy wiatrowej</w:t>
      </w:r>
      <w:r>
        <w:rPr>
          <w:b/>
          <w:bCs/>
          <w:color w:val="000000"/>
          <w:spacing w:val="-2"/>
        </w:rPr>
        <w:t>:</w:t>
      </w:r>
    </w:p>
    <w:p w14:paraId="04D19E75" w14:textId="3ED047A1" w:rsidR="00C938B9" w:rsidRPr="006559F4" w:rsidRDefault="00C938B9" w:rsidP="006701D0">
      <w:pPr>
        <w:spacing w:line="360" w:lineRule="auto"/>
        <w:jc w:val="both"/>
        <w:rPr>
          <w:color w:val="000000"/>
          <w:spacing w:val="-2"/>
        </w:rPr>
      </w:pPr>
      <w:r w:rsidRPr="006559F4">
        <w:rPr>
          <w:color w:val="000000"/>
          <w:spacing w:val="-2"/>
        </w:rPr>
        <w:t>– odległość od brzegu</w:t>
      </w:r>
      <w:r w:rsidRPr="006559F4">
        <w:t xml:space="preserve"> </w:t>
      </w:r>
      <w:r w:rsidR="000664BC" w:rsidRPr="00554C1C">
        <w:rPr>
          <w:b/>
          <w:bCs/>
          <w:color w:val="000000"/>
          <w:spacing w:val="-2"/>
        </w:rPr>
        <w:t>–</w:t>
      </w:r>
      <w:r w:rsidR="003A5643" w:rsidRPr="00E56B35">
        <w:rPr>
          <w:color w:val="000000"/>
          <w:spacing w:val="-2"/>
        </w:rPr>
        <w:t xml:space="preserve"> </w:t>
      </w:r>
      <w:r w:rsidR="00366EFF">
        <w:rPr>
          <w:b/>
          <w:bCs/>
          <w:color w:val="000000"/>
          <w:spacing w:val="-2"/>
        </w:rPr>
        <w:t>80</w:t>
      </w:r>
      <w:r w:rsidR="00764695" w:rsidRPr="00026FC3">
        <w:rPr>
          <w:b/>
          <w:bCs/>
          <w:color w:val="000000"/>
          <w:spacing w:val="-2"/>
        </w:rPr>
        <w:t xml:space="preserve"> </w:t>
      </w:r>
      <w:r w:rsidRPr="00026FC3">
        <w:rPr>
          <w:b/>
          <w:bCs/>
          <w:color w:val="000000"/>
          <w:spacing w:val="-2"/>
        </w:rPr>
        <w:t>km</w:t>
      </w:r>
      <w:r w:rsidR="00D77527" w:rsidRPr="00790B7A">
        <w:rPr>
          <w:color w:val="000000"/>
          <w:spacing w:val="-2"/>
        </w:rPr>
        <w:t>,</w:t>
      </w:r>
    </w:p>
    <w:p w14:paraId="78B8A0C7" w14:textId="1BE0B96A" w:rsidR="00C938B9" w:rsidRPr="006559F4" w:rsidRDefault="00C938B9" w:rsidP="006701D0">
      <w:pPr>
        <w:spacing w:line="360" w:lineRule="auto"/>
        <w:jc w:val="both"/>
        <w:rPr>
          <w:color w:val="000000"/>
          <w:spacing w:val="-2"/>
        </w:rPr>
      </w:pPr>
      <w:r w:rsidRPr="006559F4">
        <w:rPr>
          <w:color w:val="000000"/>
          <w:spacing w:val="-2"/>
        </w:rPr>
        <w:t xml:space="preserve">– głębokość </w:t>
      </w:r>
      <w:r w:rsidRPr="00554C1C">
        <w:rPr>
          <w:b/>
          <w:bCs/>
          <w:color w:val="000000"/>
          <w:spacing w:val="-2"/>
        </w:rPr>
        <w:t>–</w:t>
      </w:r>
      <w:r w:rsidRPr="00E56B35">
        <w:rPr>
          <w:color w:val="000000"/>
          <w:spacing w:val="-2"/>
        </w:rPr>
        <w:t xml:space="preserve"> </w:t>
      </w:r>
      <w:r w:rsidR="00366EFF">
        <w:rPr>
          <w:b/>
          <w:bCs/>
          <w:color w:val="000000"/>
          <w:spacing w:val="-2"/>
        </w:rPr>
        <w:t>36</w:t>
      </w:r>
      <w:r w:rsidRPr="00554C1C">
        <w:rPr>
          <w:b/>
          <w:bCs/>
          <w:color w:val="000000"/>
          <w:spacing w:val="-2"/>
        </w:rPr>
        <w:t xml:space="preserve"> m</w:t>
      </w:r>
      <w:r w:rsidR="00D77527" w:rsidRPr="00790B7A">
        <w:rPr>
          <w:color w:val="000000"/>
          <w:spacing w:val="-2"/>
        </w:rPr>
        <w:t>,</w:t>
      </w:r>
    </w:p>
    <w:p w14:paraId="5DFCEDEC" w14:textId="0961A17B" w:rsidR="00C938B9" w:rsidRPr="006559F4" w:rsidRDefault="00C938B9" w:rsidP="006701D0">
      <w:pPr>
        <w:spacing w:line="360" w:lineRule="auto"/>
        <w:jc w:val="both"/>
        <w:rPr>
          <w:color w:val="000000"/>
          <w:spacing w:val="-2"/>
        </w:rPr>
      </w:pPr>
      <w:r w:rsidRPr="006559F4">
        <w:rPr>
          <w:color w:val="000000"/>
          <w:spacing w:val="-2"/>
        </w:rPr>
        <w:t xml:space="preserve">– współczynnik wykorzystania mocy </w:t>
      </w:r>
      <w:r w:rsidR="000664BC" w:rsidRPr="00554C1C">
        <w:rPr>
          <w:b/>
          <w:bCs/>
          <w:color w:val="000000"/>
          <w:spacing w:val="-2"/>
        </w:rPr>
        <w:t>–</w:t>
      </w:r>
      <w:r w:rsidR="000664BC" w:rsidRPr="00E56B35">
        <w:rPr>
          <w:color w:val="000000"/>
          <w:spacing w:val="-2"/>
        </w:rPr>
        <w:t xml:space="preserve"> </w:t>
      </w:r>
      <w:r w:rsidR="005167BC" w:rsidRPr="0050671C">
        <w:rPr>
          <w:b/>
          <w:bCs/>
          <w:color w:val="000000"/>
          <w:spacing w:val="-2"/>
        </w:rPr>
        <w:t>45,7</w:t>
      </w:r>
      <w:r w:rsidRPr="0050671C">
        <w:rPr>
          <w:b/>
          <w:bCs/>
          <w:color w:val="000000"/>
          <w:spacing w:val="-2"/>
        </w:rPr>
        <w:t>%</w:t>
      </w:r>
      <w:r w:rsidR="00D77527" w:rsidRPr="0050671C">
        <w:rPr>
          <w:color w:val="000000"/>
          <w:spacing w:val="-2"/>
        </w:rPr>
        <w:t>,</w:t>
      </w:r>
    </w:p>
    <w:p w14:paraId="4B406BD9" w14:textId="44168646" w:rsidR="00C938B9" w:rsidRPr="006559F4" w:rsidRDefault="00C938B9" w:rsidP="006701D0">
      <w:pPr>
        <w:spacing w:line="360" w:lineRule="auto"/>
        <w:jc w:val="both"/>
        <w:rPr>
          <w:color w:val="000000"/>
          <w:spacing w:val="-2"/>
        </w:rPr>
      </w:pPr>
      <w:r w:rsidRPr="006559F4">
        <w:rPr>
          <w:color w:val="000000"/>
          <w:spacing w:val="-2"/>
        </w:rPr>
        <w:lastRenderedPageBreak/>
        <w:t xml:space="preserve">– średnia moc morskiej farmy wiatrowej – </w:t>
      </w:r>
      <w:r w:rsidRPr="00554C1C">
        <w:rPr>
          <w:b/>
          <w:bCs/>
          <w:color w:val="000000"/>
          <w:spacing w:val="-2"/>
        </w:rPr>
        <w:t>1000 MW</w:t>
      </w:r>
      <w:r w:rsidR="00D77527" w:rsidRPr="00790B7A">
        <w:rPr>
          <w:color w:val="000000"/>
          <w:spacing w:val="-2"/>
        </w:rPr>
        <w:t>,</w:t>
      </w:r>
    </w:p>
    <w:p w14:paraId="01763A01" w14:textId="5CEA0168" w:rsidR="00C938B9" w:rsidRPr="00554C1C" w:rsidRDefault="00C938B9" w:rsidP="006701D0">
      <w:pPr>
        <w:spacing w:line="360" w:lineRule="auto"/>
        <w:jc w:val="both"/>
        <w:rPr>
          <w:rFonts w:asciiTheme="majorHAnsi" w:hAnsiTheme="majorHAnsi" w:cstheme="majorHAnsi"/>
          <w:b/>
          <w:bCs/>
          <w:color w:val="000000" w:themeColor="text1"/>
        </w:rPr>
      </w:pPr>
      <w:r w:rsidRPr="006559F4">
        <w:rPr>
          <w:color w:val="000000"/>
          <w:spacing w:val="-2"/>
        </w:rPr>
        <w:t>– prędkość wiatru (</w:t>
      </w:r>
      <w:r w:rsidR="00AA1262">
        <w:rPr>
          <w:color w:val="000000"/>
          <w:spacing w:val="-2"/>
        </w:rPr>
        <w:t xml:space="preserve">wpływa na </w:t>
      </w:r>
      <w:r w:rsidRPr="006559F4">
        <w:rPr>
          <w:color w:val="000000"/>
          <w:spacing w:val="-2"/>
        </w:rPr>
        <w:t xml:space="preserve">produktywność projektu) – </w:t>
      </w:r>
      <w:r w:rsidRPr="00554C1C">
        <w:rPr>
          <w:b/>
          <w:bCs/>
          <w:color w:val="000000"/>
          <w:spacing w:val="-2"/>
        </w:rPr>
        <w:t>9,46 m/s na wysokości 100 m</w:t>
      </w:r>
      <w:r w:rsidR="00790B7A" w:rsidRPr="00790B7A">
        <w:rPr>
          <w:color w:val="000000"/>
          <w:spacing w:val="-2"/>
        </w:rPr>
        <w:t>,</w:t>
      </w:r>
    </w:p>
    <w:p w14:paraId="0B0CB048" w14:textId="180511CC" w:rsidR="00C938B9" w:rsidRPr="006559F4" w:rsidRDefault="00C938B9" w:rsidP="006701D0">
      <w:pPr>
        <w:spacing w:line="360" w:lineRule="auto"/>
        <w:jc w:val="both"/>
        <w:rPr>
          <w:color w:val="000000"/>
          <w:spacing w:val="-2"/>
        </w:rPr>
      </w:pPr>
      <w:r w:rsidRPr="006559F4">
        <w:rPr>
          <w:color w:val="000000"/>
          <w:spacing w:val="-2"/>
        </w:rPr>
        <w:t xml:space="preserve">– rok uruchomienia </w:t>
      </w:r>
      <w:r w:rsidR="00697D63">
        <w:rPr>
          <w:color w:val="000000"/>
          <w:spacing w:val="-2"/>
        </w:rPr>
        <w:t xml:space="preserve">referencyjnej </w:t>
      </w:r>
      <w:r w:rsidRPr="006559F4">
        <w:rPr>
          <w:color w:val="000000"/>
          <w:spacing w:val="-2"/>
        </w:rPr>
        <w:t>morskiej farmy wiatrowej –</w:t>
      </w:r>
      <w:r w:rsidRPr="00554C1C">
        <w:rPr>
          <w:b/>
          <w:bCs/>
          <w:color w:val="000000"/>
          <w:spacing w:val="-2"/>
        </w:rPr>
        <w:t xml:space="preserve"> </w:t>
      </w:r>
      <w:r w:rsidR="00366EFF" w:rsidRPr="00366EFF">
        <w:rPr>
          <w:b/>
          <w:bCs/>
          <w:color w:val="000000"/>
          <w:spacing w:val="-2"/>
        </w:rPr>
        <w:t xml:space="preserve">2032 </w:t>
      </w:r>
      <w:r w:rsidR="00366EFF" w:rsidRPr="00366EFF">
        <w:rPr>
          <w:color w:val="000000"/>
          <w:spacing w:val="-2"/>
        </w:rPr>
        <w:t>(rozpoczęcie eksploatacji MFW 7 lat po wygraniu pierwszej aukcji)</w:t>
      </w:r>
      <w:r w:rsidR="00790B7A">
        <w:rPr>
          <w:color w:val="000000"/>
          <w:spacing w:val="-2"/>
        </w:rPr>
        <w:t>,</w:t>
      </w:r>
    </w:p>
    <w:p w14:paraId="00D38188" w14:textId="18570B79" w:rsidR="00C938B9" w:rsidRPr="006559F4" w:rsidRDefault="00C938B9" w:rsidP="006701D0">
      <w:pPr>
        <w:spacing w:line="360" w:lineRule="auto"/>
        <w:jc w:val="both"/>
        <w:rPr>
          <w:color w:val="000000"/>
          <w:spacing w:val="-2"/>
        </w:rPr>
      </w:pPr>
      <w:r w:rsidRPr="006559F4">
        <w:rPr>
          <w:color w:val="000000"/>
          <w:spacing w:val="-2"/>
        </w:rPr>
        <w:t xml:space="preserve">– </w:t>
      </w:r>
      <w:r w:rsidR="00E7121F">
        <w:rPr>
          <w:color w:val="000000"/>
          <w:spacing w:val="-2"/>
        </w:rPr>
        <w:t>techniczny czas życia i okres amortyzacji</w:t>
      </w:r>
      <w:r w:rsidR="00245B30">
        <w:rPr>
          <w:color w:val="000000"/>
          <w:spacing w:val="-2"/>
        </w:rPr>
        <w:t xml:space="preserve"> </w:t>
      </w:r>
      <w:r w:rsidRPr="006559F4">
        <w:rPr>
          <w:color w:val="000000"/>
          <w:spacing w:val="-2"/>
        </w:rPr>
        <w:t xml:space="preserve">– </w:t>
      </w:r>
      <w:r w:rsidRPr="00554C1C">
        <w:rPr>
          <w:b/>
          <w:bCs/>
          <w:color w:val="000000"/>
          <w:spacing w:val="-2"/>
        </w:rPr>
        <w:t>25 lat</w:t>
      </w:r>
      <w:r w:rsidR="00D77527" w:rsidRPr="00790B7A">
        <w:rPr>
          <w:color w:val="000000"/>
          <w:spacing w:val="-2"/>
        </w:rPr>
        <w:t>,</w:t>
      </w:r>
    </w:p>
    <w:p w14:paraId="4D1CDF30" w14:textId="434C0291" w:rsidR="00C938B9" w:rsidRPr="00DC1599" w:rsidRDefault="00C938B9" w:rsidP="00AA66F9">
      <w:pPr>
        <w:spacing w:line="360" w:lineRule="auto"/>
        <w:jc w:val="both"/>
        <w:rPr>
          <w:color w:val="000000"/>
          <w:spacing w:val="-2"/>
        </w:rPr>
      </w:pPr>
      <w:r w:rsidRPr="00DC1599">
        <w:rPr>
          <w:color w:val="000000"/>
          <w:spacing w:val="-2"/>
        </w:rPr>
        <w:t>– kurs euro</w:t>
      </w:r>
      <w:r w:rsidR="003D510A" w:rsidRPr="00DC1599">
        <w:rPr>
          <w:color w:val="000000"/>
          <w:spacing w:val="-2"/>
        </w:rPr>
        <w:t xml:space="preserve"> NBP średnia z 2021 r.</w:t>
      </w:r>
      <w:r w:rsidRPr="00DC1599">
        <w:rPr>
          <w:color w:val="000000"/>
          <w:spacing w:val="-2"/>
        </w:rPr>
        <w:t xml:space="preserve"> –</w:t>
      </w:r>
      <w:r w:rsidR="00AD617D" w:rsidRPr="00DC1599">
        <w:rPr>
          <w:color w:val="000000"/>
          <w:spacing w:val="-2"/>
        </w:rPr>
        <w:t xml:space="preserve"> </w:t>
      </w:r>
      <w:r w:rsidR="000A68FB" w:rsidRPr="00DC1599">
        <w:rPr>
          <w:b/>
          <w:bCs/>
          <w:color w:val="000000"/>
          <w:spacing w:val="-2"/>
        </w:rPr>
        <w:t>4,</w:t>
      </w:r>
      <w:r w:rsidR="00366EFF" w:rsidRPr="00DC1599">
        <w:rPr>
          <w:b/>
          <w:bCs/>
          <w:color w:val="000000"/>
          <w:spacing w:val="-2"/>
        </w:rPr>
        <w:t>5</w:t>
      </w:r>
      <w:r w:rsidR="00E56B35">
        <w:rPr>
          <w:b/>
          <w:bCs/>
          <w:color w:val="000000"/>
          <w:spacing w:val="-2"/>
        </w:rPr>
        <w:t>7</w:t>
      </w:r>
      <w:r w:rsidR="00366EFF" w:rsidRPr="00DC1599">
        <w:rPr>
          <w:b/>
          <w:bCs/>
          <w:color w:val="000000"/>
          <w:spacing w:val="-2"/>
        </w:rPr>
        <w:t xml:space="preserve"> PLN/EUR</w:t>
      </w:r>
      <w:r w:rsidR="00D77527" w:rsidRPr="00790B7A">
        <w:rPr>
          <w:color w:val="000000"/>
          <w:spacing w:val="-2"/>
        </w:rPr>
        <w:t>,</w:t>
      </w:r>
    </w:p>
    <w:p w14:paraId="6EE162B0" w14:textId="2CC454FF" w:rsidR="00AA66F9" w:rsidRDefault="00E7121F" w:rsidP="006701D0">
      <w:pPr>
        <w:autoSpaceDE w:val="0"/>
        <w:autoSpaceDN w:val="0"/>
        <w:adjustRightInd w:val="0"/>
        <w:spacing w:line="360" w:lineRule="auto"/>
        <w:rPr>
          <w:b/>
          <w:color w:val="000000"/>
          <w:spacing w:val="-2"/>
        </w:rPr>
      </w:pPr>
      <w:r w:rsidRPr="00DC1599">
        <w:rPr>
          <w:color w:val="000000"/>
          <w:spacing w:val="-2"/>
        </w:rPr>
        <w:t xml:space="preserve">– kurs dolara NBP </w:t>
      </w:r>
      <w:r w:rsidR="00DC1599" w:rsidRPr="00DC1599">
        <w:rPr>
          <w:color w:val="000000"/>
          <w:spacing w:val="-2"/>
        </w:rPr>
        <w:t xml:space="preserve">średnia z 2021 r. </w:t>
      </w:r>
      <w:r w:rsidR="001B3691" w:rsidRPr="00DC1599">
        <w:rPr>
          <w:color w:val="000000"/>
          <w:spacing w:val="-2"/>
        </w:rPr>
        <w:t xml:space="preserve">– </w:t>
      </w:r>
      <w:r w:rsidR="00E56B35">
        <w:rPr>
          <w:b/>
          <w:color w:val="000000"/>
          <w:spacing w:val="-2"/>
        </w:rPr>
        <w:t>3,86</w:t>
      </w:r>
      <w:r w:rsidRPr="00DC1599">
        <w:rPr>
          <w:b/>
          <w:color w:val="000000"/>
          <w:spacing w:val="-2"/>
        </w:rPr>
        <w:t xml:space="preserve"> </w:t>
      </w:r>
      <w:r w:rsidR="00D60727" w:rsidRPr="00DC1599">
        <w:rPr>
          <w:b/>
          <w:color w:val="000000"/>
          <w:spacing w:val="-2"/>
        </w:rPr>
        <w:t>PLN</w:t>
      </w:r>
      <w:r w:rsidR="00D60727">
        <w:rPr>
          <w:b/>
          <w:color w:val="000000"/>
          <w:spacing w:val="-2"/>
        </w:rPr>
        <w:t>/</w:t>
      </w:r>
      <w:r w:rsidRPr="00DC1599">
        <w:rPr>
          <w:b/>
          <w:color w:val="000000"/>
          <w:spacing w:val="-2"/>
        </w:rPr>
        <w:t>USD</w:t>
      </w:r>
      <w:r w:rsidR="00D77527" w:rsidRPr="00790B7A">
        <w:rPr>
          <w:color w:val="000000"/>
          <w:spacing w:val="-2"/>
        </w:rPr>
        <w:t>,</w:t>
      </w:r>
    </w:p>
    <w:p w14:paraId="2EC542D0" w14:textId="60041D4E" w:rsidR="00C938B9" w:rsidRDefault="00C938B9" w:rsidP="006701D0">
      <w:pPr>
        <w:spacing w:line="360" w:lineRule="auto"/>
        <w:jc w:val="both"/>
        <w:rPr>
          <w:rFonts w:ascii="TimesNewRomanPSMT" w:hAnsi="TimesNewRomanPSMT" w:cs="TimesNewRomanPSMT"/>
        </w:rPr>
      </w:pPr>
      <w:r w:rsidRPr="00244785">
        <w:rPr>
          <w:color w:val="000000"/>
          <w:spacing w:val="-2"/>
        </w:rPr>
        <w:t xml:space="preserve">– </w:t>
      </w:r>
      <w:r w:rsidRPr="00244785">
        <w:rPr>
          <w:rFonts w:ascii="TimesNewRomanPSMT" w:hAnsi="TimesNewRomanPSMT" w:cs="TimesNewRomanPSMT"/>
        </w:rPr>
        <w:t>koszty bilansowania</w:t>
      </w:r>
      <w:r>
        <w:rPr>
          <w:rFonts w:ascii="TimesNewRomanPSMT" w:hAnsi="TimesNewRomanPSMT" w:cs="TimesNewRomanPSMT"/>
        </w:rPr>
        <w:t xml:space="preserve"> – </w:t>
      </w:r>
      <w:r w:rsidR="00AF7E58" w:rsidRPr="00C81B2B">
        <w:rPr>
          <w:rFonts w:ascii="TimesNewRomanPSMT" w:hAnsi="TimesNewRomanPSMT"/>
          <w:b/>
          <w:bCs/>
        </w:rPr>
        <w:t>2 PLN/MWh</w:t>
      </w:r>
      <w:r w:rsidR="001F16EB" w:rsidRPr="00790B7A">
        <w:rPr>
          <w:rFonts w:ascii="TimesNewRomanPSMT" w:hAnsi="TimesNewRomanPSMT" w:cs="TimesNewRomanPSMT"/>
        </w:rPr>
        <w:t>.</w:t>
      </w:r>
    </w:p>
    <w:p w14:paraId="47B9DEAB" w14:textId="07DAD482" w:rsidR="00C938B9" w:rsidRDefault="00C938B9" w:rsidP="006559F4">
      <w:pPr>
        <w:spacing w:line="360" w:lineRule="auto"/>
        <w:ind w:firstLine="567"/>
        <w:jc w:val="both"/>
        <w:rPr>
          <w:color w:val="000000"/>
          <w:spacing w:val="-2"/>
        </w:rPr>
      </w:pPr>
      <w:r w:rsidRPr="00E3181C">
        <w:rPr>
          <w:color w:val="000000"/>
          <w:spacing w:val="-2"/>
        </w:rPr>
        <w:t xml:space="preserve">Aby odzwierciedlić polskie warunki rozwoju </w:t>
      </w:r>
      <w:r>
        <w:rPr>
          <w:color w:val="000000"/>
          <w:spacing w:val="-2"/>
        </w:rPr>
        <w:t>morskich farm wiatrowych</w:t>
      </w:r>
      <w:r w:rsidRPr="00E3181C">
        <w:rPr>
          <w:color w:val="000000"/>
          <w:spacing w:val="-2"/>
        </w:rPr>
        <w:t xml:space="preserve"> wszystkie wskaźniki techniczne i ekonomiczne ustandaryzowano</w:t>
      </w:r>
      <w:r w:rsidR="003216AB">
        <w:rPr>
          <w:color w:val="000000"/>
          <w:spacing w:val="-2"/>
        </w:rPr>
        <w:t>,</w:t>
      </w:r>
      <w:r w:rsidRPr="00E3181C">
        <w:rPr>
          <w:color w:val="000000"/>
          <w:spacing w:val="-2"/>
        </w:rPr>
        <w:t xml:space="preserve"> stosując parametry techniczne lokalizacji referencyjnej</w:t>
      </w:r>
      <w:r>
        <w:rPr>
          <w:color w:val="000000"/>
          <w:spacing w:val="-2"/>
        </w:rPr>
        <w:t>.</w:t>
      </w:r>
    </w:p>
    <w:p w14:paraId="1EC500AB" w14:textId="74141081" w:rsidR="00C938B9" w:rsidRDefault="00C938B9" w:rsidP="006701D0">
      <w:pPr>
        <w:spacing w:line="360" w:lineRule="auto"/>
        <w:ind w:firstLine="567"/>
        <w:jc w:val="both"/>
        <w:rPr>
          <w:color w:val="000000"/>
          <w:spacing w:val="-2"/>
        </w:rPr>
      </w:pPr>
      <w:r w:rsidRPr="00E3181C">
        <w:rPr>
          <w:color w:val="000000"/>
          <w:spacing w:val="-2"/>
        </w:rPr>
        <w:t>Na potrzeby zachowania porównywalności wyników</w:t>
      </w:r>
      <w:r w:rsidR="001E0502">
        <w:rPr>
          <w:color w:val="000000"/>
          <w:spacing w:val="-2"/>
        </w:rPr>
        <w:t>,</w:t>
      </w:r>
      <w:r w:rsidRPr="00E3181C">
        <w:rPr>
          <w:color w:val="000000"/>
          <w:spacing w:val="-2"/>
        </w:rPr>
        <w:t xml:space="preserve"> jako referencyjne uśrednione parametry techniczne</w:t>
      </w:r>
      <w:r w:rsidR="002C62CD">
        <w:rPr>
          <w:color w:val="000000"/>
          <w:spacing w:val="-2"/>
        </w:rPr>
        <w:t>, a także</w:t>
      </w:r>
      <w:r w:rsidR="002C62CD" w:rsidRPr="002C62CD">
        <w:rPr>
          <w:color w:val="000000"/>
          <w:spacing w:val="-2"/>
        </w:rPr>
        <w:t xml:space="preserve"> nakłady na rozwój projektu (DEVEX), </w:t>
      </w:r>
      <w:r w:rsidR="006D38B2">
        <w:rPr>
          <w:color w:val="000000"/>
          <w:spacing w:val="-2"/>
        </w:rPr>
        <w:t>koszty</w:t>
      </w:r>
      <w:r w:rsidR="006D38B2" w:rsidRPr="002C62CD">
        <w:rPr>
          <w:color w:val="000000"/>
          <w:spacing w:val="-2"/>
        </w:rPr>
        <w:t xml:space="preserve"> </w:t>
      </w:r>
      <w:r w:rsidR="002C62CD" w:rsidRPr="002C62CD">
        <w:rPr>
          <w:color w:val="000000"/>
          <w:spacing w:val="-2"/>
        </w:rPr>
        <w:t>inwestycyjne (CAPEX), OPEX oraz koszty likwidacji (DECEX)</w:t>
      </w:r>
      <w:r w:rsidR="002C62CD" w:rsidRPr="002C62CD">
        <w:t xml:space="preserve"> </w:t>
      </w:r>
      <w:r w:rsidR="00271367" w:rsidRPr="00E3181C">
        <w:rPr>
          <w:color w:val="000000"/>
          <w:spacing w:val="-2"/>
        </w:rPr>
        <w:t xml:space="preserve">wykorzystano </w:t>
      </w:r>
      <w:r w:rsidR="00271367">
        <w:rPr>
          <w:color w:val="000000"/>
          <w:spacing w:val="-2"/>
        </w:rPr>
        <w:t>dane</w:t>
      </w:r>
      <w:r w:rsidR="002C62CD" w:rsidRPr="002C62CD">
        <w:rPr>
          <w:color w:val="000000"/>
          <w:spacing w:val="-2"/>
        </w:rPr>
        <w:t xml:space="preserve"> z raportu </w:t>
      </w:r>
      <w:bookmarkStart w:id="2" w:name="_Hlk170918674"/>
      <w:r w:rsidR="002C62CD" w:rsidRPr="002C62CD">
        <w:rPr>
          <w:color w:val="000000"/>
          <w:spacing w:val="-2"/>
        </w:rPr>
        <w:t>National Renewable Energy Laboratory</w:t>
      </w:r>
      <w:r w:rsidR="00697D63">
        <w:rPr>
          <w:color w:val="000000"/>
          <w:spacing w:val="-2"/>
        </w:rPr>
        <w:t xml:space="preserve"> (NREL</w:t>
      </w:r>
      <w:r w:rsidR="002C62CD" w:rsidRPr="002C62CD">
        <w:rPr>
          <w:color w:val="000000"/>
          <w:spacing w:val="-2"/>
        </w:rPr>
        <w:t xml:space="preserve">) </w:t>
      </w:r>
      <w:r w:rsidR="00697D63">
        <w:rPr>
          <w:color w:val="000000"/>
          <w:spacing w:val="-2"/>
        </w:rPr>
        <w:t>-</w:t>
      </w:r>
      <w:r w:rsidR="00A14EFF">
        <w:rPr>
          <w:color w:val="000000"/>
          <w:spacing w:val="-2"/>
        </w:rPr>
        <w:t xml:space="preserve"> </w:t>
      </w:r>
      <w:r w:rsidR="002C62CD" w:rsidRPr="002C62CD">
        <w:rPr>
          <w:i/>
          <w:iCs/>
          <w:color w:val="000000"/>
          <w:spacing w:val="-2"/>
        </w:rPr>
        <w:t>Annual Technology Baseline 2023</w:t>
      </w:r>
      <w:bookmarkEnd w:id="2"/>
      <w:r w:rsidR="002C62CD" w:rsidRPr="002C62CD">
        <w:rPr>
          <w:color w:val="000000"/>
          <w:spacing w:val="-2"/>
        </w:rPr>
        <w:t>.</w:t>
      </w:r>
      <w:r w:rsidRPr="00E3181C">
        <w:rPr>
          <w:color w:val="000000"/>
          <w:spacing w:val="-2"/>
        </w:rPr>
        <w:t xml:space="preserve"> </w:t>
      </w:r>
      <w:r w:rsidR="00E600E0">
        <w:rPr>
          <w:color w:val="000000"/>
          <w:spacing w:val="-2"/>
        </w:rPr>
        <w:t xml:space="preserve">Przyjęto </w:t>
      </w:r>
      <w:r w:rsidR="00E600E0" w:rsidRPr="00E600E0">
        <w:rPr>
          <w:color w:val="000000"/>
          <w:spacing w:val="-2"/>
        </w:rPr>
        <w:t xml:space="preserve">dane dla scenariusza pośredniego </w:t>
      </w:r>
      <w:r w:rsidR="00957133">
        <w:rPr>
          <w:color w:val="000000"/>
          <w:spacing w:val="-2"/>
        </w:rPr>
        <w:t>(</w:t>
      </w:r>
      <w:r w:rsidR="00E600E0" w:rsidRPr="00957133">
        <w:rPr>
          <w:i/>
          <w:iCs/>
          <w:color w:val="000000"/>
          <w:spacing w:val="-2"/>
        </w:rPr>
        <w:t>Moderate</w:t>
      </w:r>
      <w:r w:rsidR="00957133">
        <w:rPr>
          <w:color w:val="000000"/>
          <w:spacing w:val="-2"/>
        </w:rPr>
        <w:t>)</w:t>
      </w:r>
      <w:r w:rsidR="00E600E0" w:rsidRPr="00E600E0">
        <w:rPr>
          <w:color w:val="000000"/>
          <w:spacing w:val="-2"/>
        </w:rPr>
        <w:t xml:space="preserve"> i klas technologii najbardziej zbliżonych do warunków projektów</w:t>
      </w:r>
      <w:r w:rsidR="0050671C">
        <w:rPr>
          <w:color w:val="000000"/>
          <w:spacing w:val="-2"/>
        </w:rPr>
        <w:t>, które będą zrealizowane w ramach</w:t>
      </w:r>
      <w:r w:rsidR="00E600E0" w:rsidRPr="00E600E0">
        <w:rPr>
          <w:color w:val="000000"/>
          <w:spacing w:val="-2"/>
        </w:rPr>
        <w:t xml:space="preserve"> II fazy</w:t>
      </w:r>
      <w:r w:rsidR="00E600E0">
        <w:rPr>
          <w:color w:val="000000"/>
          <w:spacing w:val="-2"/>
        </w:rPr>
        <w:t xml:space="preserve"> systemu wsp</w:t>
      </w:r>
      <w:r w:rsidR="00D61D75">
        <w:rPr>
          <w:color w:val="000000"/>
          <w:spacing w:val="-2"/>
        </w:rPr>
        <w:t>a</w:t>
      </w:r>
      <w:r w:rsidR="00E600E0">
        <w:rPr>
          <w:color w:val="000000"/>
          <w:spacing w:val="-2"/>
        </w:rPr>
        <w:t>rcia.</w:t>
      </w:r>
    </w:p>
    <w:p w14:paraId="32ECDCFE" w14:textId="2D366A61" w:rsidR="004105F9" w:rsidRDefault="004105F9" w:rsidP="006701D0">
      <w:pPr>
        <w:spacing w:line="360" w:lineRule="auto"/>
        <w:ind w:firstLine="567"/>
        <w:jc w:val="both"/>
        <w:rPr>
          <w:color w:val="000000"/>
          <w:spacing w:val="-2"/>
        </w:rPr>
      </w:pPr>
      <w:r>
        <w:rPr>
          <w:color w:val="000000"/>
          <w:spacing w:val="-2"/>
        </w:rPr>
        <w:t>Należy podkreślić, że każdy</w:t>
      </w:r>
      <w:r w:rsidRPr="004105F9">
        <w:rPr>
          <w:color w:val="000000"/>
          <w:spacing w:val="-2"/>
        </w:rPr>
        <w:t xml:space="preserve"> projekt </w:t>
      </w:r>
      <w:r>
        <w:rPr>
          <w:color w:val="000000"/>
          <w:spacing w:val="-2"/>
        </w:rPr>
        <w:t xml:space="preserve">morskiej farmy wiatrowej </w:t>
      </w:r>
      <w:r w:rsidRPr="004105F9">
        <w:rPr>
          <w:color w:val="000000"/>
          <w:spacing w:val="-2"/>
        </w:rPr>
        <w:t>ma swoją specyfikę</w:t>
      </w:r>
      <w:r w:rsidR="008F1F92">
        <w:rPr>
          <w:color w:val="000000"/>
          <w:spacing w:val="-2"/>
        </w:rPr>
        <w:t xml:space="preserve">. </w:t>
      </w:r>
      <w:r w:rsidR="00271367">
        <w:rPr>
          <w:color w:val="000000"/>
          <w:spacing w:val="-2"/>
        </w:rPr>
        <w:t>Do</w:t>
      </w:r>
      <w:r w:rsidR="008F1F92">
        <w:rPr>
          <w:color w:val="000000"/>
          <w:spacing w:val="-2"/>
        </w:rPr>
        <w:t> </w:t>
      </w:r>
      <w:r w:rsidR="00271367">
        <w:rPr>
          <w:color w:val="000000"/>
          <w:spacing w:val="-2"/>
        </w:rPr>
        <w:t>aukcji będą przystępować projekty z trzech Ławic: Środkowej, Słupskiej oraz Odrzanej. Ławice te znajdują się w różnych odległościach od brzegu, od 22 km do ok. 90 km</w:t>
      </w:r>
      <w:r w:rsidR="0050671C">
        <w:rPr>
          <w:color w:val="000000"/>
          <w:spacing w:val="-2"/>
        </w:rPr>
        <w:t xml:space="preserve"> oraz charakteryzują się </w:t>
      </w:r>
      <w:r w:rsidR="00B940B1">
        <w:rPr>
          <w:color w:val="000000"/>
          <w:spacing w:val="-2"/>
        </w:rPr>
        <w:t>dużo większym zróżnicowani</w:t>
      </w:r>
      <w:r w:rsidR="0050671C">
        <w:rPr>
          <w:color w:val="000000"/>
          <w:spacing w:val="-2"/>
        </w:rPr>
        <w:t>em</w:t>
      </w:r>
      <w:r w:rsidR="00B940B1">
        <w:rPr>
          <w:color w:val="000000"/>
          <w:spacing w:val="-2"/>
        </w:rPr>
        <w:t xml:space="preserve"> głębokości.</w:t>
      </w:r>
      <w:r w:rsidR="00271367">
        <w:rPr>
          <w:color w:val="000000"/>
          <w:spacing w:val="-2"/>
        </w:rPr>
        <w:t xml:space="preserve"> Dodatkowo</w:t>
      </w:r>
      <w:r w:rsidR="00697D63">
        <w:rPr>
          <w:color w:val="000000"/>
          <w:spacing w:val="-2"/>
        </w:rPr>
        <w:t>,</w:t>
      </w:r>
      <w:r w:rsidR="00271367">
        <w:rPr>
          <w:color w:val="000000"/>
          <w:spacing w:val="-2"/>
        </w:rPr>
        <w:t xml:space="preserve"> m</w:t>
      </w:r>
      <w:r w:rsidR="00271367" w:rsidRPr="00271367">
        <w:rPr>
          <w:color w:val="000000"/>
          <w:spacing w:val="-2"/>
        </w:rPr>
        <w:t xml:space="preserve">orska energetyka wiatrowa </w:t>
      </w:r>
      <w:r w:rsidR="0050671C">
        <w:rPr>
          <w:color w:val="000000"/>
          <w:spacing w:val="-2"/>
        </w:rPr>
        <w:t xml:space="preserve">(dalej także: „offshore wind”) </w:t>
      </w:r>
      <w:r w:rsidR="00271367" w:rsidRPr="00271367">
        <w:rPr>
          <w:color w:val="000000"/>
          <w:spacing w:val="-2"/>
        </w:rPr>
        <w:t>jest obecnie jednym z</w:t>
      </w:r>
      <w:r w:rsidR="00271367">
        <w:rPr>
          <w:color w:val="000000"/>
          <w:spacing w:val="-2"/>
        </w:rPr>
        <w:t> </w:t>
      </w:r>
      <w:r w:rsidR="00271367" w:rsidRPr="00271367">
        <w:rPr>
          <w:color w:val="000000"/>
          <w:spacing w:val="-2"/>
        </w:rPr>
        <w:t xml:space="preserve">najbardziej rozwijających się sektorów produkcji energii elektrycznej w Unii Europejskiej. Dlatego wiele państw nadbałtyckich jest obecnie w fazie rozwoju offshore </w:t>
      </w:r>
      <w:r w:rsidR="0050671C">
        <w:rPr>
          <w:color w:val="000000"/>
          <w:spacing w:val="-2"/>
        </w:rPr>
        <w:t xml:space="preserve">wind </w:t>
      </w:r>
      <w:r w:rsidR="00271367" w:rsidRPr="00271367">
        <w:rPr>
          <w:color w:val="000000"/>
          <w:spacing w:val="-2"/>
        </w:rPr>
        <w:t>na Morzu Bałtyckim. Duże zagęszczenie morskich farm wiatrowych powoduje tzw. „wake effect”, czyli zmniejszenie prędkości wiatru wzajemnym oddziaływaniem turbin, co finalnie przekłada się na mniejszą produktywność morskiej farmy wiatrowej.</w:t>
      </w:r>
      <w:r w:rsidR="00B940B1">
        <w:rPr>
          <w:color w:val="000000"/>
          <w:spacing w:val="-2"/>
        </w:rPr>
        <w:t xml:space="preserve"> Zainteresowanie technologią offshore </w:t>
      </w:r>
      <w:r w:rsidR="0050671C">
        <w:rPr>
          <w:color w:val="000000"/>
          <w:spacing w:val="-2"/>
        </w:rPr>
        <w:t xml:space="preserve">wind </w:t>
      </w:r>
      <w:r w:rsidR="00B940B1">
        <w:rPr>
          <w:color w:val="000000"/>
          <w:spacing w:val="-2"/>
        </w:rPr>
        <w:t>wpłyn</w:t>
      </w:r>
      <w:r w:rsidR="00127C51">
        <w:rPr>
          <w:color w:val="000000"/>
          <w:spacing w:val="-2"/>
        </w:rPr>
        <w:t>ęło</w:t>
      </w:r>
      <w:r w:rsidR="00B940B1">
        <w:rPr>
          <w:color w:val="000000"/>
          <w:spacing w:val="-2"/>
        </w:rPr>
        <w:t xml:space="preserve"> również na zwiększ</w:t>
      </w:r>
      <w:r w:rsidR="0050671C">
        <w:rPr>
          <w:color w:val="000000"/>
          <w:spacing w:val="-2"/>
        </w:rPr>
        <w:t>e</w:t>
      </w:r>
      <w:r w:rsidR="00B940B1">
        <w:rPr>
          <w:color w:val="000000"/>
          <w:spacing w:val="-2"/>
        </w:rPr>
        <w:t xml:space="preserve">nie </w:t>
      </w:r>
      <w:r w:rsidR="006A3FEB">
        <w:rPr>
          <w:color w:val="000000"/>
          <w:spacing w:val="-2"/>
        </w:rPr>
        <w:t xml:space="preserve">popytu w stosunku do podaży, co spowodowało wzrost cen komponentów powyżej </w:t>
      </w:r>
      <w:r w:rsidR="0050671C">
        <w:rPr>
          <w:color w:val="000000"/>
          <w:spacing w:val="-2"/>
        </w:rPr>
        <w:t>poziomu inflacji</w:t>
      </w:r>
      <w:r w:rsidR="006A3FEB">
        <w:rPr>
          <w:color w:val="000000"/>
          <w:spacing w:val="-2"/>
        </w:rPr>
        <w:t>.</w:t>
      </w:r>
    </w:p>
    <w:p w14:paraId="46A9713B" w14:textId="77777777" w:rsidR="00C938B9" w:rsidRDefault="00C938B9" w:rsidP="006701D0">
      <w:pPr>
        <w:spacing w:line="360" w:lineRule="auto"/>
        <w:ind w:firstLine="567"/>
        <w:jc w:val="both"/>
        <w:rPr>
          <w:color w:val="000000"/>
          <w:spacing w:val="-2"/>
        </w:rPr>
      </w:pPr>
      <w:r w:rsidRPr="0031597C">
        <w:rPr>
          <w:color w:val="000000"/>
          <w:spacing w:val="-2"/>
        </w:rPr>
        <w:t xml:space="preserve">Proces modelowania wymagał opracowania kluczowych założeń na bazie uznanych benchmarków oraz dostosowanie ich do polskich warunków rynku </w:t>
      </w:r>
      <w:r>
        <w:rPr>
          <w:color w:val="000000"/>
          <w:spacing w:val="-2"/>
        </w:rPr>
        <w:t>morskich farm wiatrowych:</w:t>
      </w:r>
    </w:p>
    <w:p w14:paraId="1585218B" w14:textId="75D13514" w:rsidR="00E56B35" w:rsidRPr="006550E5" w:rsidRDefault="006550E5" w:rsidP="006550E5">
      <w:pPr>
        <w:spacing w:line="360" w:lineRule="auto"/>
        <w:ind w:left="360"/>
        <w:jc w:val="both"/>
        <w:rPr>
          <w:color w:val="000000"/>
          <w:spacing w:val="-2"/>
        </w:rPr>
      </w:pPr>
      <w:r>
        <w:rPr>
          <w:b/>
          <w:bCs/>
          <w:color w:val="000000"/>
          <w:spacing w:val="-2"/>
        </w:rPr>
        <w:t>1)</w:t>
      </w:r>
      <w:r>
        <w:rPr>
          <w:b/>
          <w:bCs/>
          <w:color w:val="000000"/>
          <w:spacing w:val="-2"/>
        </w:rPr>
        <w:tab/>
        <w:t>w</w:t>
      </w:r>
      <w:r w:rsidRPr="006550E5">
        <w:rPr>
          <w:b/>
          <w:bCs/>
          <w:color w:val="000000"/>
          <w:spacing w:val="-2"/>
        </w:rPr>
        <w:t xml:space="preserve">skaźniki </w:t>
      </w:r>
      <w:r w:rsidR="00E56B35" w:rsidRPr="006550E5">
        <w:rPr>
          <w:b/>
          <w:bCs/>
          <w:color w:val="000000"/>
          <w:spacing w:val="-2"/>
        </w:rPr>
        <w:t>referencyjne:</w:t>
      </w:r>
    </w:p>
    <w:p w14:paraId="2F6489EB" w14:textId="77777777" w:rsidR="00E56B35" w:rsidRPr="00B23B81" w:rsidRDefault="00E56B35" w:rsidP="00E56B35">
      <w:pPr>
        <w:pStyle w:val="Akapitzlist"/>
        <w:numPr>
          <w:ilvl w:val="0"/>
          <w:numId w:val="33"/>
        </w:numPr>
        <w:spacing w:line="360" w:lineRule="auto"/>
        <w:ind w:left="851" w:hanging="425"/>
        <w:jc w:val="both"/>
        <w:rPr>
          <w:color w:val="000000"/>
          <w:spacing w:val="-2"/>
        </w:rPr>
      </w:pPr>
      <w:r w:rsidRPr="00B23B81">
        <w:rPr>
          <w:color w:val="000000"/>
          <w:spacing w:val="-2"/>
        </w:rPr>
        <w:t>wskaźniki techniczno-ekonomiczne</w:t>
      </w:r>
      <w:r>
        <w:rPr>
          <w:color w:val="000000"/>
          <w:spacing w:val="-2"/>
        </w:rPr>
        <w:t>:</w:t>
      </w:r>
      <w:r w:rsidRPr="00B23B81">
        <w:rPr>
          <w:color w:val="000000"/>
          <w:spacing w:val="-2"/>
        </w:rPr>
        <w:t xml:space="preserve"> NREL </w:t>
      </w:r>
      <w:r w:rsidRPr="00B15187">
        <w:rPr>
          <w:i/>
          <w:iCs/>
          <w:color w:val="000000"/>
          <w:spacing w:val="-2"/>
        </w:rPr>
        <w:t>Annual Technology Baseline 2023</w:t>
      </w:r>
      <w:r w:rsidRPr="00B23B81">
        <w:rPr>
          <w:color w:val="000000"/>
          <w:spacing w:val="-2"/>
        </w:rPr>
        <w:t>,</w:t>
      </w:r>
    </w:p>
    <w:p w14:paraId="3F0BCD98" w14:textId="44029956" w:rsidR="00E56B35" w:rsidRPr="00B23B81" w:rsidRDefault="00E56B35" w:rsidP="00E56B35">
      <w:pPr>
        <w:pStyle w:val="Akapitzlist"/>
        <w:numPr>
          <w:ilvl w:val="0"/>
          <w:numId w:val="33"/>
        </w:numPr>
        <w:spacing w:after="120" w:line="360" w:lineRule="auto"/>
        <w:ind w:left="851" w:hanging="425"/>
        <w:jc w:val="both"/>
        <w:rPr>
          <w:color w:val="000000"/>
          <w:spacing w:val="-2"/>
        </w:rPr>
      </w:pPr>
      <w:r w:rsidRPr="00B23B81">
        <w:rPr>
          <w:color w:val="000000"/>
          <w:spacing w:val="-2"/>
        </w:rPr>
        <w:lastRenderedPageBreak/>
        <w:t xml:space="preserve">wskaźniki technologiczne – prognozy rozwoju technologii, łańcucha dostaw i rynku offshore </w:t>
      </w:r>
      <w:r w:rsidR="000A2F00">
        <w:rPr>
          <w:color w:val="000000"/>
          <w:spacing w:val="-2"/>
        </w:rPr>
        <w:t>(</w:t>
      </w:r>
      <w:r w:rsidRPr="00B23B81">
        <w:rPr>
          <w:color w:val="000000"/>
          <w:spacing w:val="-2"/>
        </w:rPr>
        <w:t>„</w:t>
      </w:r>
      <w:r w:rsidRPr="00B23B81">
        <w:t>Moderate Technology Innovation Scenario</w:t>
      </w:r>
      <w:r w:rsidRPr="00B23B81">
        <w:rPr>
          <w:color w:val="000000"/>
          <w:spacing w:val="-2"/>
        </w:rPr>
        <w:t>”</w:t>
      </w:r>
      <w:r w:rsidR="00F3036A">
        <w:rPr>
          <w:color w:val="000000"/>
          <w:spacing w:val="-2"/>
        </w:rPr>
        <w:t xml:space="preserve"> </w:t>
      </w:r>
      <w:r w:rsidR="000A2F00">
        <w:rPr>
          <w:color w:val="000000"/>
          <w:spacing w:val="-2"/>
        </w:rPr>
        <w:t xml:space="preserve">zawarty w raporcie NREL </w:t>
      </w:r>
      <w:r w:rsidR="000A2F00" w:rsidRPr="00B15187">
        <w:rPr>
          <w:i/>
          <w:iCs/>
          <w:color w:val="000000"/>
          <w:spacing w:val="-2"/>
        </w:rPr>
        <w:t>Annual Technology Baseline 202</w:t>
      </w:r>
      <w:r w:rsidR="000A2F00">
        <w:rPr>
          <w:i/>
          <w:iCs/>
          <w:color w:val="000000"/>
          <w:spacing w:val="-2"/>
        </w:rPr>
        <w:t>3</w:t>
      </w:r>
      <w:r w:rsidR="000A2F00">
        <w:rPr>
          <w:color w:val="000000"/>
          <w:spacing w:val="-2"/>
        </w:rPr>
        <w:t>)</w:t>
      </w:r>
      <w:r w:rsidRPr="00B23B81">
        <w:rPr>
          <w:color w:val="000000"/>
          <w:spacing w:val="-2"/>
        </w:rPr>
        <w:t xml:space="preserve">, zakładające wykorzystanie </w:t>
      </w:r>
      <w:r w:rsidR="00224F72">
        <w:rPr>
          <w:color w:val="000000"/>
          <w:spacing w:val="-2"/>
        </w:rPr>
        <w:t xml:space="preserve">turbin o mocy znamionowej </w:t>
      </w:r>
      <w:r w:rsidRPr="00B23B81">
        <w:rPr>
          <w:color w:val="000000"/>
          <w:spacing w:val="-2"/>
        </w:rPr>
        <w:t>15 MW w okolicach 2030 r</w:t>
      </w:r>
      <w:r>
        <w:rPr>
          <w:color w:val="000000"/>
          <w:spacing w:val="-2"/>
        </w:rPr>
        <w:t>.;</w:t>
      </w:r>
    </w:p>
    <w:p w14:paraId="53AD2B59" w14:textId="3EF7EFF9" w:rsidR="00E56B35" w:rsidRPr="0031438E" w:rsidRDefault="006550E5" w:rsidP="006550E5">
      <w:pPr>
        <w:pStyle w:val="Akapitzlist"/>
        <w:spacing w:line="360" w:lineRule="auto"/>
        <w:ind w:left="567"/>
        <w:jc w:val="both"/>
        <w:rPr>
          <w:color w:val="000000"/>
          <w:spacing w:val="-2"/>
        </w:rPr>
      </w:pPr>
      <w:r>
        <w:rPr>
          <w:b/>
          <w:bCs/>
          <w:color w:val="000000"/>
          <w:spacing w:val="-2"/>
        </w:rPr>
        <w:t>2) w</w:t>
      </w:r>
      <w:r w:rsidRPr="0031438E">
        <w:rPr>
          <w:b/>
          <w:bCs/>
          <w:color w:val="000000"/>
          <w:spacing w:val="-2"/>
        </w:rPr>
        <w:t xml:space="preserve">skaźniki </w:t>
      </w:r>
      <w:r w:rsidR="00697D63">
        <w:rPr>
          <w:b/>
          <w:bCs/>
          <w:color w:val="000000"/>
          <w:spacing w:val="-2"/>
        </w:rPr>
        <w:t xml:space="preserve">dla </w:t>
      </w:r>
      <w:r w:rsidR="00E56B35" w:rsidRPr="0031438E">
        <w:rPr>
          <w:b/>
          <w:bCs/>
          <w:color w:val="000000"/>
          <w:spacing w:val="-2"/>
        </w:rPr>
        <w:t>P</w:t>
      </w:r>
      <w:r w:rsidR="00697D63">
        <w:rPr>
          <w:b/>
          <w:bCs/>
          <w:color w:val="000000"/>
          <w:spacing w:val="-2"/>
        </w:rPr>
        <w:t>olski</w:t>
      </w:r>
      <w:r w:rsidR="00E56B35" w:rsidRPr="0031438E">
        <w:rPr>
          <w:b/>
          <w:bCs/>
          <w:color w:val="000000"/>
          <w:spacing w:val="-2"/>
        </w:rPr>
        <w:t xml:space="preserve"> </w:t>
      </w:r>
      <w:r w:rsidR="00E56B35" w:rsidRPr="0031438E">
        <w:rPr>
          <w:b/>
          <w:color w:val="000000"/>
          <w:spacing w:val="-2"/>
        </w:rPr>
        <w:t>–</w:t>
      </w:r>
      <w:r w:rsidR="00E56B35" w:rsidRPr="0031438E">
        <w:rPr>
          <w:b/>
          <w:bCs/>
          <w:color w:val="000000"/>
          <w:spacing w:val="-2"/>
        </w:rPr>
        <w:t xml:space="preserve"> skorygowane:</w:t>
      </w:r>
    </w:p>
    <w:p w14:paraId="3564DEC2" w14:textId="77777777" w:rsidR="00E56B35" w:rsidRPr="0031438E" w:rsidRDefault="00E56B35" w:rsidP="00E56B35">
      <w:pPr>
        <w:pStyle w:val="Akapitzlist"/>
        <w:numPr>
          <w:ilvl w:val="0"/>
          <w:numId w:val="36"/>
        </w:numPr>
        <w:spacing w:line="360" w:lineRule="auto"/>
        <w:ind w:left="851" w:hanging="425"/>
        <w:jc w:val="both"/>
        <w:rPr>
          <w:color w:val="000000"/>
          <w:spacing w:val="-2"/>
        </w:rPr>
      </w:pPr>
      <w:r w:rsidRPr="0031438E">
        <w:rPr>
          <w:color w:val="000000"/>
          <w:spacing w:val="-2"/>
        </w:rPr>
        <w:t>obliczenia uwzględniały prognozę przepływów pieniężnych referencyjnej farmy wiatrowej wyrażonych w wartościach nominalnych,</w:t>
      </w:r>
    </w:p>
    <w:p w14:paraId="79C281C1" w14:textId="7CDDB18A" w:rsidR="00E56B35" w:rsidRPr="0031438E" w:rsidRDefault="00E56B35" w:rsidP="00E56B35">
      <w:pPr>
        <w:pStyle w:val="Akapitzlist"/>
        <w:numPr>
          <w:ilvl w:val="0"/>
          <w:numId w:val="36"/>
        </w:numPr>
        <w:spacing w:line="360" w:lineRule="auto"/>
        <w:ind w:left="851" w:hanging="425"/>
        <w:jc w:val="both"/>
        <w:rPr>
          <w:color w:val="000000"/>
          <w:spacing w:val="-2"/>
        </w:rPr>
      </w:pPr>
      <w:r w:rsidRPr="0031438E">
        <w:rPr>
          <w:color w:val="000000"/>
          <w:spacing w:val="-2"/>
        </w:rPr>
        <w:t xml:space="preserve">wartość ceny referencyjnej wyrażona w cenach stałych z 2021 r. </w:t>
      </w:r>
      <w:r w:rsidR="00697D63" w:rsidRPr="0031438E">
        <w:rPr>
          <w:color w:val="000000"/>
          <w:spacing w:val="-2"/>
        </w:rPr>
        <w:t>zrewaloryzowan</w:t>
      </w:r>
      <w:r w:rsidR="00697D63">
        <w:rPr>
          <w:color w:val="000000"/>
          <w:spacing w:val="-2"/>
        </w:rPr>
        <w:t>a</w:t>
      </w:r>
      <w:r w:rsidR="00697D63" w:rsidRPr="0031438E">
        <w:rPr>
          <w:color w:val="000000"/>
          <w:spacing w:val="-2"/>
        </w:rPr>
        <w:t xml:space="preserve"> </w:t>
      </w:r>
      <w:r w:rsidRPr="0031438E">
        <w:rPr>
          <w:color w:val="000000"/>
          <w:spacing w:val="-2"/>
        </w:rPr>
        <w:t xml:space="preserve">o wskaźnik inflacji </w:t>
      </w:r>
      <w:r>
        <w:rPr>
          <w:color w:val="000000"/>
          <w:spacing w:val="-2"/>
        </w:rPr>
        <w:t xml:space="preserve">w strefie EUR </w:t>
      </w:r>
      <w:r w:rsidRPr="0031438E">
        <w:rPr>
          <w:color w:val="000000"/>
          <w:spacing w:val="-2"/>
        </w:rPr>
        <w:t>1,1</w:t>
      </w:r>
      <w:r w:rsidR="0057768D">
        <w:rPr>
          <w:color w:val="000000"/>
          <w:spacing w:val="-2"/>
        </w:rPr>
        <w:t>738</w:t>
      </w:r>
      <w:r w:rsidRPr="0031438E">
        <w:rPr>
          <w:color w:val="000000"/>
          <w:spacing w:val="-2"/>
        </w:rPr>
        <w:t xml:space="preserve"> na 202</w:t>
      </w:r>
      <w:r w:rsidR="0057768D">
        <w:rPr>
          <w:color w:val="000000"/>
          <w:spacing w:val="-2"/>
        </w:rPr>
        <w:t>5</w:t>
      </w:r>
      <w:r>
        <w:rPr>
          <w:color w:val="000000"/>
          <w:spacing w:val="-2"/>
        </w:rPr>
        <w:t xml:space="preserve"> r</w:t>
      </w:r>
      <w:r w:rsidRPr="0031438E">
        <w:rPr>
          <w:color w:val="000000"/>
          <w:spacing w:val="-2"/>
        </w:rPr>
        <w:t>.</w:t>
      </w:r>
      <w:r w:rsidR="00960B07">
        <w:rPr>
          <w:color w:val="000000"/>
          <w:spacing w:val="-2"/>
        </w:rPr>
        <w:t>, czyli rok w którym zostanie przeprowadzona pierwsza aukcja.</w:t>
      </w:r>
    </w:p>
    <w:p w14:paraId="3BB5C606" w14:textId="2E9D4A7A" w:rsidR="002F0448" w:rsidRDefault="002F0448" w:rsidP="00E56B35">
      <w:pPr>
        <w:spacing w:line="360" w:lineRule="auto"/>
        <w:ind w:firstLine="567"/>
        <w:jc w:val="both"/>
        <w:rPr>
          <w:color w:val="000000"/>
          <w:spacing w:val="-2"/>
        </w:rPr>
      </w:pPr>
      <w:r w:rsidRPr="00B15187">
        <w:rPr>
          <w:color w:val="000000"/>
          <w:spacing w:val="-2"/>
        </w:rPr>
        <w:t>Należy podkreślić, że obecnie w</w:t>
      </w:r>
      <w:r>
        <w:rPr>
          <w:color w:val="000000"/>
          <w:spacing w:val="-2"/>
        </w:rPr>
        <w:t> </w:t>
      </w:r>
      <w:r w:rsidRPr="00B15187">
        <w:rPr>
          <w:color w:val="000000"/>
          <w:spacing w:val="-2"/>
        </w:rPr>
        <w:t xml:space="preserve">Polsce nie ma jeszcze żadnej wybudowanej morskiej farmy wiatrowej. </w:t>
      </w:r>
      <w:r>
        <w:rPr>
          <w:color w:val="000000"/>
          <w:spacing w:val="-2"/>
        </w:rPr>
        <w:t>Stąd</w:t>
      </w:r>
      <w:r w:rsidRPr="00B15187">
        <w:rPr>
          <w:color w:val="000000"/>
          <w:spacing w:val="-2"/>
        </w:rPr>
        <w:t xml:space="preserve"> przyjęcie </w:t>
      </w:r>
      <w:r w:rsidR="000A2F00">
        <w:rPr>
          <w:color w:val="000000"/>
          <w:spacing w:val="-2"/>
        </w:rPr>
        <w:t>wskaźnika inflacji w strefie PLN</w:t>
      </w:r>
      <w:r w:rsidRPr="00B15187">
        <w:rPr>
          <w:color w:val="000000"/>
          <w:spacing w:val="-2"/>
        </w:rPr>
        <w:t xml:space="preserve"> nie odzwierciedlałoby sytuacji związan</w:t>
      </w:r>
      <w:r>
        <w:rPr>
          <w:color w:val="000000"/>
          <w:spacing w:val="-2"/>
        </w:rPr>
        <w:t>ej</w:t>
      </w:r>
      <w:r w:rsidRPr="00B15187">
        <w:rPr>
          <w:color w:val="000000"/>
          <w:spacing w:val="-2"/>
        </w:rPr>
        <w:t xml:space="preserve"> ze zmianą nakładów inwestycyjnych. Konieczne zatem było uwzględnienie doświadczeń państw, w</w:t>
      </w:r>
      <w:r>
        <w:rPr>
          <w:color w:val="000000"/>
          <w:spacing w:val="-2"/>
        </w:rPr>
        <w:t> </w:t>
      </w:r>
      <w:r w:rsidRPr="00B15187">
        <w:rPr>
          <w:color w:val="000000"/>
          <w:spacing w:val="-2"/>
        </w:rPr>
        <w:t>których zostały oddane do użytku morskie famy wiatrowe.</w:t>
      </w:r>
    </w:p>
    <w:p w14:paraId="4AF84FAF" w14:textId="44420072" w:rsidR="00127C51" w:rsidRDefault="00D9051A" w:rsidP="00E56B35">
      <w:pPr>
        <w:spacing w:line="360" w:lineRule="auto"/>
        <w:ind w:firstLine="567"/>
        <w:jc w:val="both"/>
        <w:rPr>
          <w:color w:val="000000"/>
          <w:spacing w:val="-2"/>
        </w:rPr>
      </w:pPr>
      <w:r>
        <w:rPr>
          <w:color w:val="000000"/>
          <w:spacing w:val="-2"/>
        </w:rPr>
        <w:t>Przy</w:t>
      </w:r>
      <w:r w:rsidR="00E600E0" w:rsidRPr="00E600E0">
        <w:rPr>
          <w:color w:val="000000"/>
          <w:spacing w:val="-2"/>
        </w:rPr>
        <w:t xml:space="preserve"> pomoc</w:t>
      </w:r>
      <w:r w:rsidR="00E56B35">
        <w:rPr>
          <w:color w:val="000000"/>
          <w:spacing w:val="-2"/>
        </w:rPr>
        <w:t>y</w:t>
      </w:r>
      <w:r w:rsidR="00E600E0" w:rsidRPr="00E600E0">
        <w:rPr>
          <w:color w:val="000000"/>
          <w:spacing w:val="-2"/>
        </w:rPr>
        <w:t xml:space="preserve"> metod statystycznych (regresji liniowej) </w:t>
      </w:r>
      <w:r w:rsidRPr="00E600E0">
        <w:rPr>
          <w:color w:val="000000"/>
          <w:spacing w:val="-2"/>
        </w:rPr>
        <w:t>uwzględni</w:t>
      </w:r>
      <w:r>
        <w:rPr>
          <w:color w:val="000000"/>
          <w:spacing w:val="-2"/>
        </w:rPr>
        <w:t>ono</w:t>
      </w:r>
      <w:r w:rsidRPr="00E600E0">
        <w:rPr>
          <w:color w:val="000000"/>
          <w:spacing w:val="-2"/>
        </w:rPr>
        <w:t xml:space="preserve"> </w:t>
      </w:r>
      <w:r w:rsidR="00E600E0" w:rsidRPr="00E600E0">
        <w:rPr>
          <w:color w:val="000000"/>
          <w:spacing w:val="-2"/>
        </w:rPr>
        <w:t>charakterystyczne dla projektów II fazy prędkości wiatru, odległości farmy od brzegu i głębokości dna morskiego. Dodatkowo</w:t>
      </w:r>
      <w:r w:rsidR="00697D63">
        <w:rPr>
          <w:color w:val="000000"/>
          <w:spacing w:val="-2"/>
        </w:rPr>
        <w:t>,</w:t>
      </w:r>
      <w:r w:rsidR="00E600E0" w:rsidRPr="00E600E0">
        <w:rPr>
          <w:color w:val="000000"/>
          <w:spacing w:val="-2"/>
        </w:rPr>
        <w:t xml:space="preserve"> na podstawie krzywych uczenia i wyznaczonych zależności regresji liniowej wykreślono ścieżki nakładów inwestycyjnych na morską farmę wiatrową i przyłącze</w:t>
      </w:r>
      <w:r w:rsidR="00E600E0">
        <w:rPr>
          <w:color w:val="000000"/>
          <w:spacing w:val="-2"/>
        </w:rPr>
        <w:t xml:space="preserve"> </w:t>
      </w:r>
      <w:r w:rsidR="00E600E0" w:rsidRPr="00E600E0">
        <w:rPr>
          <w:color w:val="000000"/>
          <w:spacing w:val="-2"/>
        </w:rPr>
        <w:t>oraz kosztów operacyjnych w warunkach polskich. Wykorzystane krzywe uczenia uwzględniły rozwój technologii wytwarzania, co</w:t>
      </w:r>
      <w:r w:rsidR="00E600E0">
        <w:rPr>
          <w:color w:val="000000"/>
          <w:spacing w:val="-2"/>
        </w:rPr>
        <w:t xml:space="preserve"> spowodowało </w:t>
      </w:r>
      <w:r w:rsidR="00E600E0" w:rsidRPr="00E600E0">
        <w:rPr>
          <w:color w:val="000000"/>
          <w:spacing w:val="-2"/>
        </w:rPr>
        <w:t>spadek kosztów CAPEX i OPEX. Mając na uwadze przyjęte założenie wyznaczenia ceny maksymalnej na rok uruchomienia</w:t>
      </w:r>
      <w:r w:rsidR="000A2F00">
        <w:rPr>
          <w:color w:val="000000"/>
          <w:spacing w:val="-2"/>
        </w:rPr>
        <w:t xml:space="preserve"> referencyjnej</w:t>
      </w:r>
      <w:r w:rsidR="00E600E0" w:rsidRPr="00E600E0">
        <w:rPr>
          <w:color w:val="000000"/>
          <w:spacing w:val="-2"/>
        </w:rPr>
        <w:t xml:space="preserve"> morskiej farmy wiatrowej (tj. 2032 r.) zaproponowane </w:t>
      </w:r>
      <w:r w:rsidR="00E600E0">
        <w:rPr>
          <w:color w:val="000000"/>
          <w:spacing w:val="-2"/>
        </w:rPr>
        <w:t xml:space="preserve">poniżej </w:t>
      </w:r>
      <w:r w:rsidR="00E600E0" w:rsidRPr="00E600E0">
        <w:rPr>
          <w:color w:val="000000"/>
          <w:spacing w:val="-2"/>
        </w:rPr>
        <w:t>koszty operacyjne oraz koszty inwestycyjne, zostały obniżone zgodnie z krzywą uczenia.</w:t>
      </w:r>
      <w:r w:rsidR="00E6277E">
        <w:rPr>
          <w:color w:val="000000"/>
          <w:spacing w:val="-2"/>
        </w:rPr>
        <w:t xml:space="preserve"> </w:t>
      </w:r>
    </w:p>
    <w:p w14:paraId="143F7630" w14:textId="379EDD43" w:rsidR="00EE362C" w:rsidRDefault="00127C51" w:rsidP="00127C51">
      <w:pPr>
        <w:spacing w:line="360" w:lineRule="auto"/>
        <w:ind w:firstLine="567"/>
        <w:jc w:val="both"/>
        <w:rPr>
          <w:color w:val="000000"/>
          <w:spacing w:val="-2"/>
        </w:rPr>
      </w:pPr>
      <w:r>
        <w:rPr>
          <w:color w:val="000000"/>
          <w:spacing w:val="-2"/>
        </w:rPr>
        <w:t xml:space="preserve">Biorąc pod uwagę duże prawdopodobieństwo zaistnienia „wake effect” przyjęto współczynnik wykorzystania mocy </w:t>
      </w:r>
      <w:r w:rsidRPr="007D0A2F">
        <w:rPr>
          <w:color w:val="000000"/>
          <w:spacing w:val="-2"/>
        </w:rPr>
        <w:t>na poziomie 45,7%</w:t>
      </w:r>
      <w:r>
        <w:rPr>
          <w:color w:val="000000"/>
          <w:spacing w:val="-2"/>
        </w:rPr>
        <w:t xml:space="preserve">, który został wskazany w raporcie </w:t>
      </w:r>
      <w:r w:rsidRPr="00602FCF">
        <w:rPr>
          <w:color w:val="000000"/>
          <w:spacing w:val="-2"/>
        </w:rPr>
        <w:t xml:space="preserve">NREL </w:t>
      </w:r>
      <w:r w:rsidRPr="00602FCF">
        <w:rPr>
          <w:i/>
          <w:iCs/>
          <w:color w:val="000000"/>
          <w:spacing w:val="-2"/>
        </w:rPr>
        <w:t>Annual Technology Baseline 2023</w:t>
      </w:r>
      <w:r>
        <w:rPr>
          <w:color w:val="000000"/>
          <w:spacing w:val="-2"/>
        </w:rPr>
        <w:t>. Dla tego parametru zdecydowano się nie uwzględniać krzywej uczenia.</w:t>
      </w:r>
    </w:p>
    <w:p w14:paraId="2502A351" w14:textId="64D627EC" w:rsidR="00E56B35" w:rsidRPr="0054186C" w:rsidRDefault="00E56B35" w:rsidP="00E56B35">
      <w:pPr>
        <w:spacing w:line="360" w:lineRule="auto"/>
        <w:ind w:firstLine="567"/>
        <w:jc w:val="both"/>
        <w:rPr>
          <w:color w:val="000000"/>
          <w:spacing w:val="-2"/>
        </w:rPr>
      </w:pPr>
      <w:r w:rsidRPr="00B15187">
        <w:rPr>
          <w:color w:val="000000"/>
          <w:spacing w:val="-2"/>
        </w:rPr>
        <w:t xml:space="preserve">Należy zauważyć, że wskazane koszty operacyjne i inwestycyjne w raporcie NREL </w:t>
      </w:r>
      <w:r w:rsidRPr="00B15187">
        <w:rPr>
          <w:i/>
          <w:iCs/>
          <w:color w:val="000000"/>
          <w:spacing w:val="-2"/>
        </w:rPr>
        <w:t>Annual Technology Baseline 2023</w:t>
      </w:r>
      <w:r w:rsidRPr="00B15187">
        <w:rPr>
          <w:color w:val="000000"/>
          <w:spacing w:val="-2"/>
        </w:rPr>
        <w:t xml:space="preserve"> dotyczą danych z 2022 r., jednak zostały one podane w walucie USD z 2021 r.</w:t>
      </w:r>
      <w:r w:rsidR="002601CE">
        <w:rPr>
          <w:color w:val="000000"/>
          <w:spacing w:val="-2"/>
        </w:rPr>
        <w:t>, dlatego dokonano pr</w:t>
      </w:r>
      <w:r w:rsidR="002601CE" w:rsidRPr="002601CE">
        <w:rPr>
          <w:color w:val="000000"/>
          <w:spacing w:val="-2"/>
        </w:rPr>
        <w:t>zewalutowani</w:t>
      </w:r>
      <w:r w:rsidR="002601CE">
        <w:rPr>
          <w:color w:val="000000"/>
          <w:spacing w:val="-2"/>
        </w:rPr>
        <w:t>a</w:t>
      </w:r>
      <w:r w:rsidR="002601CE" w:rsidRPr="002601CE">
        <w:rPr>
          <w:color w:val="000000"/>
          <w:spacing w:val="-2"/>
        </w:rPr>
        <w:t xml:space="preserve"> z </w:t>
      </w:r>
      <w:r w:rsidR="002601CE">
        <w:rPr>
          <w:color w:val="000000"/>
          <w:spacing w:val="-2"/>
        </w:rPr>
        <w:t>USD</w:t>
      </w:r>
      <w:r w:rsidR="002601CE" w:rsidRPr="002601CE">
        <w:rPr>
          <w:color w:val="000000"/>
          <w:spacing w:val="-2"/>
        </w:rPr>
        <w:t xml:space="preserve"> na </w:t>
      </w:r>
      <w:r w:rsidR="002601CE">
        <w:rPr>
          <w:color w:val="000000"/>
          <w:spacing w:val="-2"/>
        </w:rPr>
        <w:t>PLN</w:t>
      </w:r>
      <w:r w:rsidR="002601CE" w:rsidRPr="002601CE">
        <w:rPr>
          <w:color w:val="000000"/>
          <w:spacing w:val="-2"/>
        </w:rPr>
        <w:t xml:space="preserve">. </w:t>
      </w:r>
    </w:p>
    <w:p w14:paraId="318A7D4E" w14:textId="518C908C" w:rsidR="00C938B9" w:rsidRPr="00DF34DE" w:rsidRDefault="00AC01B2" w:rsidP="006A3FEB">
      <w:pPr>
        <w:spacing w:before="120" w:line="360" w:lineRule="auto"/>
        <w:jc w:val="both"/>
      </w:pPr>
      <w:r>
        <w:rPr>
          <w:b/>
          <w:bCs/>
        </w:rPr>
        <w:t>K</w:t>
      </w:r>
      <w:r w:rsidRPr="00DF34DE">
        <w:rPr>
          <w:b/>
          <w:bCs/>
        </w:rPr>
        <w:t xml:space="preserve">oszty </w:t>
      </w:r>
      <w:r w:rsidR="00C938B9" w:rsidRPr="00DF34DE">
        <w:rPr>
          <w:b/>
          <w:bCs/>
        </w:rPr>
        <w:t>operacyjne</w:t>
      </w:r>
      <w:r w:rsidR="00C938B9" w:rsidRPr="00DF34DE">
        <w:t xml:space="preserve"> oraz dodatkowe koszty inwestycyjne ponoszone w</w:t>
      </w:r>
      <w:r w:rsidR="008B7547">
        <w:t> </w:t>
      </w:r>
      <w:r w:rsidR="00C938B9" w:rsidRPr="00DF34DE">
        <w:t xml:space="preserve">okresie eksploatacji, </w:t>
      </w:r>
      <w:r w:rsidR="00C3472C" w:rsidRPr="00DF34DE">
        <w:t>w</w:t>
      </w:r>
      <w:r w:rsidR="00C3472C">
        <w:t> </w:t>
      </w:r>
      <w:r w:rsidR="00C938B9" w:rsidRPr="00DF34DE">
        <w:t>którym wytwórcy będą korzystać z prawa do pokrycia ujemnego salda</w:t>
      </w:r>
      <w:r>
        <w:t xml:space="preserve"> wynoszą</w:t>
      </w:r>
      <w:r w:rsidR="001E0502">
        <w:t>:</w:t>
      </w:r>
    </w:p>
    <w:tbl>
      <w:tblPr>
        <w:tblStyle w:val="Tabela-Siatka"/>
        <w:tblW w:w="0" w:type="auto"/>
        <w:tblLook w:val="04A0" w:firstRow="1" w:lastRow="0" w:firstColumn="1" w:lastColumn="0" w:noHBand="0" w:noVBand="1"/>
      </w:tblPr>
      <w:tblGrid>
        <w:gridCol w:w="2405"/>
        <w:gridCol w:w="3402"/>
        <w:gridCol w:w="3237"/>
      </w:tblGrid>
      <w:tr w:rsidR="00F118B2" w:rsidRPr="00DF34DE" w14:paraId="3E3BF6EC" w14:textId="77777777" w:rsidTr="00602FCF">
        <w:tc>
          <w:tcPr>
            <w:tcW w:w="2405" w:type="dxa"/>
          </w:tcPr>
          <w:p w14:paraId="271C0FEC" w14:textId="77777777" w:rsidR="00F118B2" w:rsidRPr="00DF34DE" w:rsidRDefault="00F118B2" w:rsidP="004E13A2">
            <w:pPr>
              <w:spacing w:line="360" w:lineRule="auto"/>
              <w:jc w:val="both"/>
            </w:pPr>
          </w:p>
        </w:tc>
        <w:tc>
          <w:tcPr>
            <w:tcW w:w="3402" w:type="dxa"/>
          </w:tcPr>
          <w:p w14:paraId="7A9BA52D" w14:textId="77777777" w:rsidR="00F118B2" w:rsidRPr="00DF34DE" w:rsidRDefault="00F118B2" w:rsidP="004E13A2">
            <w:pPr>
              <w:spacing w:line="360" w:lineRule="auto"/>
              <w:jc w:val="center"/>
            </w:pPr>
            <w:r w:rsidRPr="00DF34DE">
              <w:t>jednostka</w:t>
            </w:r>
          </w:p>
        </w:tc>
        <w:tc>
          <w:tcPr>
            <w:tcW w:w="3237" w:type="dxa"/>
          </w:tcPr>
          <w:p w14:paraId="6632999D" w14:textId="4EA77CE8" w:rsidR="00F118B2" w:rsidRPr="00DF34DE" w:rsidRDefault="00F118B2" w:rsidP="004E13A2">
            <w:pPr>
              <w:spacing w:line="360" w:lineRule="auto"/>
              <w:jc w:val="center"/>
            </w:pPr>
            <w:r>
              <w:t>wartość</w:t>
            </w:r>
          </w:p>
        </w:tc>
      </w:tr>
      <w:tr w:rsidR="00F118B2" w:rsidRPr="00DF34DE" w14:paraId="6FF68D48" w14:textId="77777777" w:rsidTr="00602FCF">
        <w:tc>
          <w:tcPr>
            <w:tcW w:w="2405" w:type="dxa"/>
            <w:vAlign w:val="center"/>
          </w:tcPr>
          <w:p w14:paraId="1D7CA23D" w14:textId="4B1F2B39" w:rsidR="00F118B2" w:rsidRPr="00DF34DE" w:rsidRDefault="00602FCF" w:rsidP="004E13A2">
            <w:pPr>
              <w:spacing w:line="360" w:lineRule="auto"/>
            </w:pPr>
            <w:r>
              <w:t>OPEX</w:t>
            </w:r>
          </w:p>
        </w:tc>
        <w:tc>
          <w:tcPr>
            <w:tcW w:w="3402" w:type="dxa"/>
            <w:vAlign w:val="center"/>
          </w:tcPr>
          <w:p w14:paraId="5168C438" w14:textId="43FD804E" w:rsidR="00F118B2" w:rsidRPr="00DF34DE" w:rsidRDefault="00E600E0" w:rsidP="004E13A2">
            <w:pPr>
              <w:spacing w:line="360" w:lineRule="auto"/>
              <w:jc w:val="center"/>
            </w:pPr>
            <w:r>
              <w:t>k</w:t>
            </w:r>
            <w:r w:rsidR="00602FCF">
              <w:t>P</w:t>
            </w:r>
            <w:r w:rsidR="00F118B2" w:rsidRPr="00DF34DE">
              <w:t>LN</w:t>
            </w:r>
            <w:r w:rsidR="00602FCF">
              <w:t>’202</w:t>
            </w:r>
            <w:r w:rsidR="00E56B35">
              <w:t>4</w:t>
            </w:r>
            <w:r w:rsidR="00F118B2" w:rsidRPr="00DF34DE">
              <w:t>/MW/rok</w:t>
            </w:r>
          </w:p>
        </w:tc>
        <w:tc>
          <w:tcPr>
            <w:tcW w:w="3237" w:type="dxa"/>
            <w:vAlign w:val="center"/>
          </w:tcPr>
          <w:p w14:paraId="7746BE11" w14:textId="3784F1B9" w:rsidR="00F118B2" w:rsidRPr="00DF34DE" w:rsidRDefault="00602FCF" w:rsidP="00F118B2">
            <w:pPr>
              <w:spacing w:line="360" w:lineRule="auto"/>
              <w:jc w:val="center"/>
            </w:pPr>
            <w:r>
              <w:t>4</w:t>
            </w:r>
            <w:r w:rsidR="00E56B35">
              <w:t>62</w:t>
            </w:r>
          </w:p>
        </w:tc>
      </w:tr>
    </w:tbl>
    <w:p w14:paraId="60ABB744" w14:textId="478CA6C0" w:rsidR="00E56B35" w:rsidRDefault="00E56B35" w:rsidP="00E56B35">
      <w:pPr>
        <w:spacing w:before="120" w:line="360" w:lineRule="auto"/>
        <w:ind w:firstLine="567"/>
        <w:jc w:val="both"/>
      </w:pPr>
      <w:r>
        <w:t xml:space="preserve">Jako </w:t>
      </w:r>
      <w:r w:rsidR="0027421B">
        <w:t>OPEX</w:t>
      </w:r>
      <w:r>
        <w:t xml:space="preserve"> wzięto pod uwagę koszty serwisowania, remontów (w tym wymiany zużytych elementów), opłaty (w tym koszty prawne i podatki, inne niż niżej wymienione), koszty pracy, ubezpieczeń, dzierżawy, zarządzania projektem.</w:t>
      </w:r>
    </w:p>
    <w:p w14:paraId="36A29906" w14:textId="65EEEC70" w:rsidR="00E56B35" w:rsidRDefault="00E56B35" w:rsidP="00E56B35">
      <w:pPr>
        <w:spacing w:line="360" w:lineRule="auto"/>
        <w:ind w:firstLine="567"/>
        <w:jc w:val="both"/>
      </w:pPr>
      <w:r>
        <w:t xml:space="preserve">Składowe zaprezentowane poniżej nie zawierają się w powyższych parametrach. </w:t>
      </w:r>
      <w:r w:rsidR="00B73C2F">
        <w:t>Stanowią one</w:t>
      </w:r>
      <w:r>
        <w:t xml:space="preserve"> koszty dodatkowe poza kosztami eksploatacji, serwisów i</w:t>
      </w:r>
      <w:r w:rsidR="00EC1108">
        <w:t> </w:t>
      </w:r>
      <w:r>
        <w:t>remontów</w:t>
      </w:r>
      <w:r w:rsidR="00B73C2F">
        <w:t>:</w:t>
      </w:r>
    </w:p>
    <w:p w14:paraId="113F9196" w14:textId="77777777" w:rsidR="00E56B35" w:rsidRPr="00AC01B2" w:rsidRDefault="00E56B35" w:rsidP="00E56B35">
      <w:pPr>
        <w:pStyle w:val="Akapitzlist"/>
        <w:numPr>
          <w:ilvl w:val="0"/>
          <w:numId w:val="37"/>
        </w:numPr>
        <w:spacing w:line="360" w:lineRule="auto"/>
        <w:jc w:val="both"/>
      </w:pPr>
      <w:r w:rsidRPr="00A14EFF">
        <w:t>opłata od wytwarzania energii elektrycznej w morskich farmach wiatrowych (składnik opłaty koncesyjnej)</w:t>
      </w:r>
      <w:r w:rsidRPr="00AC01B2">
        <w:t>,</w:t>
      </w:r>
    </w:p>
    <w:p w14:paraId="4EC0E409" w14:textId="77777777" w:rsidR="00E56B35" w:rsidRPr="00AC01B2" w:rsidRDefault="00E56B35" w:rsidP="00E56B35">
      <w:pPr>
        <w:pStyle w:val="Akapitzlist"/>
        <w:numPr>
          <w:ilvl w:val="0"/>
          <w:numId w:val="37"/>
        </w:numPr>
        <w:spacing w:line="360" w:lineRule="auto"/>
        <w:jc w:val="both"/>
      </w:pPr>
      <w:r w:rsidRPr="00A14EFF">
        <w:t>opłata za pozwolenie na wznoszenie sztucznych wysp (PSZW)</w:t>
      </w:r>
      <w:r w:rsidRPr="00AC01B2">
        <w:t xml:space="preserve"> </w:t>
      </w:r>
      <w:r w:rsidRPr="00AC01B2">
        <w:rPr>
          <w:color w:val="000000"/>
          <w:spacing w:val="-2"/>
        </w:rPr>
        <w:t>–</w:t>
      </w:r>
      <w:r w:rsidRPr="00AC01B2">
        <w:t xml:space="preserve"> całkowita opłata za PSZW liczona jako 1% prognozowanej wielkości nakładów inwestycyjnych. W zakres OPEX wchodzą III i IV rata opłaty za PSZW ponoszone po rozpoczęciu eksploatacji MFW, obejmujące razem 60% całkowitej opłaty,</w:t>
      </w:r>
    </w:p>
    <w:p w14:paraId="58F8FE1E" w14:textId="7009FA33" w:rsidR="00E56B35" w:rsidRPr="00AC01B2" w:rsidRDefault="00E56B35" w:rsidP="00E56B35">
      <w:pPr>
        <w:pStyle w:val="Akapitzlist"/>
        <w:numPr>
          <w:ilvl w:val="0"/>
          <w:numId w:val="37"/>
        </w:numPr>
        <w:spacing w:line="360" w:lineRule="auto"/>
      </w:pPr>
      <w:r w:rsidRPr="00A14EFF">
        <w:rPr>
          <w:rStyle w:val="Ppogrubienie"/>
          <w:b w:val="0"/>
        </w:rPr>
        <w:t>koszty bilansowania</w:t>
      </w:r>
      <w:r w:rsidRPr="00AC01B2">
        <w:t xml:space="preserve"> – 2 PLN/MWh,</w:t>
      </w:r>
    </w:p>
    <w:p w14:paraId="6978B1DE" w14:textId="47155A39" w:rsidR="00C938B9" w:rsidRPr="00DF34DE" w:rsidRDefault="00E56B35" w:rsidP="00E56B35">
      <w:pPr>
        <w:pStyle w:val="Akapitzlist"/>
        <w:numPr>
          <w:ilvl w:val="0"/>
          <w:numId w:val="37"/>
        </w:numPr>
        <w:spacing w:line="360" w:lineRule="auto"/>
        <w:jc w:val="both"/>
      </w:pPr>
      <w:r w:rsidRPr="00A14EFF">
        <w:rPr>
          <w:rStyle w:val="Ppogrubienie"/>
          <w:b w:val="0"/>
        </w:rPr>
        <w:t>koszty amortyzacji</w:t>
      </w:r>
      <w:r w:rsidRPr="00DF34DE">
        <w:t xml:space="preserve"> </w:t>
      </w:r>
      <w:r w:rsidRPr="001F2979">
        <w:rPr>
          <w:i/>
          <w:iCs/>
        </w:rPr>
        <w:t xml:space="preserve">– </w:t>
      </w:r>
      <w:r w:rsidRPr="00DF34DE">
        <w:t>przyjęto metodę amortyzacji liniowej; stała wartość roczn</w:t>
      </w:r>
      <w:r>
        <w:t>ej</w:t>
      </w:r>
      <w:r w:rsidRPr="00DF34DE">
        <w:t xml:space="preserve"> stawki </w:t>
      </w:r>
      <w:r>
        <w:t>amortyzacyjnej</w:t>
      </w:r>
      <w:r w:rsidRPr="00DF34DE">
        <w:t xml:space="preserve"> </w:t>
      </w:r>
      <w:r w:rsidR="00AC01B2">
        <w:t>jest równa</w:t>
      </w:r>
      <w:r w:rsidR="00AC01B2" w:rsidRPr="00DF34DE">
        <w:t xml:space="preserve"> skumulowan</w:t>
      </w:r>
      <w:r w:rsidR="00AC01B2">
        <w:t>ym</w:t>
      </w:r>
      <w:r w:rsidR="00AC01B2" w:rsidRPr="00DF34DE">
        <w:t xml:space="preserve"> nakład</w:t>
      </w:r>
      <w:r w:rsidR="00AC01B2">
        <w:t>om</w:t>
      </w:r>
      <w:r w:rsidR="00AC01B2" w:rsidRPr="00DF34DE">
        <w:t xml:space="preserve"> inwestycyjn</w:t>
      </w:r>
      <w:r w:rsidR="00AC01B2">
        <w:t>ym</w:t>
      </w:r>
      <w:r w:rsidR="00AC01B2" w:rsidRPr="00DF34DE">
        <w:t xml:space="preserve"> </w:t>
      </w:r>
      <w:r w:rsidRPr="00DF34DE">
        <w:t>projektu</w:t>
      </w:r>
      <w:r w:rsidR="00AC01B2">
        <w:t xml:space="preserve"> podzielonym przez </w:t>
      </w:r>
      <w:r w:rsidRPr="00DF34DE">
        <w:t>okres amortyzacji podatkowej wyrażony w latach</w:t>
      </w:r>
      <w:r>
        <w:t>.</w:t>
      </w:r>
    </w:p>
    <w:p w14:paraId="7A8AB2CB" w14:textId="059ED3A3" w:rsidR="00C938B9" w:rsidRDefault="00AC01B2" w:rsidP="006A3FEB">
      <w:pPr>
        <w:spacing w:before="120" w:line="360" w:lineRule="auto"/>
        <w:jc w:val="both"/>
      </w:pPr>
      <w:r>
        <w:rPr>
          <w:b/>
          <w:bCs/>
        </w:rPr>
        <w:t>K</w:t>
      </w:r>
      <w:r w:rsidRPr="00DF34DE">
        <w:rPr>
          <w:b/>
          <w:bCs/>
        </w:rPr>
        <w:t xml:space="preserve">oszty </w:t>
      </w:r>
      <w:r w:rsidR="00C938B9" w:rsidRPr="00DF34DE">
        <w:rPr>
          <w:b/>
          <w:bCs/>
        </w:rPr>
        <w:t>inwestycyjne</w:t>
      </w:r>
      <w:r w:rsidR="00C938B9" w:rsidRPr="00DF34DE">
        <w:t xml:space="preserve"> ponoszone w okresie przygotowania projektu i</w:t>
      </w:r>
      <w:r w:rsidR="006B3947">
        <w:t> </w:t>
      </w:r>
      <w:r w:rsidR="00C938B9" w:rsidRPr="00DF34DE">
        <w:t xml:space="preserve">budowy morskiej farmy wiatrowej wraz z niezbędną infrastrukturą techniczną oraz zespołem urządzeń służących do wyprowadzenia mocy, a także koszty całkowitej likwidacji morskiej farmy wiatrowej wraz </w:t>
      </w:r>
      <w:r w:rsidR="00ED5118" w:rsidRPr="00DF34DE">
        <w:t>z</w:t>
      </w:r>
      <w:r w:rsidR="00ED5118">
        <w:t> </w:t>
      </w:r>
      <w:r w:rsidR="00C938B9" w:rsidRPr="00DF34DE">
        <w:t>zespołem urządzeń służących do wyprowadzenia mocy, po zakończeniu jej eksploatacji</w:t>
      </w:r>
      <w:r>
        <w:t xml:space="preserve"> wynoszą</w:t>
      </w:r>
      <w:r w:rsidR="00870D64">
        <w:t>:</w:t>
      </w:r>
    </w:p>
    <w:tbl>
      <w:tblPr>
        <w:tblStyle w:val="Tabela-Siatka"/>
        <w:tblW w:w="0" w:type="auto"/>
        <w:jc w:val="center"/>
        <w:tblLook w:val="04A0" w:firstRow="1" w:lastRow="0" w:firstColumn="1" w:lastColumn="0" w:noHBand="0" w:noVBand="1"/>
      </w:tblPr>
      <w:tblGrid>
        <w:gridCol w:w="2262"/>
        <w:gridCol w:w="1986"/>
        <w:gridCol w:w="4796"/>
      </w:tblGrid>
      <w:tr w:rsidR="00B73C2F" w:rsidRPr="00DF34DE" w14:paraId="570782CB" w14:textId="77777777" w:rsidTr="009C175D">
        <w:trPr>
          <w:jc w:val="center"/>
        </w:trPr>
        <w:tc>
          <w:tcPr>
            <w:tcW w:w="2262" w:type="dxa"/>
          </w:tcPr>
          <w:p w14:paraId="23690319" w14:textId="77777777" w:rsidR="00B73C2F" w:rsidRPr="00DF34DE" w:rsidRDefault="00B73C2F" w:rsidP="009C175D">
            <w:pPr>
              <w:spacing w:line="360" w:lineRule="auto"/>
              <w:jc w:val="both"/>
            </w:pPr>
          </w:p>
        </w:tc>
        <w:tc>
          <w:tcPr>
            <w:tcW w:w="1986" w:type="dxa"/>
          </w:tcPr>
          <w:p w14:paraId="0EA8A955" w14:textId="77777777" w:rsidR="00B73C2F" w:rsidRPr="00DF34DE" w:rsidRDefault="00B73C2F" w:rsidP="009C175D">
            <w:pPr>
              <w:spacing w:line="360" w:lineRule="auto"/>
              <w:jc w:val="center"/>
            </w:pPr>
            <w:r w:rsidRPr="00DF34DE">
              <w:t>jednostka</w:t>
            </w:r>
          </w:p>
        </w:tc>
        <w:tc>
          <w:tcPr>
            <w:tcW w:w="4796" w:type="dxa"/>
          </w:tcPr>
          <w:p w14:paraId="7774CDC9" w14:textId="77777777" w:rsidR="00B73C2F" w:rsidRPr="00DF34DE" w:rsidRDefault="00B73C2F" w:rsidP="009C175D">
            <w:pPr>
              <w:spacing w:line="360" w:lineRule="auto"/>
              <w:jc w:val="center"/>
            </w:pPr>
            <w:r>
              <w:t>wartość</w:t>
            </w:r>
          </w:p>
        </w:tc>
      </w:tr>
      <w:tr w:rsidR="00B73C2F" w:rsidRPr="00DF34DE" w14:paraId="530238E7" w14:textId="77777777" w:rsidTr="009C175D">
        <w:trPr>
          <w:jc w:val="center"/>
        </w:trPr>
        <w:tc>
          <w:tcPr>
            <w:tcW w:w="2262" w:type="dxa"/>
          </w:tcPr>
          <w:p w14:paraId="56317971" w14:textId="0BEF7B60" w:rsidR="00B73C2F" w:rsidRPr="00DF34DE" w:rsidRDefault="00B73C2F" w:rsidP="009C175D">
            <w:pPr>
              <w:spacing w:line="360" w:lineRule="auto"/>
              <w:jc w:val="both"/>
            </w:pPr>
            <w:r w:rsidRPr="00E6277E">
              <w:t xml:space="preserve">CAPEX (+DEVEX </w:t>
            </w:r>
            <w:r>
              <w:t xml:space="preserve"> </w:t>
            </w:r>
            <w:r w:rsidRPr="00E6277E">
              <w:t>+przyłącze)</w:t>
            </w:r>
          </w:p>
        </w:tc>
        <w:tc>
          <w:tcPr>
            <w:tcW w:w="1986" w:type="dxa"/>
            <w:vAlign w:val="center"/>
          </w:tcPr>
          <w:p w14:paraId="430CB9C5" w14:textId="77777777" w:rsidR="00B73C2F" w:rsidRPr="00E73C85" w:rsidRDefault="00B73C2F" w:rsidP="009C175D">
            <w:pPr>
              <w:spacing w:line="360" w:lineRule="auto"/>
              <w:jc w:val="center"/>
            </w:pPr>
            <w:r w:rsidRPr="00E73C85">
              <w:t>kPLN’2024/MW</w:t>
            </w:r>
          </w:p>
        </w:tc>
        <w:tc>
          <w:tcPr>
            <w:tcW w:w="4796" w:type="dxa"/>
            <w:vAlign w:val="center"/>
          </w:tcPr>
          <w:p w14:paraId="5A3F8C9D" w14:textId="77777777" w:rsidR="00B73C2F" w:rsidRPr="00DF34DE" w:rsidRDefault="00B73C2F" w:rsidP="009C175D">
            <w:pPr>
              <w:spacing w:line="360" w:lineRule="auto"/>
              <w:jc w:val="center"/>
            </w:pPr>
            <w:r>
              <w:t>18 679</w:t>
            </w:r>
          </w:p>
        </w:tc>
      </w:tr>
      <w:tr w:rsidR="001E762B" w:rsidRPr="00DF34DE" w14:paraId="25DEFEDF" w14:textId="77777777" w:rsidTr="009C175D">
        <w:trPr>
          <w:jc w:val="center"/>
        </w:trPr>
        <w:tc>
          <w:tcPr>
            <w:tcW w:w="2262" w:type="dxa"/>
          </w:tcPr>
          <w:p w14:paraId="245FAC3A" w14:textId="502B7454" w:rsidR="001E762B" w:rsidRPr="00E6277E" w:rsidRDefault="001E762B" w:rsidP="009C175D">
            <w:pPr>
              <w:spacing w:line="360" w:lineRule="auto"/>
              <w:jc w:val="both"/>
            </w:pPr>
            <w:r>
              <w:t>DECEX</w:t>
            </w:r>
          </w:p>
        </w:tc>
        <w:tc>
          <w:tcPr>
            <w:tcW w:w="1986" w:type="dxa"/>
            <w:vAlign w:val="center"/>
          </w:tcPr>
          <w:p w14:paraId="055EF66E" w14:textId="75736F6A" w:rsidR="001E762B" w:rsidRPr="00E73C85" w:rsidRDefault="001E762B" w:rsidP="009C175D">
            <w:pPr>
              <w:spacing w:line="360" w:lineRule="auto"/>
              <w:jc w:val="center"/>
            </w:pPr>
            <w:r w:rsidRPr="001E762B">
              <w:t>kPLN’2024/MW</w:t>
            </w:r>
          </w:p>
        </w:tc>
        <w:tc>
          <w:tcPr>
            <w:tcW w:w="4796" w:type="dxa"/>
            <w:vAlign w:val="center"/>
          </w:tcPr>
          <w:p w14:paraId="272086C5" w14:textId="35F104B1" w:rsidR="001E762B" w:rsidRDefault="001E762B" w:rsidP="009C175D">
            <w:pPr>
              <w:spacing w:line="360" w:lineRule="auto"/>
              <w:jc w:val="center"/>
            </w:pPr>
            <w:r>
              <w:t>480</w:t>
            </w:r>
          </w:p>
        </w:tc>
      </w:tr>
    </w:tbl>
    <w:p w14:paraId="0F764197" w14:textId="61D13F6F" w:rsidR="00E56B35" w:rsidRDefault="00E56B35" w:rsidP="00E56B35">
      <w:pPr>
        <w:spacing w:before="120" w:line="360" w:lineRule="auto"/>
        <w:ind w:firstLine="567"/>
        <w:jc w:val="both"/>
      </w:pPr>
      <w:r>
        <w:t>W ramach CAPEX</w:t>
      </w:r>
      <w:r w:rsidR="0027421B">
        <w:t xml:space="preserve"> </w:t>
      </w:r>
      <w:r>
        <w:t>uwzględniono zarówno koszt morskiej farmy wiatrowej</w:t>
      </w:r>
      <w:r w:rsidR="00A077BC">
        <w:t>,</w:t>
      </w:r>
      <w:r>
        <w:t xml:space="preserve"> jak i wyprowadzenia mocy z morskiej farmy wiatrowej, w tym nakłady na: stacje elektroenergetyczne morskie i lądowe, kable (w tym kable eksportowe, wewnętrzne, ewentualne kable między stacjami na morzu), turbiny, fundamenty oraz instalację ww. komponentów morskiej farmy wiatrowej oraz wyprowadzenia mocy, a także koszt przygotowania projektu.</w:t>
      </w:r>
    </w:p>
    <w:p w14:paraId="46BEF36E" w14:textId="0633BC91" w:rsidR="00E56B35" w:rsidRDefault="0027421B" w:rsidP="00E56B35">
      <w:pPr>
        <w:spacing w:line="360" w:lineRule="auto"/>
        <w:ind w:firstLine="567"/>
        <w:jc w:val="both"/>
      </w:pPr>
      <w:r>
        <w:lastRenderedPageBreak/>
        <w:t xml:space="preserve">W CAPEX </w:t>
      </w:r>
      <w:r w:rsidR="00E56B35">
        <w:t xml:space="preserve">nie zawierają się </w:t>
      </w:r>
      <w:r>
        <w:t xml:space="preserve"> </w:t>
      </w:r>
      <w:r w:rsidR="00A077BC">
        <w:t>i stanowią</w:t>
      </w:r>
      <w:r w:rsidR="00E56B35">
        <w:t xml:space="preserve"> koszty dodatkowe</w:t>
      </w:r>
      <w:r w:rsidR="00A077BC">
        <w:t>:</w:t>
      </w:r>
    </w:p>
    <w:p w14:paraId="05D5CB65" w14:textId="77777777" w:rsidR="00E56B35" w:rsidRDefault="00E56B35" w:rsidP="00E56B35">
      <w:pPr>
        <w:pStyle w:val="Akapitzlist"/>
        <w:numPr>
          <w:ilvl w:val="0"/>
          <w:numId w:val="39"/>
        </w:numPr>
        <w:spacing w:line="360" w:lineRule="auto"/>
        <w:jc w:val="both"/>
      </w:pPr>
      <w:r w:rsidRPr="00476A01">
        <w:rPr>
          <w:b/>
          <w:bCs/>
        </w:rPr>
        <w:t>opłata za PSZW</w:t>
      </w:r>
      <w:r w:rsidRPr="00DF34DE">
        <w:t xml:space="preserve"> </w:t>
      </w:r>
      <w:r w:rsidRPr="00476A01">
        <w:rPr>
          <w:color w:val="000000"/>
          <w:spacing w:val="-2"/>
        </w:rPr>
        <w:t>–</w:t>
      </w:r>
      <w:r w:rsidRPr="00DF34DE">
        <w:t xml:space="preserve"> </w:t>
      </w:r>
      <w:r>
        <w:t>c</w:t>
      </w:r>
      <w:r w:rsidRPr="00DF34DE">
        <w:t>ałkowita opłata za PS</w:t>
      </w:r>
      <w:r>
        <w:t>Z</w:t>
      </w:r>
      <w:r w:rsidRPr="00DF34DE">
        <w:t xml:space="preserve">W liczona jako 1% prognozowanej wielkości nakładów inwestycyjnych. W zakres </w:t>
      </w:r>
      <w:r>
        <w:t xml:space="preserve">CAPEX </w:t>
      </w:r>
      <w:r w:rsidRPr="00DF34DE">
        <w:t>wchodzą I i II rata opłaty za PS</w:t>
      </w:r>
      <w:r>
        <w:t>Z</w:t>
      </w:r>
      <w:r w:rsidRPr="00DF34DE">
        <w:t>W ponoszone przed rozpoczęciem eksploatacji MFW, obejmujące razem 40% całkowitej opłaty</w:t>
      </w:r>
      <w:r>
        <w:t>;</w:t>
      </w:r>
    </w:p>
    <w:p w14:paraId="1288A118" w14:textId="69F8B8C8" w:rsidR="00C938B9" w:rsidRDefault="00E56B35" w:rsidP="00E56B35">
      <w:pPr>
        <w:pStyle w:val="Akapitzlist"/>
        <w:numPr>
          <w:ilvl w:val="0"/>
          <w:numId w:val="39"/>
        </w:numPr>
        <w:spacing w:line="360" w:lineRule="auto"/>
        <w:jc w:val="both"/>
      </w:pPr>
      <w:r w:rsidRPr="00E56B35">
        <w:rPr>
          <w:b/>
          <w:bCs/>
        </w:rPr>
        <w:t>opłata za przyłączenie do sieci przesyłowej elektroenergetycznej</w:t>
      </w:r>
      <w:r w:rsidRPr="00476A01">
        <w:t xml:space="preserve"> - opłata za </w:t>
      </w:r>
      <w:r w:rsidRPr="00FE629A">
        <w:t>przyłączenie w wysokości stanowiącej równowartość rzeczywistych nakładów operatora na przyłączenie określona w warunkach umowy o przyłączenie między wytwórcą a Polskimi Sieciami Elektroenergetycznymi S.A</w:t>
      </w:r>
      <w:r w:rsidR="00C938B9" w:rsidRPr="00DF34DE">
        <w:t>.</w:t>
      </w:r>
    </w:p>
    <w:p w14:paraId="1E98CD78" w14:textId="71740B54" w:rsidR="00C938B9" w:rsidRDefault="00817A73" w:rsidP="00E56B35">
      <w:pPr>
        <w:spacing w:line="360" w:lineRule="auto"/>
        <w:ind w:firstLine="567"/>
        <w:jc w:val="both"/>
      </w:pPr>
      <w:r w:rsidRPr="00817A73">
        <w:t>Istotnym elementem wpływającym na ostateczny koszt inwestycji, które mają być realizowane w polskiej wyłącznej stref</w:t>
      </w:r>
      <w:r w:rsidR="0008614F">
        <w:t>ie</w:t>
      </w:r>
      <w:r w:rsidRPr="00817A73">
        <w:t xml:space="preserve"> ekonomicznej Morza Bałtyckiego, wyróżniającym polskie projekty od tych realizowanych w Europie Zachodniej</w:t>
      </w:r>
      <w:r w:rsidR="0008614F">
        <w:t>,</w:t>
      </w:r>
      <w:r w:rsidRPr="00817A73">
        <w:t xml:space="preserve"> jest m.in. odpowiedzialność za budowę przyłącza i wyprowadzenia mocy z morskich farm wiatrowych. Istnieje także duże zróżnicowanie pomiędzy poszczególnymi rozwijanymi obecnie projektami morskich farm wiatrowych w Polsce. Morska energetyka wiatrowa charakteryzuje się dużą zależnością od zmienności głębokości oraz odległości poszczególnych projektów od brzegu. Wpływa to bezpośrednio na długość kabla eksportowego oraz rodzaje fundamentów wykorzystywanych zarówno dla turbin wiatrowych jak i dla stacji elektroenergetycznych.</w:t>
      </w:r>
    </w:p>
    <w:p w14:paraId="670F2D76" w14:textId="7FBB40F4" w:rsidR="00C938B9" w:rsidRDefault="00556988" w:rsidP="00A00FEE">
      <w:pPr>
        <w:spacing w:before="120" w:line="360" w:lineRule="auto"/>
        <w:jc w:val="both"/>
      </w:pPr>
      <w:r>
        <w:rPr>
          <w:b/>
          <w:bCs/>
        </w:rPr>
        <w:t>U</w:t>
      </w:r>
      <w:r w:rsidR="00C938B9" w:rsidRPr="00DF34DE">
        <w:rPr>
          <w:b/>
          <w:bCs/>
        </w:rPr>
        <w:t>zasadniony zwrot z kapitału</w:t>
      </w:r>
      <w:r w:rsidR="00C938B9" w:rsidRPr="00DF34DE">
        <w:t xml:space="preserve"> zaangażowanego w wykonywaną działalność gospodarczą </w:t>
      </w:r>
      <w:r w:rsidR="00ED5118" w:rsidRPr="00DF34DE">
        <w:t>w</w:t>
      </w:r>
      <w:r w:rsidR="00ED5118">
        <w:t> </w:t>
      </w:r>
      <w:r w:rsidR="00C938B9" w:rsidRPr="00DF34DE">
        <w:t>zakresie przygotowania, budowy i eksploatacji morskiej farmy wiatrowej</w:t>
      </w:r>
      <w:r>
        <w:t xml:space="preserve"> wynosi:</w:t>
      </w:r>
    </w:p>
    <w:tbl>
      <w:tblPr>
        <w:tblStyle w:val="Tabela-Siatka"/>
        <w:tblW w:w="0" w:type="auto"/>
        <w:jc w:val="center"/>
        <w:tblLook w:val="04A0" w:firstRow="1" w:lastRow="0" w:firstColumn="1" w:lastColumn="0" w:noHBand="0" w:noVBand="1"/>
      </w:tblPr>
      <w:tblGrid>
        <w:gridCol w:w="2835"/>
        <w:gridCol w:w="1136"/>
        <w:gridCol w:w="1323"/>
      </w:tblGrid>
      <w:tr w:rsidR="009F13FE" w:rsidRPr="009F13FE" w14:paraId="77C02449" w14:textId="77777777" w:rsidTr="00D60727">
        <w:trPr>
          <w:jc w:val="center"/>
        </w:trPr>
        <w:tc>
          <w:tcPr>
            <w:tcW w:w="2835" w:type="dxa"/>
          </w:tcPr>
          <w:p w14:paraId="0C8D6E07" w14:textId="77777777" w:rsidR="009F13FE" w:rsidRPr="009F13FE" w:rsidRDefault="009F13FE" w:rsidP="00B135FC">
            <w:pPr>
              <w:spacing w:line="360" w:lineRule="auto"/>
              <w:jc w:val="both"/>
            </w:pPr>
          </w:p>
        </w:tc>
        <w:tc>
          <w:tcPr>
            <w:tcW w:w="274" w:type="dxa"/>
          </w:tcPr>
          <w:p w14:paraId="28C2BC8A" w14:textId="77777777" w:rsidR="009F13FE" w:rsidRPr="009F13FE" w:rsidRDefault="009F13FE" w:rsidP="00B135FC">
            <w:pPr>
              <w:spacing w:line="360" w:lineRule="auto"/>
              <w:jc w:val="center"/>
            </w:pPr>
            <w:r w:rsidRPr="009F13FE">
              <w:t>jednostka</w:t>
            </w:r>
          </w:p>
        </w:tc>
        <w:tc>
          <w:tcPr>
            <w:tcW w:w="1323" w:type="dxa"/>
          </w:tcPr>
          <w:p w14:paraId="51C7C43C" w14:textId="55907958" w:rsidR="009F13FE" w:rsidRPr="009F13FE" w:rsidRDefault="009F13FE" w:rsidP="00B135FC">
            <w:pPr>
              <w:spacing w:line="360" w:lineRule="auto"/>
              <w:jc w:val="center"/>
            </w:pPr>
            <w:r>
              <w:t>WACC</w:t>
            </w:r>
          </w:p>
        </w:tc>
      </w:tr>
      <w:tr w:rsidR="009F13FE" w:rsidRPr="009F13FE" w14:paraId="29A79610" w14:textId="77777777" w:rsidTr="00D60727">
        <w:trPr>
          <w:jc w:val="center"/>
        </w:trPr>
        <w:tc>
          <w:tcPr>
            <w:tcW w:w="2835" w:type="dxa"/>
          </w:tcPr>
          <w:p w14:paraId="213CF357" w14:textId="77777777" w:rsidR="009F13FE" w:rsidRPr="009F13FE" w:rsidRDefault="009F13FE" w:rsidP="00B135FC">
            <w:pPr>
              <w:spacing w:line="360" w:lineRule="auto"/>
              <w:jc w:val="both"/>
            </w:pPr>
            <w:r w:rsidRPr="009F13FE">
              <w:t>Pre-tax WACC</w:t>
            </w:r>
          </w:p>
        </w:tc>
        <w:tc>
          <w:tcPr>
            <w:tcW w:w="274" w:type="dxa"/>
          </w:tcPr>
          <w:p w14:paraId="3A501CF5" w14:textId="77777777" w:rsidR="009F13FE" w:rsidRPr="009F13FE" w:rsidRDefault="009F13FE" w:rsidP="00B135FC">
            <w:pPr>
              <w:spacing w:line="360" w:lineRule="auto"/>
              <w:jc w:val="center"/>
            </w:pPr>
            <w:r w:rsidRPr="009F13FE">
              <w:t>%</w:t>
            </w:r>
          </w:p>
        </w:tc>
        <w:tc>
          <w:tcPr>
            <w:tcW w:w="1323" w:type="dxa"/>
          </w:tcPr>
          <w:p w14:paraId="2E73C05E" w14:textId="77777777" w:rsidR="009F13FE" w:rsidRPr="009F13FE" w:rsidRDefault="009F13FE" w:rsidP="00B135FC">
            <w:pPr>
              <w:spacing w:line="360" w:lineRule="auto"/>
              <w:jc w:val="center"/>
            </w:pPr>
            <w:r w:rsidRPr="009F13FE">
              <w:t>10,0</w:t>
            </w:r>
          </w:p>
        </w:tc>
      </w:tr>
      <w:tr w:rsidR="009F13FE" w:rsidRPr="009F13FE" w14:paraId="5AC6B193" w14:textId="77777777" w:rsidTr="00D60727">
        <w:trPr>
          <w:jc w:val="center"/>
        </w:trPr>
        <w:tc>
          <w:tcPr>
            <w:tcW w:w="2835" w:type="dxa"/>
          </w:tcPr>
          <w:p w14:paraId="1D34BB55" w14:textId="77777777" w:rsidR="009F13FE" w:rsidRPr="009F13FE" w:rsidRDefault="009F13FE" w:rsidP="00B135FC">
            <w:pPr>
              <w:spacing w:line="360" w:lineRule="auto"/>
              <w:jc w:val="both"/>
            </w:pPr>
            <w:r w:rsidRPr="009F13FE">
              <w:t xml:space="preserve">Post-tax WACC </w:t>
            </w:r>
          </w:p>
        </w:tc>
        <w:tc>
          <w:tcPr>
            <w:tcW w:w="274" w:type="dxa"/>
          </w:tcPr>
          <w:p w14:paraId="0B03655A" w14:textId="77777777" w:rsidR="009F13FE" w:rsidRPr="009F13FE" w:rsidRDefault="009F13FE" w:rsidP="00B135FC">
            <w:pPr>
              <w:spacing w:line="360" w:lineRule="auto"/>
              <w:jc w:val="center"/>
            </w:pPr>
            <w:r w:rsidRPr="009F13FE">
              <w:t>%</w:t>
            </w:r>
          </w:p>
        </w:tc>
        <w:tc>
          <w:tcPr>
            <w:tcW w:w="1323" w:type="dxa"/>
          </w:tcPr>
          <w:p w14:paraId="1C53ED63" w14:textId="77777777" w:rsidR="009F13FE" w:rsidRPr="00B135FC" w:rsidRDefault="009F13FE" w:rsidP="00B135FC">
            <w:pPr>
              <w:spacing w:line="360" w:lineRule="auto"/>
              <w:jc w:val="center"/>
            </w:pPr>
            <w:r w:rsidRPr="00B135FC">
              <w:t>8,10</w:t>
            </w:r>
          </w:p>
        </w:tc>
      </w:tr>
    </w:tbl>
    <w:p w14:paraId="29C96448" w14:textId="0CD2B300" w:rsidR="00A360FD" w:rsidRDefault="009B575B" w:rsidP="006A3FEB">
      <w:pPr>
        <w:spacing w:before="120" w:line="360" w:lineRule="auto"/>
        <w:ind w:firstLine="567"/>
        <w:jc w:val="both"/>
      </w:pPr>
      <w:r w:rsidRPr="009B575B">
        <w:t xml:space="preserve">Przy wyznaczeniu WACC (średnioważony koszt kapitału) wzięto pod uwagę standardowe parametry pozwalające na wyznaczenie tego wskaźnika, takie jak: zdelewarowany wskaźnik beta (odzwierciedla ryzyko operacyjne danej branży), lewarowany wskaźnik beta (odzwierciedla zarówno ryzyko operacyjne, jak i ryzyko finansowe), strukturę finansowania, stopę wolną od ryzyka, premię za ryzyko rynkowe, marżę kapitału obcego, itp. Przy ustalaniu wartości tych parametrów korzystano z uznanych źródeł w sektorze energetycznym, głównie energetyki odnawialnej, w tym m.in. NREL </w:t>
      </w:r>
      <w:r w:rsidRPr="0069740A">
        <w:rPr>
          <w:i/>
          <w:iCs/>
        </w:rPr>
        <w:t>Annual Technology Baseline 2023</w:t>
      </w:r>
      <w:r w:rsidRPr="009B575B">
        <w:t>, prognozy U</w:t>
      </w:r>
      <w:r w:rsidR="0069740A">
        <w:t xml:space="preserve">rzędu </w:t>
      </w:r>
      <w:r w:rsidRPr="009B575B">
        <w:t>R</w:t>
      </w:r>
      <w:r w:rsidR="0069740A">
        <w:t xml:space="preserve">egulacji </w:t>
      </w:r>
      <w:r w:rsidRPr="009B575B">
        <w:t>E</w:t>
      </w:r>
      <w:r w:rsidR="0069740A">
        <w:t>nergetyki</w:t>
      </w:r>
      <w:r w:rsidRPr="009B575B">
        <w:t xml:space="preserve"> oraz </w:t>
      </w:r>
      <w:r w:rsidR="0069740A" w:rsidRPr="0069740A">
        <w:t>Narodow</w:t>
      </w:r>
      <w:r w:rsidR="0069740A">
        <w:t>ego</w:t>
      </w:r>
      <w:r w:rsidR="0069740A" w:rsidRPr="0069740A">
        <w:t xml:space="preserve"> Centrum Analiz Energetycznych</w:t>
      </w:r>
      <w:r w:rsidRPr="009B575B">
        <w:t>, dane NBP, a także dane pozyskane z Polskiego Funduszu Rozwoju i Banku Gospodarstwa Krajowego.</w:t>
      </w:r>
    </w:p>
    <w:p w14:paraId="4880AF05" w14:textId="7733785A" w:rsidR="00EE2132" w:rsidRDefault="00EE2132" w:rsidP="001F16EB">
      <w:pPr>
        <w:spacing w:line="360" w:lineRule="auto"/>
        <w:ind w:firstLine="567"/>
        <w:jc w:val="both"/>
        <w:rPr>
          <w:color w:val="000000"/>
          <w:spacing w:val="-2"/>
        </w:rPr>
      </w:pPr>
      <w:r w:rsidRPr="006A3FEB">
        <w:rPr>
          <w:color w:val="000000"/>
          <w:spacing w:val="-2"/>
        </w:rPr>
        <w:t xml:space="preserve">WACC jest kluczowym wskaźnikiem determinującym wysokość wsparcia. </w:t>
      </w:r>
      <w:r w:rsidR="00E0179F">
        <w:rPr>
          <w:color w:val="000000"/>
          <w:spacing w:val="-2"/>
        </w:rPr>
        <w:t>Z</w:t>
      </w:r>
      <w:r w:rsidR="002601CE" w:rsidRPr="002601CE">
        <w:rPr>
          <w:color w:val="000000"/>
          <w:spacing w:val="-2"/>
        </w:rPr>
        <w:t>miana WACC o 1 pun</w:t>
      </w:r>
      <w:r w:rsidR="00D86578">
        <w:rPr>
          <w:color w:val="000000"/>
          <w:spacing w:val="-2"/>
        </w:rPr>
        <w:t>k</w:t>
      </w:r>
      <w:r w:rsidR="002601CE" w:rsidRPr="002601CE">
        <w:rPr>
          <w:color w:val="000000"/>
          <w:spacing w:val="-2"/>
        </w:rPr>
        <w:t xml:space="preserve">t procentowy </w:t>
      </w:r>
      <w:r w:rsidR="002601CE">
        <w:rPr>
          <w:color w:val="000000"/>
          <w:spacing w:val="-2"/>
        </w:rPr>
        <w:t xml:space="preserve">(p.p.) </w:t>
      </w:r>
      <w:r w:rsidR="002601CE" w:rsidRPr="002601CE">
        <w:rPr>
          <w:color w:val="000000"/>
          <w:spacing w:val="-2"/>
        </w:rPr>
        <w:t xml:space="preserve">przynosi zmianę ceny </w:t>
      </w:r>
      <w:r w:rsidR="002601CE">
        <w:rPr>
          <w:color w:val="000000"/>
          <w:spacing w:val="-2"/>
        </w:rPr>
        <w:t xml:space="preserve">maksymalnej </w:t>
      </w:r>
      <w:r w:rsidR="002601CE" w:rsidRPr="002601CE">
        <w:rPr>
          <w:color w:val="000000"/>
          <w:spacing w:val="-2"/>
        </w:rPr>
        <w:t xml:space="preserve">o około 30-40 </w:t>
      </w:r>
      <w:r w:rsidR="002601CE">
        <w:rPr>
          <w:color w:val="000000"/>
          <w:spacing w:val="-2"/>
        </w:rPr>
        <w:t>PLN</w:t>
      </w:r>
      <w:r w:rsidR="002601CE" w:rsidRPr="002601CE">
        <w:rPr>
          <w:color w:val="000000"/>
          <w:spacing w:val="-2"/>
        </w:rPr>
        <w:t>/MWh</w:t>
      </w:r>
      <w:r w:rsidR="008E1E73">
        <w:rPr>
          <w:color w:val="000000"/>
          <w:spacing w:val="-2"/>
        </w:rPr>
        <w:t xml:space="preserve"> </w:t>
      </w:r>
      <w:r w:rsidR="002601CE" w:rsidRPr="002601CE">
        <w:rPr>
          <w:color w:val="000000"/>
          <w:spacing w:val="-2"/>
        </w:rPr>
        <w:t xml:space="preserve">(7-9 </w:t>
      </w:r>
      <w:r w:rsidR="008D6301">
        <w:rPr>
          <w:color w:val="000000"/>
          <w:spacing w:val="-2"/>
        </w:rPr>
        <w:t>EUR</w:t>
      </w:r>
      <w:r w:rsidR="002601CE" w:rsidRPr="002601CE">
        <w:rPr>
          <w:color w:val="000000"/>
          <w:spacing w:val="-2"/>
        </w:rPr>
        <w:t>/MWh)</w:t>
      </w:r>
      <w:r w:rsidR="008E1E73">
        <w:rPr>
          <w:color w:val="000000"/>
          <w:spacing w:val="-2"/>
        </w:rPr>
        <w:t>.</w:t>
      </w:r>
    </w:p>
    <w:p w14:paraId="57EFA6CC" w14:textId="4838F07A" w:rsidR="00E56B35" w:rsidRPr="00B15187" w:rsidRDefault="00E56B35" w:rsidP="00E56B35">
      <w:pPr>
        <w:spacing w:line="360" w:lineRule="auto"/>
        <w:ind w:firstLine="567"/>
        <w:jc w:val="both"/>
        <w:rPr>
          <w:color w:val="000000"/>
          <w:spacing w:val="-2"/>
        </w:rPr>
      </w:pPr>
      <w:r>
        <w:rPr>
          <w:color w:val="000000"/>
          <w:spacing w:val="-2"/>
        </w:rPr>
        <w:t xml:space="preserve">Założono, że sytuacja makroekonomiczna ustabilizuje się po 2025 r., w związku z czym inflacja będzie stała (2,5% r/r CPI) zarówno w strefie PLN, jak i EUR. </w:t>
      </w:r>
      <w:r w:rsidR="00962E10">
        <w:rPr>
          <w:color w:val="000000"/>
          <w:spacing w:val="-2"/>
        </w:rPr>
        <w:t>Jest to również</w:t>
      </w:r>
      <w:r w:rsidR="00962E10" w:rsidRPr="00962E10">
        <w:rPr>
          <w:color w:val="000000"/>
          <w:spacing w:val="-2"/>
        </w:rPr>
        <w:t xml:space="preserve"> </w:t>
      </w:r>
      <w:r w:rsidR="001E762B">
        <w:rPr>
          <w:color w:val="000000"/>
          <w:spacing w:val="-2"/>
        </w:rPr>
        <w:t xml:space="preserve">ogólnie </w:t>
      </w:r>
      <w:r w:rsidR="00962E10" w:rsidRPr="00962E10">
        <w:rPr>
          <w:color w:val="000000"/>
          <w:spacing w:val="-2"/>
        </w:rPr>
        <w:t>stosowana praktyka</w:t>
      </w:r>
      <w:r w:rsidR="00962E10">
        <w:rPr>
          <w:color w:val="000000"/>
          <w:spacing w:val="-2"/>
        </w:rPr>
        <w:t>,</w:t>
      </w:r>
      <w:r w:rsidR="00962E10" w:rsidRPr="00962E10">
        <w:rPr>
          <w:color w:val="000000"/>
          <w:spacing w:val="-2"/>
        </w:rPr>
        <w:t xml:space="preserve"> </w:t>
      </w:r>
      <w:r w:rsidR="00F36D66">
        <w:rPr>
          <w:color w:val="000000"/>
          <w:spacing w:val="-2"/>
        </w:rPr>
        <w:t xml:space="preserve">gdzie </w:t>
      </w:r>
      <w:r w:rsidR="00962E10" w:rsidRPr="00962E10">
        <w:rPr>
          <w:color w:val="000000"/>
          <w:spacing w:val="-2"/>
        </w:rPr>
        <w:t>w</w:t>
      </w:r>
      <w:r w:rsidR="00F36D66">
        <w:rPr>
          <w:color w:val="000000"/>
          <w:spacing w:val="-2"/>
        </w:rPr>
        <w:t> </w:t>
      </w:r>
      <w:r w:rsidR="00962E10" w:rsidRPr="00962E10">
        <w:rPr>
          <w:color w:val="000000"/>
          <w:spacing w:val="-2"/>
        </w:rPr>
        <w:t>średniej i</w:t>
      </w:r>
      <w:r w:rsidR="00962E10">
        <w:rPr>
          <w:color w:val="000000"/>
          <w:spacing w:val="-2"/>
        </w:rPr>
        <w:t> </w:t>
      </w:r>
      <w:r w:rsidR="00962E10" w:rsidRPr="00962E10">
        <w:rPr>
          <w:color w:val="000000"/>
          <w:spacing w:val="-2"/>
        </w:rPr>
        <w:t xml:space="preserve">dalekiej przyszłości nie zakłada się szoków </w:t>
      </w:r>
      <w:r w:rsidR="00C3472C" w:rsidRPr="00962E10">
        <w:rPr>
          <w:color w:val="000000"/>
          <w:spacing w:val="-2"/>
        </w:rPr>
        <w:t>i</w:t>
      </w:r>
      <w:r w:rsidR="00C3472C">
        <w:rPr>
          <w:color w:val="000000"/>
          <w:spacing w:val="-2"/>
        </w:rPr>
        <w:t> </w:t>
      </w:r>
      <w:r w:rsidR="00962E10" w:rsidRPr="00962E10">
        <w:rPr>
          <w:color w:val="000000"/>
          <w:spacing w:val="-2"/>
        </w:rPr>
        <w:t>kryzysowych sytuacji wpływających na założenia makroekonomiczne.</w:t>
      </w:r>
    </w:p>
    <w:p w14:paraId="046DE15B" w14:textId="3006ABE3" w:rsidR="00C938B9" w:rsidRPr="00DF34DE" w:rsidRDefault="00C938B9" w:rsidP="00E56B35">
      <w:pPr>
        <w:spacing w:line="360" w:lineRule="auto"/>
        <w:ind w:firstLine="567"/>
        <w:jc w:val="both"/>
      </w:pPr>
      <w:r w:rsidRPr="00DF34DE">
        <w:t>Okres amortyzacji – okres amortyzacji podatkowej i księgowej równy zakładanemu okresowi eksploatacji majątku trwałego</w:t>
      </w:r>
      <w:r w:rsidR="003D1F3C">
        <w:t>,</w:t>
      </w:r>
      <w:r w:rsidRPr="00DF34DE">
        <w:t xml:space="preserve"> tj. 25 lat</w:t>
      </w:r>
      <w:r w:rsidR="0029358E">
        <w:t>,</w:t>
      </w:r>
      <w:r w:rsidRPr="00DF34DE">
        <w:t xml:space="preserve"> oraz zgodny z okresem wsparcia określon</w:t>
      </w:r>
      <w:r w:rsidR="001E762B">
        <w:t>ym</w:t>
      </w:r>
      <w:r w:rsidRPr="00DF34DE">
        <w:t xml:space="preserve"> w</w:t>
      </w:r>
      <w:r w:rsidR="006B3947">
        <w:t> </w:t>
      </w:r>
      <w:r w:rsidRPr="00DF34DE">
        <w:t>ustawie</w:t>
      </w:r>
      <w:r w:rsidR="006500A6">
        <w:t>.</w:t>
      </w:r>
    </w:p>
    <w:p w14:paraId="7F3BE2C5" w14:textId="650B186F" w:rsidR="000F22B8" w:rsidRDefault="00C938B9" w:rsidP="00B135FC">
      <w:pPr>
        <w:spacing w:line="360" w:lineRule="auto"/>
        <w:ind w:firstLine="567"/>
        <w:jc w:val="both"/>
        <w:rPr>
          <w:b/>
          <w:bCs/>
          <w:color w:val="000000"/>
          <w:spacing w:val="-2"/>
        </w:rPr>
      </w:pPr>
      <w:r w:rsidRPr="00A64D21">
        <w:rPr>
          <w:color w:val="000000"/>
          <w:spacing w:val="-2"/>
        </w:rPr>
        <w:t>Mając na uwadze powyższe</w:t>
      </w:r>
      <w:r w:rsidR="003D1F3C" w:rsidRPr="00A64D21">
        <w:rPr>
          <w:color w:val="000000"/>
          <w:spacing w:val="-2"/>
        </w:rPr>
        <w:t>,</w:t>
      </w:r>
      <w:r w:rsidRPr="00A64D21">
        <w:rPr>
          <w:color w:val="000000"/>
          <w:spacing w:val="-2"/>
        </w:rPr>
        <w:t xml:space="preserve"> w projekcie rozporządzenia proponuje się, aby</w:t>
      </w:r>
      <w:r w:rsidR="002220B7" w:rsidRPr="00A64D21">
        <w:rPr>
          <w:color w:val="000000"/>
          <w:spacing w:val="-2"/>
        </w:rPr>
        <w:t xml:space="preserve"> </w:t>
      </w:r>
      <w:r w:rsidRPr="00A64D21">
        <w:rPr>
          <w:color w:val="000000"/>
          <w:spacing w:val="-2"/>
        </w:rPr>
        <w:t xml:space="preserve">cena maksymalna </w:t>
      </w:r>
      <w:r w:rsidR="00A64D21" w:rsidRPr="00A64D21">
        <w:rPr>
          <w:color w:val="000000"/>
          <w:spacing w:val="-2"/>
        </w:rPr>
        <w:t xml:space="preserve">wynosiła </w:t>
      </w:r>
      <w:r w:rsidR="00F36D66">
        <w:rPr>
          <w:b/>
          <w:bCs/>
          <w:color w:val="000000"/>
          <w:spacing w:val="-2"/>
        </w:rPr>
        <w:t>4</w:t>
      </w:r>
      <w:r w:rsidR="00960B07">
        <w:rPr>
          <w:b/>
          <w:bCs/>
          <w:color w:val="000000"/>
          <w:spacing w:val="-2"/>
        </w:rPr>
        <w:t>7</w:t>
      </w:r>
      <w:r w:rsidR="000F4E36">
        <w:rPr>
          <w:b/>
          <w:bCs/>
          <w:color w:val="000000"/>
          <w:spacing w:val="-2"/>
        </w:rPr>
        <w:t>1</w:t>
      </w:r>
      <w:r w:rsidR="00960B07">
        <w:rPr>
          <w:b/>
          <w:bCs/>
          <w:color w:val="000000"/>
          <w:spacing w:val="-2"/>
        </w:rPr>
        <w:t>,83</w:t>
      </w:r>
      <w:r w:rsidR="003D1AF6" w:rsidRPr="00A64D21">
        <w:rPr>
          <w:b/>
          <w:bCs/>
          <w:color w:val="000000"/>
          <w:spacing w:val="-2"/>
        </w:rPr>
        <w:t xml:space="preserve"> </w:t>
      </w:r>
      <w:r w:rsidR="006500A6" w:rsidRPr="00A64D21">
        <w:rPr>
          <w:b/>
          <w:bCs/>
          <w:color w:val="000000"/>
          <w:spacing w:val="-2"/>
        </w:rPr>
        <w:t>PLN/MW</w:t>
      </w:r>
      <w:r w:rsidR="00A64D21" w:rsidRPr="00A64D21">
        <w:rPr>
          <w:b/>
          <w:bCs/>
          <w:color w:val="000000"/>
          <w:spacing w:val="-2"/>
        </w:rPr>
        <w:t>h</w:t>
      </w:r>
      <w:r w:rsidR="00EE362C" w:rsidRPr="00A64D21">
        <w:rPr>
          <w:b/>
          <w:bCs/>
          <w:color w:val="000000"/>
          <w:spacing w:val="-2"/>
        </w:rPr>
        <w:t>.</w:t>
      </w:r>
    </w:p>
    <w:p w14:paraId="3197C97D" w14:textId="77777777" w:rsidR="00B135FC" w:rsidRDefault="00B135FC" w:rsidP="00B135FC">
      <w:pPr>
        <w:spacing w:line="360" w:lineRule="auto"/>
        <w:ind w:firstLine="567"/>
        <w:jc w:val="both"/>
        <w:rPr>
          <w:b/>
          <w:bCs/>
          <w:color w:val="000000"/>
          <w:spacing w:val="-2"/>
        </w:rPr>
      </w:pPr>
    </w:p>
    <w:p w14:paraId="0D7EF47C" w14:textId="6F564BBA" w:rsidR="000F22B8" w:rsidRDefault="00216328" w:rsidP="00B135FC">
      <w:pPr>
        <w:spacing w:line="360" w:lineRule="auto"/>
        <w:jc w:val="both"/>
        <w:rPr>
          <w:b/>
          <w:bCs/>
          <w:color w:val="000000"/>
          <w:spacing w:val="-2"/>
        </w:rPr>
      </w:pPr>
      <w:r w:rsidRPr="00B135FC">
        <w:rPr>
          <w:b/>
          <w:bCs/>
          <w:color w:val="000000"/>
          <w:spacing w:val="-2"/>
        </w:rPr>
        <w:t>Zgodność z Krajowym Planem Odbudowy i Zwiększania Odporności</w:t>
      </w:r>
      <w:r w:rsidR="000F22B8">
        <w:rPr>
          <w:b/>
          <w:bCs/>
          <w:color w:val="000000"/>
          <w:spacing w:val="-2"/>
        </w:rPr>
        <w:t>:</w:t>
      </w:r>
    </w:p>
    <w:p w14:paraId="2982FE2B" w14:textId="4097AECB" w:rsidR="00FB006D" w:rsidRDefault="00241CE1" w:rsidP="001B3577">
      <w:pPr>
        <w:spacing w:line="360" w:lineRule="auto"/>
        <w:ind w:firstLine="567"/>
        <w:jc w:val="both"/>
        <w:rPr>
          <w:color w:val="000000"/>
          <w:spacing w:val="-2"/>
        </w:rPr>
      </w:pPr>
      <w:r>
        <w:rPr>
          <w:color w:val="000000"/>
          <w:spacing w:val="-2"/>
        </w:rPr>
        <w:t>Przedmiotow</w:t>
      </w:r>
      <w:r w:rsidR="000F22B8">
        <w:rPr>
          <w:color w:val="000000"/>
          <w:spacing w:val="-2"/>
        </w:rPr>
        <w:t>y projekt</w:t>
      </w:r>
      <w:r>
        <w:rPr>
          <w:color w:val="000000"/>
          <w:spacing w:val="-2"/>
        </w:rPr>
        <w:t xml:space="preserve"> rozporządzeni</w:t>
      </w:r>
      <w:r w:rsidR="000F22B8">
        <w:rPr>
          <w:color w:val="000000"/>
          <w:spacing w:val="-2"/>
        </w:rPr>
        <w:t>a</w:t>
      </w:r>
      <w:r w:rsidR="000600E4" w:rsidRPr="000600E4">
        <w:t xml:space="preserve"> </w:t>
      </w:r>
      <w:r w:rsidR="000600E4" w:rsidRPr="000600E4">
        <w:rPr>
          <w:color w:val="000000"/>
          <w:spacing w:val="-2"/>
        </w:rPr>
        <w:t xml:space="preserve">stanowi realizację kamienia milowego </w:t>
      </w:r>
      <w:r w:rsidR="000600E4">
        <w:rPr>
          <w:color w:val="000000"/>
          <w:spacing w:val="-2"/>
        </w:rPr>
        <w:t>B4L</w:t>
      </w:r>
      <w:r w:rsidR="00B135FC">
        <w:rPr>
          <w:color w:val="000000"/>
          <w:spacing w:val="-2"/>
        </w:rPr>
        <w:t>:</w:t>
      </w:r>
      <w:r w:rsidR="000600E4">
        <w:rPr>
          <w:color w:val="000000"/>
          <w:spacing w:val="-2"/>
        </w:rPr>
        <w:t xml:space="preserve"> </w:t>
      </w:r>
      <w:r w:rsidR="000F22B8">
        <w:rPr>
          <w:color w:val="000000"/>
          <w:spacing w:val="-2"/>
        </w:rPr>
        <w:t>„</w:t>
      </w:r>
      <w:r w:rsidR="000600E4" w:rsidRPr="0019560A">
        <w:rPr>
          <w:color w:val="000000"/>
          <w:spacing w:val="-2"/>
        </w:rPr>
        <w:t xml:space="preserve">Wejście w życie przepisów wykonawczych wynikających z ustawy o </w:t>
      </w:r>
      <w:r w:rsidR="002219AA">
        <w:rPr>
          <w:color w:val="000000"/>
          <w:spacing w:val="-2"/>
        </w:rPr>
        <w:t>promowaniu</w:t>
      </w:r>
      <w:r w:rsidR="000600E4" w:rsidRPr="0019560A">
        <w:rPr>
          <w:color w:val="000000"/>
          <w:spacing w:val="-2"/>
        </w:rPr>
        <w:t xml:space="preserve"> wytwarzania energii elektrycznej w morskich farmach wiatrowych</w:t>
      </w:r>
      <w:r w:rsidR="000F22B8">
        <w:rPr>
          <w:color w:val="000000"/>
          <w:spacing w:val="-2"/>
        </w:rPr>
        <w:t>”</w:t>
      </w:r>
      <w:r w:rsidR="00E2424C">
        <w:rPr>
          <w:color w:val="000000"/>
          <w:spacing w:val="-2"/>
        </w:rPr>
        <w:t xml:space="preserve"> </w:t>
      </w:r>
      <w:r w:rsidR="00E2424C" w:rsidRPr="00E2424C">
        <w:rPr>
          <w:color w:val="000000"/>
          <w:spacing w:val="-2"/>
        </w:rPr>
        <w:t>ujętego w ramach reformy</w:t>
      </w:r>
      <w:r w:rsidR="00E2424C" w:rsidRPr="00E2424C">
        <w:t xml:space="preserve"> </w:t>
      </w:r>
      <w:r w:rsidR="00E2424C" w:rsidRPr="00E2424C">
        <w:rPr>
          <w:color w:val="000000"/>
          <w:spacing w:val="-2"/>
        </w:rPr>
        <w:t>B2.3</w:t>
      </w:r>
      <w:r w:rsidR="00E2424C">
        <w:rPr>
          <w:color w:val="000000"/>
          <w:spacing w:val="-2"/>
        </w:rPr>
        <w:t xml:space="preserve"> </w:t>
      </w:r>
      <w:r w:rsidR="000F22B8">
        <w:rPr>
          <w:color w:val="000000"/>
          <w:spacing w:val="-2"/>
        </w:rPr>
        <w:t>„</w:t>
      </w:r>
      <w:r w:rsidR="00E2424C" w:rsidRPr="00E2424C">
        <w:rPr>
          <w:color w:val="000000"/>
          <w:spacing w:val="-2"/>
        </w:rPr>
        <w:t>Wsparcie inwestycji w obszarze morskich farm wiatrowych</w:t>
      </w:r>
      <w:r w:rsidR="000F22B8">
        <w:rPr>
          <w:color w:val="000000"/>
          <w:spacing w:val="-2"/>
        </w:rPr>
        <w:t>”</w:t>
      </w:r>
      <w:r w:rsidR="00E2424C">
        <w:rPr>
          <w:color w:val="000000"/>
          <w:spacing w:val="-2"/>
        </w:rPr>
        <w:t xml:space="preserve">. </w:t>
      </w:r>
      <w:r w:rsidR="00FB006D" w:rsidRPr="00FB006D">
        <w:rPr>
          <w:color w:val="000000"/>
          <w:spacing w:val="-2"/>
        </w:rPr>
        <w:t>Celem reformy jest zapewnienie skutecznego wdrożenia i dalszego rozwoju morskiej energetyki wiatrowej</w:t>
      </w:r>
      <w:r w:rsidR="00FB006D">
        <w:rPr>
          <w:color w:val="000000"/>
          <w:spacing w:val="-2"/>
        </w:rPr>
        <w:t>.</w:t>
      </w:r>
    </w:p>
    <w:p w14:paraId="169B955C" w14:textId="71C25FF3" w:rsidR="001B3577" w:rsidRPr="001B3577" w:rsidRDefault="001B3577" w:rsidP="001B3577">
      <w:pPr>
        <w:spacing w:line="360" w:lineRule="auto"/>
        <w:ind w:firstLine="567"/>
        <w:jc w:val="both"/>
        <w:rPr>
          <w:color w:val="000000"/>
          <w:spacing w:val="-2"/>
        </w:rPr>
      </w:pPr>
      <w:r w:rsidRPr="001B3577">
        <w:rPr>
          <w:color w:val="000000"/>
          <w:spacing w:val="-2"/>
        </w:rPr>
        <w:t xml:space="preserve">Na kamień milowy </w:t>
      </w:r>
      <w:r w:rsidR="00E039FA">
        <w:rPr>
          <w:color w:val="000000"/>
          <w:spacing w:val="-2"/>
        </w:rPr>
        <w:t xml:space="preserve">B4L </w:t>
      </w:r>
      <w:r w:rsidRPr="001B3577">
        <w:rPr>
          <w:color w:val="000000"/>
          <w:spacing w:val="-2"/>
        </w:rPr>
        <w:t xml:space="preserve">składa się wejście w życie dwóch </w:t>
      </w:r>
      <w:r w:rsidR="00FB006D">
        <w:rPr>
          <w:color w:val="000000"/>
          <w:spacing w:val="-2"/>
        </w:rPr>
        <w:t>rozporządzeń</w:t>
      </w:r>
      <w:r w:rsidRPr="001B3577">
        <w:rPr>
          <w:color w:val="000000"/>
          <w:spacing w:val="-2"/>
        </w:rPr>
        <w:t xml:space="preserve"> </w:t>
      </w:r>
      <w:r w:rsidR="00E039FA">
        <w:rPr>
          <w:color w:val="000000"/>
          <w:spacing w:val="-2"/>
        </w:rPr>
        <w:t>do ustawy</w:t>
      </w:r>
      <w:r w:rsidRPr="001B3577">
        <w:rPr>
          <w:color w:val="000000"/>
          <w:spacing w:val="-2"/>
        </w:rPr>
        <w:t>, tj:</w:t>
      </w:r>
    </w:p>
    <w:p w14:paraId="69BDB5CC" w14:textId="38A68A1F" w:rsidR="001B3577" w:rsidRPr="001B3577" w:rsidRDefault="001B3577" w:rsidP="001B3577">
      <w:pPr>
        <w:spacing w:line="360" w:lineRule="auto"/>
        <w:ind w:firstLine="567"/>
        <w:jc w:val="both"/>
        <w:rPr>
          <w:color w:val="000000"/>
          <w:spacing w:val="-2"/>
        </w:rPr>
      </w:pPr>
      <w:r w:rsidRPr="001B3577">
        <w:rPr>
          <w:color w:val="000000"/>
          <w:spacing w:val="-2"/>
        </w:rPr>
        <w:t>1</w:t>
      </w:r>
      <w:r w:rsidR="00B135FC">
        <w:rPr>
          <w:color w:val="000000"/>
          <w:spacing w:val="-2"/>
        </w:rPr>
        <w:t>)</w:t>
      </w:r>
      <w:r w:rsidRPr="001B3577">
        <w:rPr>
          <w:color w:val="000000"/>
          <w:spacing w:val="-2"/>
        </w:rPr>
        <w:tab/>
      </w:r>
      <w:r w:rsidR="00E039FA">
        <w:rPr>
          <w:color w:val="000000"/>
          <w:spacing w:val="-2"/>
        </w:rPr>
        <w:t>r</w:t>
      </w:r>
      <w:r w:rsidRPr="001B3577">
        <w:rPr>
          <w:color w:val="000000"/>
          <w:spacing w:val="-2"/>
        </w:rPr>
        <w:t>ozporządzenia w sprawie szczegółowych wymagań dla elementów zespołu urządzeń służących do wyprowadzenia mocy oraz dla elementów stacji elektroenergetycznych zlokalizowanych na morzu;</w:t>
      </w:r>
    </w:p>
    <w:p w14:paraId="2DF448F9" w14:textId="680D90EA" w:rsidR="001B3577" w:rsidRPr="001B3577" w:rsidRDefault="001B3577" w:rsidP="001B3577">
      <w:pPr>
        <w:spacing w:line="360" w:lineRule="auto"/>
        <w:ind w:firstLine="567"/>
        <w:jc w:val="both"/>
        <w:rPr>
          <w:color w:val="000000"/>
          <w:spacing w:val="-2"/>
        </w:rPr>
      </w:pPr>
      <w:r w:rsidRPr="001B3577">
        <w:rPr>
          <w:color w:val="000000"/>
          <w:spacing w:val="-2"/>
        </w:rPr>
        <w:t>2</w:t>
      </w:r>
      <w:r w:rsidR="00B135FC">
        <w:rPr>
          <w:color w:val="000000"/>
          <w:spacing w:val="-2"/>
        </w:rPr>
        <w:t>)</w:t>
      </w:r>
      <w:r w:rsidRPr="001B3577">
        <w:rPr>
          <w:color w:val="000000"/>
          <w:spacing w:val="-2"/>
        </w:rPr>
        <w:tab/>
      </w:r>
      <w:r w:rsidR="00E039FA">
        <w:rPr>
          <w:color w:val="000000"/>
          <w:spacing w:val="-2"/>
        </w:rPr>
        <w:t>r</w:t>
      </w:r>
      <w:r w:rsidRPr="001B3577">
        <w:rPr>
          <w:color w:val="000000"/>
          <w:spacing w:val="-2"/>
        </w:rPr>
        <w:t>ozporządzenia w sprawie maksymalnej ceny, wyrażonej w złotych za 1 MWh, jaka może być wskazana w ofertach złożonych w aukcji przez wytwórców.</w:t>
      </w:r>
    </w:p>
    <w:p w14:paraId="660FB10C" w14:textId="2A4441AD" w:rsidR="00FB006D" w:rsidRDefault="001B3577" w:rsidP="000F22B8">
      <w:pPr>
        <w:spacing w:line="360" w:lineRule="auto"/>
        <w:ind w:firstLine="567"/>
        <w:jc w:val="both"/>
        <w:rPr>
          <w:color w:val="000000"/>
          <w:spacing w:val="-2"/>
        </w:rPr>
      </w:pPr>
      <w:r w:rsidRPr="001B3577">
        <w:rPr>
          <w:color w:val="000000"/>
          <w:spacing w:val="-2"/>
        </w:rPr>
        <w:t xml:space="preserve">Pierwsza część kamienia milowego </w:t>
      </w:r>
      <w:r w:rsidR="00B135FC">
        <w:rPr>
          <w:color w:val="000000"/>
          <w:spacing w:val="-2"/>
        </w:rPr>
        <w:t xml:space="preserve">B4L (pkt 1) </w:t>
      </w:r>
      <w:r w:rsidRPr="001B3577">
        <w:rPr>
          <w:color w:val="000000"/>
          <w:spacing w:val="-2"/>
        </w:rPr>
        <w:t>została zrealizowana</w:t>
      </w:r>
      <w:r w:rsidR="00B135FC">
        <w:rPr>
          <w:color w:val="000000"/>
          <w:spacing w:val="-2"/>
        </w:rPr>
        <w:t xml:space="preserve"> - r</w:t>
      </w:r>
      <w:r w:rsidR="00FB006D" w:rsidRPr="00FB006D">
        <w:rPr>
          <w:color w:val="000000"/>
          <w:spacing w:val="-2"/>
        </w:rPr>
        <w:t xml:space="preserve">ozporządzenie Ministra Klimatu i Środowiska </w:t>
      </w:r>
      <w:r w:rsidR="00FB006D">
        <w:rPr>
          <w:color w:val="000000"/>
          <w:spacing w:val="-2"/>
        </w:rPr>
        <w:t xml:space="preserve">z dnia 25 maja 2022 r. </w:t>
      </w:r>
      <w:r w:rsidR="00FB006D" w:rsidRPr="00FB006D">
        <w:rPr>
          <w:color w:val="000000"/>
          <w:spacing w:val="-2"/>
        </w:rPr>
        <w:t>w sprawie szczegółowych wymagań dla elementów zespołu urządzeń służących do wyprowadzenia mocy oraz dla elementów stacji elektroenergetycznych zlokalizowanych na morzu</w:t>
      </w:r>
      <w:r w:rsidR="00FB006D">
        <w:rPr>
          <w:color w:val="000000"/>
          <w:spacing w:val="-2"/>
        </w:rPr>
        <w:t xml:space="preserve"> (</w:t>
      </w:r>
      <w:r w:rsidR="00FB006D" w:rsidRPr="00FB006D">
        <w:rPr>
          <w:color w:val="000000"/>
          <w:spacing w:val="-2"/>
        </w:rPr>
        <w:t>Dz.</w:t>
      </w:r>
      <w:r w:rsidR="00FB006D">
        <w:rPr>
          <w:color w:val="000000"/>
          <w:spacing w:val="-2"/>
        </w:rPr>
        <w:t xml:space="preserve"> </w:t>
      </w:r>
      <w:r w:rsidR="00FB006D" w:rsidRPr="00FB006D">
        <w:rPr>
          <w:color w:val="000000"/>
          <w:spacing w:val="-2"/>
        </w:rPr>
        <w:t>U. z 2022 r. poz. 1257</w:t>
      </w:r>
      <w:r w:rsidR="00FB006D">
        <w:rPr>
          <w:color w:val="000000"/>
          <w:spacing w:val="-2"/>
        </w:rPr>
        <w:t xml:space="preserve">) </w:t>
      </w:r>
      <w:r w:rsidRPr="001B3577">
        <w:rPr>
          <w:color w:val="000000"/>
          <w:spacing w:val="-2"/>
        </w:rPr>
        <w:t xml:space="preserve">weszło w życie 29 czerwca 2022 r. </w:t>
      </w:r>
    </w:p>
    <w:p w14:paraId="4A340A6C" w14:textId="125725A6" w:rsidR="00216328" w:rsidRPr="00B135FC" w:rsidRDefault="00FB006D" w:rsidP="00B135FC">
      <w:pPr>
        <w:pStyle w:val="PKTpunkt"/>
        <w:ind w:left="0" w:firstLine="567"/>
      </w:pPr>
      <w:r>
        <w:rPr>
          <w:color w:val="000000"/>
          <w:spacing w:val="-2"/>
        </w:rPr>
        <w:t>Realizację drugiej części kamienia milowego</w:t>
      </w:r>
      <w:r w:rsidR="00B135FC">
        <w:rPr>
          <w:color w:val="000000"/>
          <w:spacing w:val="-2"/>
        </w:rPr>
        <w:t xml:space="preserve"> (pkt 2)</w:t>
      </w:r>
      <w:r>
        <w:rPr>
          <w:color w:val="000000"/>
          <w:spacing w:val="-2"/>
        </w:rPr>
        <w:t xml:space="preserve"> stanowi przedmiotowy projekt rozporządzenia. Maksymalna cena,</w:t>
      </w:r>
      <w:r w:rsidR="00241CE1">
        <w:rPr>
          <w:color w:val="000000"/>
          <w:spacing w:val="-2"/>
        </w:rPr>
        <w:t xml:space="preserve"> </w:t>
      </w:r>
      <w:r w:rsidR="00B135FC">
        <w:rPr>
          <w:color w:val="000000"/>
          <w:spacing w:val="-2"/>
        </w:rPr>
        <w:t xml:space="preserve">określona </w:t>
      </w:r>
      <w:r w:rsidR="00241CE1">
        <w:rPr>
          <w:color w:val="000000"/>
          <w:spacing w:val="-2"/>
        </w:rPr>
        <w:t xml:space="preserve">w </w:t>
      </w:r>
      <w:r w:rsidR="00241CE1" w:rsidRPr="00241CE1">
        <w:rPr>
          <w:color w:val="000000"/>
          <w:spacing w:val="-2"/>
        </w:rPr>
        <w:t>§ 1</w:t>
      </w:r>
      <w:r w:rsidR="00241CE1">
        <w:rPr>
          <w:color w:val="000000"/>
          <w:spacing w:val="-2"/>
        </w:rPr>
        <w:t xml:space="preserve"> </w:t>
      </w:r>
      <w:r>
        <w:rPr>
          <w:color w:val="000000"/>
          <w:spacing w:val="-2"/>
        </w:rPr>
        <w:t>projektu,</w:t>
      </w:r>
      <w:r w:rsidR="00241CE1">
        <w:rPr>
          <w:color w:val="000000"/>
          <w:spacing w:val="-2"/>
        </w:rPr>
        <w:t xml:space="preserve"> </w:t>
      </w:r>
      <w:r w:rsidR="002219AA">
        <w:rPr>
          <w:color w:val="000000"/>
          <w:spacing w:val="-2"/>
        </w:rPr>
        <w:t xml:space="preserve">przełoży się na </w:t>
      </w:r>
      <w:r w:rsidR="00C3472C">
        <w:rPr>
          <w:color w:val="000000"/>
          <w:spacing w:val="-2"/>
        </w:rPr>
        <w:t xml:space="preserve">zwiększenie efektywności </w:t>
      </w:r>
      <w:r w:rsidR="002219AA" w:rsidRPr="002219AA">
        <w:rPr>
          <w:color w:val="000000"/>
          <w:spacing w:val="-2"/>
        </w:rPr>
        <w:t xml:space="preserve">procesu inwestycyjnego w zakresie morskich farm wiatrowych. </w:t>
      </w:r>
      <w:r w:rsidR="00C3472C" w:rsidRPr="000D29A0">
        <w:t>Zgodnie z art. 31 ust. 1</w:t>
      </w:r>
      <w:r w:rsidR="00C3472C">
        <w:t>0</w:t>
      </w:r>
      <w:r w:rsidR="00C3472C" w:rsidRPr="000D29A0">
        <w:t xml:space="preserve"> ustawy, maksymalna cena została ustalona na poziomie umożliwiającym realizację inwestycji w zakresie budowy morskich farm wiatrowych, z</w:t>
      </w:r>
      <w:r w:rsidR="00C3472C">
        <w:t> </w:t>
      </w:r>
      <w:r w:rsidR="00C3472C" w:rsidRPr="000D29A0">
        <w:t>uwzględnieniem istotnych parametrów technicznych i ekonomicznych funkcjonowania morskich farm wiatrowych oraz mając na uwadze konieczność uniknięcia nadmiernego obciążenia odbiorców końcowych.</w:t>
      </w:r>
      <w:r w:rsidR="00C3472C">
        <w:t xml:space="preserve"> </w:t>
      </w:r>
      <w:r w:rsidR="002219AA">
        <w:rPr>
          <w:color w:val="000000"/>
          <w:spacing w:val="-2"/>
        </w:rPr>
        <w:t xml:space="preserve">Realizacja projektów morskich farm wiatrowych </w:t>
      </w:r>
      <w:r w:rsidR="00711681">
        <w:rPr>
          <w:color w:val="000000"/>
          <w:spacing w:val="-2"/>
        </w:rPr>
        <w:t xml:space="preserve">przyczyni się </w:t>
      </w:r>
      <w:r w:rsidR="006D4486">
        <w:rPr>
          <w:color w:val="000000"/>
          <w:spacing w:val="-2"/>
        </w:rPr>
        <w:t xml:space="preserve">również </w:t>
      </w:r>
      <w:r w:rsidR="00711681">
        <w:rPr>
          <w:color w:val="000000"/>
          <w:spacing w:val="-2"/>
        </w:rPr>
        <w:t>do zwiększenia</w:t>
      </w:r>
      <w:r w:rsidR="002219AA" w:rsidRPr="002219AA">
        <w:rPr>
          <w:color w:val="000000"/>
          <w:spacing w:val="-2"/>
        </w:rPr>
        <w:t xml:space="preserve"> udziału </w:t>
      </w:r>
      <w:r w:rsidR="00711681">
        <w:rPr>
          <w:color w:val="000000"/>
          <w:spacing w:val="-2"/>
        </w:rPr>
        <w:t xml:space="preserve">odnawialnych źródeł energii </w:t>
      </w:r>
      <w:r w:rsidR="002219AA" w:rsidRPr="002219AA">
        <w:rPr>
          <w:color w:val="000000"/>
          <w:spacing w:val="-2"/>
        </w:rPr>
        <w:t>w krajowym miksie energetycznym</w:t>
      </w:r>
      <w:r w:rsidR="00C3472C">
        <w:rPr>
          <w:color w:val="000000"/>
          <w:spacing w:val="-2"/>
        </w:rPr>
        <w:t>.</w:t>
      </w:r>
    </w:p>
    <w:p w14:paraId="6C2B2311" w14:textId="77777777" w:rsidR="00216328" w:rsidRDefault="00216328" w:rsidP="002220B7">
      <w:pPr>
        <w:spacing w:line="360" w:lineRule="auto"/>
        <w:ind w:firstLine="567"/>
        <w:jc w:val="both"/>
        <w:rPr>
          <w:b/>
          <w:bCs/>
          <w:color w:val="000000"/>
          <w:spacing w:val="-2"/>
        </w:rPr>
      </w:pPr>
    </w:p>
    <w:p w14:paraId="4D0CF3AD" w14:textId="5326133D" w:rsidR="003D627C" w:rsidRDefault="007C63FF" w:rsidP="006D4486">
      <w:pPr>
        <w:pStyle w:val="PKTpunkt"/>
        <w:ind w:left="0" w:firstLine="567"/>
      </w:pPr>
      <w:r>
        <w:t>Projektowane rozporządzenie wejdzie w życie po upływie 14 dni od dnia ogłoszenia.</w:t>
      </w:r>
      <w:r w:rsidR="006D4486" w:rsidDel="006D4486">
        <w:t xml:space="preserve"> </w:t>
      </w:r>
    </w:p>
    <w:p w14:paraId="1FF29058" w14:textId="0FB15115" w:rsidR="005F55BC" w:rsidRDefault="00542444" w:rsidP="006701D0">
      <w:pPr>
        <w:widowControl w:val="0"/>
        <w:autoSpaceDE w:val="0"/>
        <w:autoSpaceDN w:val="0"/>
        <w:adjustRightInd w:val="0"/>
        <w:spacing w:line="360" w:lineRule="auto"/>
        <w:ind w:firstLine="567"/>
        <w:jc w:val="both"/>
        <w:rPr>
          <w:rFonts w:ascii="Times" w:eastAsiaTheme="minorEastAsia" w:hAnsi="Times" w:cs="Arial"/>
          <w:bCs/>
          <w:szCs w:val="20"/>
        </w:rPr>
      </w:pPr>
      <w:r w:rsidRPr="00542444">
        <w:rPr>
          <w:rFonts w:ascii="Times" w:eastAsiaTheme="minorEastAsia" w:hAnsi="Times" w:cs="Arial"/>
          <w:bCs/>
          <w:szCs w:val="20"/>
        </w:rPr>
        <w:t>Projektowane przepisy zostały przeanalizowane pod kątem wpływu na mikro</w:t>
      </w:r>
      <w:r>
        <w:rPr>
          <w:rFonts w:ascii="Times" w:eastAsiaTheme="minorEastAsia" w:hAnsi="Times" w:cs="Arial"/>
          <w:bCs/>
          <w:szCs w:val="20"/>
        </w:rPr>
        <w:t>-</w:t>
      </w:r>
      <w:r w:rsidRPr="00542444">
        <w:rPr>
          <w:rFonts w:ascii="Times" w:eastAsiaTheme="minorEastAsia" w:hAnsi="Times" w:cs="Arial"/>
          <w:bCs/>
          <w:szCs w:val="20"/>
        </w:rPr>
        <w:t>, małe i</w:t>
      </w:r>
      <w:r w:rsidR="005F55BC">
        <w:rPr>
          <w:rFonts w:ascii="Times" w:eastAsiaTheme="minorEastAsia" w:hAnsi="Times" w:cs="Arial"/>
          <w:bCs/>
          <w:szCs w:val="20"/>
        </w:rPr>
        <w:t> </w:t>
      </w:r>
      <w:r w:rsidRPr="00542444">
        <w:rPr>
          <w:rFonts w:ascii="Times" w:eastAsiaTheme="minorEastAsia" w:hAnsi="Times" w:cs="Arial"/>
          <w:bCs/>
          <w:szCs w:val="20"/>
        </w:rPr>
        <w:t xml:space="preserve">średnie przedsiębiorstwa. Regulacje zawarte w projekcie rozporządzenia nie będą miały negatywnego wpływu na ich funkcjonowanie. </w:t>
      </w:r>
    </w:p>
    <w:p w14:paraId="50B8FA84" w14:textId="49AD7F1E" w:rsidR="00FF2D07" w:rsidRPr="000D29A0" w:rsidRDefault="00FF2D07" w:rsidP="006701D0">
      <w:pPr>
        <w:widowControl w:val="0"/>
        <w:autoSpaceDE w:val="0"/>
        <w:autoSpaceDN w:val="0"/>
        <w:adjustRightInd w:val="0"/>
        <w:spacing w:line="360" w:lineRule="auto"/>
        <w:ind w:firstLine="567"/>
        <w:jc w:val="both"/>
        <w:rPr>
          <w:rFonts w:eastAsiaTheme="minorEastAsia" w:cs="Arial"/>
          <w:szCs w:val="20"/>
        </w:rPr>
      </w:pPr>
      <w:r w:rsidRPr="000D29A0">
        <w:rPr>
          <w:rFonts w:eastAsiaTheme="minorEastAsia" w:cs="Arial"/>
          <w:szCs w:val="20"/>
        </w:rPr>
        <w:t>Projekt rozporządzenia jest zgodny z przepisami Unii Europejskiej.</w:t>
      </w:r>
    </w:p>
    <w:p w14:paraId="636F6E52" w14:textId="1CA7E577" w:rsidR="00FF2D07" w:rsidRPr="000D29A0" w:rsidRDefault="00FF2D07" w:rsidP="006701D0">
      <w:pPr>
        <w:widowControl w:val="0"/>
        <w:autoSpaceDE w:val="0"/>
        <w:autoSpaceDN w:val="0"/>
        <w:adjustRightInd w:val="0"/>
        <w:spacing w:line="360" w:lineRule="auto"/>
        <w:ind w:firstLine="567"/>
        <w:jc w:val="both"/>
        <w:rPr>
          <w:rFonts w:eastAsiaTheme="minorEastAsia" w:cs="Arial"/>
          <w:szCs w:val="20"/>
        </w:rPr>
      </w:pPr>
      <w:r w:rsidRPr="000D29A0">
        <w:rPr>
          <w:rFonts w:eastAsiaTheme="minorEastAsia" w:cs="Arial"/>
          <w:szCs w:val="20"/>
        </w:rPr>
        <w:t xml:space="preserve">Projekt rozporządzenia nie podlega procedurze notyfikacji w rozumieniu przepisów rozporządzenia Rady Ministrów z dnia 23 grudnia 2002 r. w sprawie sposobu funkcjonowania krajowego systemu notyfikacji norm i aktów prawnych </w:t>
      </w:r>
      <w:r w:rsidR="00FE5F47" w:rsidRPr="000D29A0">
        <w:rPr>
          <w:rFonts w:eastAsiaTheme="minorEastAsia" w:cs="Arial"/>
          <w:szCs w:val="20"/>
        </w:rPr>
        <w:t>(</w:t>
      </w:r>
      <w:r w:rsidR="005F55BC" w:rsidRPr="005F55BC">
        <w:rPr>
          <w:rFonts w:eastAsiaTheme="minorEastAsia" w:cs="Arial"/>
          <w:szCs w:val="20"/>
        </w:rPr>
        <w:t>Dz. U. poz. 2039, z późn. zm.</w:t>
      </w:r>
      <w:r w:rsidR="00FE5F47" w:rsidRPr="000D29A0">
        <w:rPr>
          <w:rFonts w:eastAsiaTheme="minorEastAsia" w:cs="Arial"/>
          <w:szCs w:val="20"/>
        </w:rPr>
        <w:t>)</w:t>
      </w:r>
      <w:r w:rsidRPr="000D29A0">
        <w:rPr>
          <w:rFonts w:eastAsiaTheme="minorEastAsia" w:cs="Arial"/>
          <w:szCs w:val="20"/>
        </w:rPr>
        <w:t>.</w:t>
      </w:r>
    </w:p>
    <w:p w14:paraId="6E7B0FF7" w14:textId="20E4E718" w:rsidR="000C0D98" w:rsidRPr="0014567D" w:rsidRDefault="005F55BC" w:rsidP="00AA1262">
      <w:pPr>
        <w:widowControl w:val="0"/>
        <w:autoSpaceDE w:val="0"/>
        <w:autoSpaceDN w:val="0"/>
        <w:adjustRightInd w:val="0"/>
        <w:spacing w:line="360" w:lineRule="auto"/>
        <w:ind w:firstLine="567"/>
        <w:jc w:val="both"/>
        <w:rPr>
          <w:rFonts w:eastAsiaTheme="minorEastAsia" w:cs="Arial"/>
          <w:szCs w:val="20"/>
        </w:rPr>
      </w:pPr>
      <w:r w:rsidRPr="005F55BC">
        <w:rPr>
          <w:rFonts w:eastAsiaTheme="minorEastAsia" w:cs="Arial"/>
          <w:szCs w:val="20"/>
        </w:rPr>
        <w:t>Projekt rozporządzenia nie podlega przedstawieniu właściwym organom i instytucjom Unii Europejskiej, w tym Europejskiemu Bankowi Centralnemu, zgodnie z § 27 ust. 4 uchwały nr 190 Rady Ministrów z dnia 29 października 2013 r. – Regulamin pracy Rady Ministrów (M.</w:t>
      </w:r>
      <w:r>
        <w:rPr>
          <w:rFonts w:eastAsiaTheme="minorEastAsia" w:cs="Arial"/>
          <w:szCs w:val="20"/>
        </w:rPr>
        <w:t> </w:t>
      </w:r>
      <w:r w:rsidRPr="005F55BC">
        <w:rPr>
          <w:rFonts w:eastAsiaTheme="minorEastAsia" w:cs="Arial"/>
          <w:szCs w:val="20"/>
        </w:rPr>
        <w:t>P. z 2022 r. poz. 348).</w:t>
      </w:r>
      <w:r w:rsidR="00346208">
        <w:rPr>
          <w:rFonts w:eastAsiaTheme="minorEastAsia" w:cs="Arial"/>
          <w:szCs w:val="20"/>
        </w:rPr>
        <w:t xml:space="preserve"> </w:t>
      </w:r>
    </w:p>
    <w:sectPr w:rsidR="000C0D98" w:rsidRPr="0014567D" w:rsidSect="001A7F1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A733A" w14:textId="77777777" w:rsidR="00A34762" w:rsidRDefault="00A34762">
      <w:r>
        <w:separator/>
      </w:r>
    </w:p>
  </w:endnote>
  <w:endnote w:type="continuationSeparator" w:id="0">
    <w:p w14:paraId="553174E6" w14:textId="77777777" w:rsidR="00A34762" w:rsidRDefault="00A34762">
      <w:r>
        <w:continuationSeparator/>
      </w:r>
    </w:p>
  </w:endnote>
  <w:endnote w:type="continuationNotice" w:id="1">
    <w:p w14:paraId="74E148D1" w14:textId="77777777" w:rsidR="00A34762" w:rsidRDefault="00A34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0B11" w14:textId="77777777" w:rsidR="00192DA8" w:rsidRDefault="00192D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D9DA" w14:textId="77777777" w:rsidR="00192DA8" w:rsidRDefault="00192D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ABEA" w14:textId="77777777" w:rsidR="00192DA8" w:rsidRDefault="00192D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4446A" w14:textId="77777777" w:rsidR="00A34762" w:rsidRDefault="00A34762">
      <w:r>
        <w:separator/>
      </w:r>
    </w:p>
  </w:footnote>
  <w:footnote w:type="continuationSeparator" w:id="0">
    <w:p w14:paraId="54F83B8D" w14:textId="77777777" w:rsidR="00A34762" w:rsidRDefault="00A34762">
      <w:r>
        <w:continuationSeparator/>
      </w:r>
    </w:p>
  </w:footnote>
  <w:footnote w:type="continuationNotice" w:id="1">
    <w:p w14:paraId="032FA1B1" w14:textId="77777777" w:rsidR="00A34762" w:rsidRDefault="00A34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E724" w14:textId="77777777" w:rsidR="00192DA8" w:rsidRDefault="00192D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AC64" w14:textId="440782E7" w:rsidR="00EE362C" w:rsidRPr="00B371CC" w:rsidRDefault="00EE362C" w:rsidP="00B371CC">
    <w:pPr>
      <w:pStyle w:val="Nagwek"/>
      <w:jc w:val="center"/>
    </w:pPr>
    <w:r>
      <w:t xml:space="preserve">– </w:t>
    </w:r>
    <w:r>
      <w:fldChar w:fldCharType="begin"/>
    </w:r>
    <w:r>
      <w:instrText xml:space="preserve"> PAGE  \* MERGEFORMAT </w:instrText>
    </w:r>
    <w:r>
      <w:fldChar w:fldCharType="separate"/>
    </w:r>
    <w:r w:rsidR="007B0DFC">
      <w:rPr>
        <w:noProof/>
      </w:rPr>
      <w:t>2</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5A69" w14:textId="77777777" w:rsidR="00192DA8" w:rsidRDefault="00192D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19C"/>
    <w:multiLevelType w:val="hybridMultilevel"/>
    <w:tmpl w:val="ED461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7A6DB4"/>
    <w:multiLevelType w:val="multilevel"/>
    <w:tmpl w:val="C2AE2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C42F02"/>
    <w:multiLevelType w:val="hybridMultilevel"/>
    <w:tmpl w:val="F184E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213DF"/>
    <w:multiLevelType w:val="hybridMultilevel"/>
    <w:tmpl w:val="0E6E0A16"/>
    <w:lvl w:ilvl="0" w:tplc="04150001">
      <w:start w:val="1"/>
      <w:numFmt w:val="bullet"/>
      <w:lvlText w:val=""/>
      <w:lvlJc w:val="left"/>
      <w:pPr>
        <w:tabs>
          <w:tab w:val="num" w:pos="720"/>
        </w:tabs>
        <w:ind w:left="720" w:hanging="360"/>
      </w:pPr>
      <w:rPr>
        <w:rFonts w:ascii="Symbol" w:hAnsi="Symbol" w:hint="default"/>
      </w:rPr>
    </w:lvl>
    <w:lvl w:ilvl="1" w:tplc="A02C2E42">
      <w:numFmt w:val="none"/>
      <w:lvlText w:val=""/>
      <w:lvlJc w:val="left"/>
      <w:pPr>
        <w:tabs>
          <w:tab w:val="num" w:pos="360"/>
        </w:tabs>
      </w:pPr>
    </w:lvl>
    <w:lvl w:ilvl="2" w:tplc="05A4DA88" w:tentative="1">
      <w:start w:val="1"/>
      <w:numFmt w:val="bullet"/>
      <w:lvlText w:val="•"/>
      <w:lvlJc w:val="left"/>
      <w:pPr>
        <w:tabs>
          <w:tab w:val="num" w:pos="2160"/>
        </w:tabs>
        <w:ind w:left="2160" w:hanging="360"/>
      </w:pPr>
      <w:rPr>
        <w:rFonts w:ascii="Times New Roman" w:hAnsi="Times New Roman" w:hint="default"/>
      </w:rPr>
    </w:lvl>
    <w:lvl w:ilvl="3" w:tplc="2002516A" w:tentative="1">
      <w:start w:val="1"/>
      <w:numFmt w:val="bullet"/>
      <w:lvlText w:val="•"/>
      <w:lvlJc w:val="left"/>
      <w:pPr>
        <w:tabs>
          <w:tab w:val="num" w:pos="2880"/>
        </w:tabs>
        <w:ind w:left="2880" w:hanging="360"/>
      </w:pPr>
      <w:rPr>
        <w:rFonts w:ascii="Times New Roman" w:hAnsi="Times New Roman" w:hint="default"/>
      </w:rPr>
    </w:lvl>
    <w:lvl w:ilvl="4" w:tplc="B08ED064" w:tentative="1">
      <w:start w:val="1"/>
      <w:numFmt w:val="bullet"/>
      <w:lvlText w:val="•"/>
      <w:lvlJc w:val="left"/>
      <w:pPr>
        <w:tabs>
          <w:tab w:val="num" w:pos="3600"/>
        </w:tabs>
        <w:ind w:left="3600" w:hanging="360"/>
      </w:pPr>
      <w:rPr>
        <w:rFonts w:ascii="Times New Roman" w:hAnsi="Times New Roman" w:hint="default"/>
      </w:rPr>
    </w:lvl>
    <w:lvl w:ilvl="5" w:tplc="0CF0998A" w:tentative="1">
      <w:start w:val="1"/>
      <w:numFmt w:val="bullet"/>
      <w:lvlText w:val="•"/>
      <w:lvlJc w:val="left"/>
      <w:pPr>
        <w:tabs>
          <w:tab w:val="num" w:pos="4320"/>
        </w:tabs>
        <w:ind w:left="4320" w:hanging="360"/>
      </w:pPr>
      <w:rPr>
        <w:rFonts w:ascii="Times New Roman" w:hAnsi="Times New Roman" w:hint="default"/>
      </w:rPr>
    </w:lvl>
    <w:lvl w:ilvl="6" w:tplc="F0848326" w:tentative="1">
      <w:start w:val="1"/>
      <w:numFmt w:val="bullet"/>
      <w:lvlText w:val="•"/>
      <w:lvlJc w:val="left"/>
      <w:pPr>
        <w:tabs>
          <w:tab w:val="num" w:pos="5040"/>
        </w:tabs>
        <w:ind w:left="5040" w:hanging="360"/>
      </w:pPr>
      <w:rPr>
        <w:rFonts w:ascii="Times New Roman" w:hAnsi="Times New Roman" w:hint="default"/>
      </w:rPr>
    </w:lvl>
    <w:lvl w:ilvl="7" w:tplc="D188E198" w:tentative="1">
      <w:start w:val="1"/>
      <w:numFmt w:val="bullet"/>
      <w:lvlText w:val="•"/>
      <w:lvlJc w:val="left"/>
      <w:pPr>
        <w:tabs>
          <w:tab w:val="num" w:pos="5760"/>
        </w:tabs>
        <w:ind w:left="5760" w:hanging="360"/>
      </w:pPr>
      <w:rPr>
        <w:rFonts w:ascii="Times New Roman" w:hAnsi="Times New Roman" w:hint="default"/>
      </w:rPr>
    </w:lvl>
    <w:lvl w:ilvl="8" w:tplc="FEC471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B2A48"/>
    <w:multiLevelType w:val="hybridMultilevel"/>
    <w:tmpl w:val="6D70CF6C"/>
    <w:lvl w:ilvl="0" w:tplc="04150011">
      <w:start w:val="1"/>
      <w:numFmt w:val="decimal"/>
      <w:lvlText w:val="%1)"/>
      <w:lvlJc w:val="left"/>
      <w:pPr>
        <w:tabs>
          <w:tab w:val="num" w:pos="720"/>
        </w:tabs>
        <w:ind w:left="720" w:hanging="360"/>
      </w:pPr>
    </w:lvl>
    <w:lvl w:ilvl="1" w:tplc="84CE589C">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F0276C"/>
    <w:multiLevelType w:val="hybridMultilevel"/>
    <w:tmpl w:val="7D92D3C0"/>
    <w:lvl w:ilvl="0" w:tplc="046AD4D0">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AB29B2"/>
    <w:multiLevelType w:val="hybridMultilevel"/>
    <w:tmpl w:val="972AD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F760D9"/>
    <w:multiLevelType w:val="hybridMultilevel"/>
    <w:tmpl w:val="B5843F86"/>
    <w:lvl w:ilvl="0" w:tplc="7C9018F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B4F6443"/>
    <w:multiLevelType w:val="hybridMultilevel"/>
    <w:tmpl w:val="E9528660"/>
    <w:lvl w:ilvl="0" w:tplc="7C9018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48355E"/>
    <w:multiLevelType w:val="hybridMultilevel"/>
    <w:tmpl w:val="4F34F118"/>
    <w:lvl w:ilvl="0" w:tplc="EB4ECD7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5B6C6E"/>
    <w:multiLevelType w:val="hybridMultilevel"/>
    <w:tmpl w:val="E9FC0EAA"/>
    <w:lvl w:ilvl="0" w:tplc="7318030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4C30DF"/>
    <w:multiLevelType w:val="hybridMultilevel"/>
    <w:tmpl w:val="359646F0"/>
    <w:lvl w:ilvl="0" w:tplc="7318030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3064F"/>
    <w:multiLevelType w:val="hybridMultilevel"/>
    <w:tmpl w:val="8794D9B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4CE7244"/>
    <w:multiLevelType w:val="hybridMultilevel"/>
    <w:tmpl w:val="E3CA70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1D580F"/>
    <w:multiLevelType w:val="hybridMultilevel"/>
    <w:tmpl w:val="FD38F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D6CED"/>
    <w:multiLevelType w:val="hybridMultilevel"/>
    <w:tmpl w:val="23C8192C"/>
    <w:lvl w:ilvl="0" w:tplc="7C9018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030C89"/>
    <w:multiLevelType w:val="hybridMultilevel"/>
    <w:tmpl w:val="1E82C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F116C"/>
    <w:multiLevelType w:val="hybridMultilevel"/>
    <w:tmpl w:val="F0521CA0"/>
    <w:lvl w:ilvl="0" w:tplc="00A411D8">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19" w15:restartNumberingAfterBreak="0">
    <w:nsid w:val="4AD1750B"/>
    <w:multiLevelType w:val="hybridMultilevel"/>
    <w:tmpl w:val="1382B04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EF3B05"/>
    <w:multiLevelType w:val="hybridMultilevel"/>
    <w:tmpl w:val="13642E2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D144190"/>
    <w:multiLevelType w:val="hybridMultilevel"/>
    <w:tmpl w:val="B8FC3666"/>
    <w:lvl w:ilvl="0" w:tplc="3224E818">
      <w:start w:val="1"/>
      <w:numFmt w:val="lowerLetter"/>
      <w:lvlText w:val="%1)"/>
      <w:lvlJc w:val="left"/>
      <w:pPr>
        <w:tabs>
          <w:tab w:val="num" w:pos="720"/>
        </w:tabs>
        <w:ind w:left="720" w:hanging="360"/>
      </w:pPr>
      <w:rPr>
        <w:rFonts w:ascii="Times New Roman" w:eastAsia="Calibri" w:hAnsi="Times New Roman" w:cs="Times New Roman"/>
        <w:b/>
        <w:bCs/>
      </w:rPr>
    </w:lvl>
    <w:lvl w:ilvl="1" w:tplc="7144A23A">
      <w:numFmt w:val="none"/>
      <w:lvlText w:val=""/>
      <w:lvlJc w:val="left"/>
      <w:pPr>
        <w:tabs>
          <w:tab w:val="num" w:pos="360"/>
        </w:tabs>
      </w:pPr>
    </w:lvl>
    <w:lvl w:ilvl="2" w:tplc="021AEBA4">
      <w:start w:val="1"/>
      <w:numFmt w:val="bullet"/>
      <w:lvlText w:val="•"/>
      <w:lvlJc w:val="left"/>
      <w:pPr>
        <w:tabs>
          <w:tab w:val="num" w:pos="2160"/>
        </w:tabs>
        <w:ind w:left="2160" w:hanging="360"/>
      </w:pPr>
      <w:rPr>
        <w:rFonts w:ascii="Times New Roman" w:hAnsi="Times New Roman" w:hint="default"/>
      </w:rPr>
    </w:lvl>
    <w:lvl w:ilvl="3" w:tplc="74EA9402" w:tentative="1">
      <w:start w:val="1"/>
      <w:numFmt w:val="bullet"/>
      <w:lvlText w:val="•"/>
      <w:lvlJc w:val="left"/>
      <w:pPr>
        <w:tabs>
          <w:tab w:val="num" w:pos="2880"/>
        </w:tabs>
        <w:ind w:left="2880" w:hanging="360"/>
      </w:pPr>
      <w:rPr>
        <w:rFonts w:ascii="Times New Roman" w:hAnsi="Times New Roman" w:hint="default"/>
      </w:rPr>
    </w:lvl>
    <w:lvl w:ilvl="4" w:tplc="8814DB76" w:tentative="1">
      <w:start w:val="1"/>
      <w:numFmt w:val="bullet"/>
      <w:lvlText w:val="•"/>
      <w:lvlJc w:val="left"/>
      <w:pPr>
        <w:tabs>
          <w:tab w:val="num" w:pos="3600"/>
        </w:tabs>
        <w:ind w:left="3600" w:hanging="360"/>
      </w:pPr>
      <w:rPr>
        <w:rFonts w:ascii="Times New Roman" w:hAnsi="Times New Roman" w:hint="default"/>
      </w:rPr>
    </w:lvl>
    <w:lvl w:ilvl="5" w:tplc="ED06B612" w:tentative="1">
      <w:start w:val="1"/>
      <w:numFmt w:val="bullet"/>
      <w:lvlText w:val="•"/>
      <w:lvlJc w:val="left"/>
      <w:pPr>
        <w:tabs>
          <w:tab w:val="num" w:pos="4320"/>
        </w:tabs>
        <w:ind w:left="4320" w:hanging="360"/>
      </w:pPr>
      <w:rPr>
        <w:rFonts w:ascii="Times New Roman" w:hAnsi="Times New Roman" w:hint="default"/>
      </w:rPr>
    </w:lvl>
    <w:lvl w:ilvl="6" w:tplc="56B61C58" w:tentative="1">
      <w:start w:val="1"/>
      <w:numFmt w:val="bullet"/>
      <w:lvlText w:val="•"/>
      <w:lvlJc w:val="left"/>
      <w:pPr>
        <w:tabs>
          <w:tab w:val="num" w:pos="5040"/>
        </w:tabs>
        <w:ind w:left="5040" w:hanging="360"/>
      </w:pPr>
      <w:rPr>
        <w:rFonts w:ascii="Times New Roman" w:hAnsi="Times New Roman" w:hint="default"/>
      </w:rPr>
    </w:lvl>
    <w:lvl w:ilvl="7" w:tplc="C630CD88" w:tentative="1">
      <w:start w:val="1"/>
      <w:numFmt w:val="bullet"/>
      <w:lvlText w:val="•"/>
      <w:lvlJc w:val="left"/>
      <w:pPr>
        <w:tabs>
          <w:tab w:val="num" w:pos="5760"/>
        </w:tabs>
        <w:ind w:left="5760" w:hanging="360"/>
      </w:pPr>
      <w:rPr>
        <w:rFonts w:ascii="Times New Roman" w:hAnsi="Times New Roman" w:hint="default"/>
      </w:rPr>
    </w:lvl>
    <w:lvl w:ilvl="8" w:tplc="8752C4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3007557"/>
    <w:multiLevelType w:val="multilevel"/>
    <w:tmpl w:val="C7C21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8E6499"/>
    <w:multiLevelType w:val="hybridMultilevel"/>
    <w:tmpl w:val="1FC08A5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4" w15:restartNumberingAfterBreak="0">
    <w:nsid w:val="56204C5B"/>
    <w:multiLevelType w:val="hybridMultilevel"/>
    <w:tmpl w:val="1AB84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DA35EB"/>
    <w:multiLevelType w:val="hybridMultilevel"/>
    <w:tmpl w:val="65C0D7B4"/>
    <w:lvl w:ilvl="0" w:tplc="04150019">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5B7326D8"/>
    <w:multiLevelType w:val="hybridMultilevel"/>
    <w:tmpl w:val="DB2CA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EA5BE3"/>
    <w:multiLevelType w:val="hybridMultilevel"/>
    <w:tmpl w:val="A48CFC82"/>
    <w:lvl w:ilvl="0" w:tplc="14E2A5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312364"/>
    <w:multiLevelType w:val="hybridMultilevel"/>
    <w:tmpl w:val="F56A95B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67894775"/>
    <w:multiLevelType w:val="hybridMultilevel"/>
    <w:tmpl w:val="3AA08A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0AA0087"/>
    <w:multiLevelType w:val="hybridMultilevel"/>
    <w:tmpl w:val="F8405942"/>
    <w:lvl w:ilvl="0" w:tplc="4B207AA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71E708D4"/>
    <w:multiLevelType w:val="hybridMultilevel"/>
    <w:tmpl w:val="A06E3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000FBD"/>
    <w:multiLevelType w:val="hybridMultilevel"/>
    <w:tmpl w:val="7F9AB7B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8001A6"/>
    <w:multiLevelType w:val="hybridMultilevel"/>
    <w:tmpl w:val="F216FA4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4" w15:restartNumberingAfterBreak="0">
    <w:nsid w:val="79725328"/>
    <w:multiLevelType w:val="hybridMultilevel"/>
    <w:tmpl w:val="CA4EB1F0"/>
    <w:lvl w:ilvl="0" w:tplc="EB4ECD7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F3150F"/>
    <w:multiLevelType w:val="hybridMultilevel"/>
    <w:tmpl w:val="503ED2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869248129">
    <w:abstractNumId w:val="15"/>
  </w:num>
  <w:num w:numId="2" w16cid:durableId="704210614">
    <w:abstractNumId w:val="4"/>
  </w:num>
  <w:num w:numId="3" w16cid:durableId="158808335">
    <w:abstractNumId w:val="35"/>
  </w:num>
  <w:num w:numId="4" w16cid:durableId="167991190">
    <w:abstractNumId w:val="31"/>
  </w:num>
  <w:num w:numId="5" w16cid:durableId="65761305">
    <w:abstractNumId w:val="0"/>
  </w:num>
  <w:num w:numId="6" w16cid:durableId="382993011">
    <w:abstractNumId w:val="1"/>
  </w:num>
  <w:num w:numId="7" w16cid:durableId="435826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581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0211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827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5948230">
    <w:abstractNumId w:val="32"/>
  </w:num>
  <w:num w:numId="12" w16cid:durableId="483787459">
    <w:abstractNumId w:val="33"/>
  </w:num>
  <w:num w:numId="13" w16cid:durableId="778184772">
    <w:abstractNumId w:val="12"/>
  </w:num>
  <w:num w:numId="14" w16cid:durableId="544417455">
    <w:abstractNumId w:val="19"/>
  </w:num>
  <w:num w:numId="15" w16cid:durableId="847064184">
    <w:abstractNumId w:val="2"/>
  </w:num>
  <w:num w:numId="16" w16cid:durableId="828130471">
    <w:abstractNumId w:val="23"/>
  </w:num>
  <w:num w:numId="17" w16cid:durableId="902913572">
    <w:abstractNumId w:val="14"/>
  </w:num>
  <w:num w:numId="18" w16cid:durableId="832338097">
    <w:abstractNumId w:val="29"/>
  </w:num>
  <w:num w:numId="19" w16cid:durableId="1472206785">
    <w:abstractNumId w:val="10"/>
  </w:num>
  <w:num w:numId="20" w16cid:durableId="273557275">
    <w:abstractNumId w:val="11"/>
  </w:num>
  <w:num w:numId="21" w16cid:durableId="534737470">
    <w:abstractNumId w:val="18"/>
  </w:num>
  <w:num w:numId="22" w16cid:durableId="2059088676">
    <w:abstractNumId w:val="5"/>
  </w:num>
  <w:num w:numId="23" w16cid:durableId="314071028">
    <w:abstractNumId w:val="20"/>
  </w:num>
  <w:num w:numId="24" w16cid:durableId="467629947">
    <w:abstractNumId w:val="26"/>
  </w:num>
  <w:num w:numId="25" w16cid:durableId="1605458522">
    <w:abstractNumId w:val="24"/>
  </w:num>
  <w:num w:numId="26" w16cid:durableId="117603893">
    <w:abstractNumId w:val="17"/>
  </w:num>
  <w:num w:numId="27" w16cid:durableId="2010675447">
    <w:abstractNumId w:val="21"/>
  </w:num>
  <w:num w:numId="28" w16cid:durableId="1103844263">
    <w:abstractNumId w:val="3"/>
  </w:num>
  <w:num w:numId="29" w16cid:durableId="1700618077">
    <w:abstractNumId w:val="25"/>
  </w:num>
  <w:num w:numId="30" w16cid:durableId="773014420">
    <w:abstractNumId w:val="9"/>
  </w:num>
  <w:num w:numId="31" w16cid:durableId="1843622555">
    <w:abstractNumId w:val="22"/>
  </w:num>
  <w:num w:numId="32" w16cid:durableId="406848736">
    <w:abstractNumId w:val="34"/>
  </w:num>
  <w:num w:numId="33" w16cid:durableId="1101485934">
    <w:abstractNumId w:val="8"/>
  </w:num>
  <w:num w:numId="34" w16cid:durableId="1786845912">
    <w:abstractNumId w:val="28"/>
  </w:num>
  <w:num w:numId="35" w16cid:durableId="678195051">
    <w:abstractNumId w:val="13"/>
  </w:num>
  <w:num w:numId="36" w16cid:durableId="603002932">
    <w:abstractNumId w:val="7"/>
  </w:num>
  <w:num w:numId="37" w16cid:durableId="299043436">
    <w:abstractNumId w:val="16"/>
  </w:num>
  <w:num w:numId="38" w16cid:durableId="2104064027">
    <w:abstractNumId w:val="30"/>
  </w:num>
  <w:num w:numId="39" w16cid:durableId="493188244">
    <w:abstractNumId w:val="6"/>
  </w:num>
  <w:num w:numId="40" w16cid:durableId="50078043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D9"/>
    <w:rsid w:val="000012DA"/>
    <w:rsid w:val="0000246E"/>
    <w:rsid w:val="00003862"/>
    <w:rsid w:val="00003A73"/>
    <w:rsid w:val="00003BC0"/>
    <w:rsid w:val="00005C5C"/>
    <w:rsid w:val="00010CC6"/>
    <w:rsid w:val="00010CE8"/>
    <w:rsid w:val="000124C7"/>
    <w:rsid w:val="00012A35"/>
    <w:rsid w:val="00016099"/>
    <w:rsid w:val="000174F6"/>
    <w:rsid w:val="0001750C"/>
    <w:rsid w:val="00017DC2"/>
    <w:rsid w:val="00021522"/>
    <w:rsid w:val="00023471"/>
    <w:rsid w:val="00023F13"/>
    <w:rsid w:val="000249DB"/>
    <w:rsid w:val="00025BFA"/>
    <w:rsid w:val="00025D9C"/>
    <w:rsid w:val="00026C53"/>
    <w:rsid w:val="00026FC3"/>
    <w:rsid w:val="00030634"/>
    <w:rsid w:val="000319C1"/>
    <w:rsid w:val="00031A8B"/>
    <w:rsid w:val="00031BCA"/>
    <w:rsid w:val="00032BDC"/>
    <w:rsid w:val="000330FA"/>
    <w:rsid w:val="0003362F"/>
    <w:rsid w:val="00033980"/>
    <w:rsid w:val="000354E5"/>
    <w:rsid w:val="00036B63"/>
    <w:rsid w:val="00037E1A"/>
    <w:rsid w:val="00041866"/>
    <w:rsid w:val="00043495"/>
    <w:rsid w:val="00043C73"/>
    <w:rsid w:val="000443E5"/>
    <w:rsid w:val="00046A75"/>
    <w:rsid w:val="00047312"/>
    <w:rsid w:val="000508BD"/>
    <w:rsid w:val="000510F4"/>
    <w:rsid w:val="000517AB"/>
    <w:rsid w:val="000522A9"/>
    <w:rsid w:val="0005339C"/>
    <w:rsid w:val="000536AE"/>
    <w:rsid w:val="00054D20"/>
    <w:rsid w:val="000550FD"/>
    <w:rsid w:val="0005571B"/>
    <w:rsid w:val="00057AB3"/>
    <w:rsid w:val="00060076"/>
    <w:rsid w:val="000600E4"/>
    <w:rsid w:val="00060432"/>
    <w:rsid w:val="00060D87"/>
    <w:rsid w:val="000615A5"/>
    <w:rsid w:val="00061A52"/>
    <w:rsid w:val="00064E4C"/>
    <w:rsid w:val="0006519E"/>
    <w:rsid w:val="00065985"/>
    <w:rsid w:val="000664BC"/>
    <w:rsid w:val="00066901"/>
    <w:rsid w:val="000711C3"/>
    <w:rsid w:val="00071BEE"/>
    <w:rsid w:val="000736CD"/>
    <w:rsid w:val="0007533B"/>
    <w:rsid w:val="0007545D"/>
    <w:rsid w:val="000760BF"/>
    <w:rsid w:val="000760E6"/>
    <w:rsid w:val="0007613E"/>
    <w:rsid w:val="00076BFC"/>
    <w:rsid w:val="00077756"/>
    <w:rsid w:val="00080C14"/>
    <w:rsid w:val="000814A7"/>
    <w:rsid w:val="00082AD5"/>
    <w:rsid w:val="000840BE"/>
    <w:rsid w:val="000841A0"/>
    <w:rsid w:val="0008557B"/>
    <w:rsid w:val="00085CE7"/>
    <w:rsid w:val="00085D0E"/>
    <w:rsid w:val="0008614F"/>
    <w:rsid w:val="000906EE"/>
    <w:rsid w:val="00090909"/>
    <w:rsid w:val="00090FF4"/>
    <w:rsid w:val="00091BA2"/>
    <w:rsid w:val="0009274F"/>
    <w:rsid w:val="000933BD"/>
    <w:rsid w:val="000944EF"/>
    <w:rsid w:val="000955FD"/>
    <w:rsid w:val="000971C7"/>
    <w:rsid w:val="0009732D"/>
    <w:rsid w:val="000973F0"/>
    <w:rsid w:val="000A0B30"/>
    <w:rsid w:val="000A1296"/>
    <w:rsid w:val="000A1C27"/>
    <w:rsid w:val="000A1DAD"/>
    <w:rsid w:val="000A2649"/>
    <w:rsid w:val="000A2F00"/>
    <w:rsid w:val="000A323B"/>
    <w:rsid w:val="000A4965"/>
    <w:rsid w:val="000A68FB"/>
    <w:rsid w:val="000B2909"/>
    <w:rsid w:val="000B298D"/>
    <w:rsid w:val="000B3C8D"/>
    <w:rsid w:val="000B5B2D"/>
    <w:rsid w:val="000B5DCE"/>
    <w:rsid w:val="000B7C57"/>
    <w:rsid w:val="000C05BA"/>
    <w:rsid w:val="000C0D98"/>
    <w:rsid w:val="000C0E8F"/>
    <w:rsid w:val="000C148F"/>
    <w:rsid w:val="000C1D64"/>
    <w:rsid w:val="000C47A7"/>
    <w:rsid w:val="000C4BC4"/>
    <w:rsid w:val="000C5A02"/>
    <w:rsid w:val="000D0110"/>
    <w:rsid w:val="000D2468"/>
    <w:rsid w:val="000D29A0"/>
    <w:rsid w:val="000D318A"/>
    <w:rsid w:val="000D56F0"/>
    <w:rsid w:val="000D6173"/>
    <w:rsid w:val="000D61B8"/>
    <w:rsid w:val="000D6EB2"/>
    <w:rsid w:val="000D6F83"/>
    <w:rsid w:val="000D77C6"/>
    <w:rsid w:val="000E0768"/>
    <w:rsid w:val="000E09ED"/>
    <w:rsid w:val="000E1452"/>
    <w:rsid w:val="000E240F"/>
    <w:rsid w:val="000E25CC"/>
    <w:rsid w:val="000E3694"/>
    <w:rsid w:val="000E490F"/>
    <w:rsid w:val="000E6241"/>
    <w:rsid w:val="000E68E4"/>
    <w:rsid w:val="000F089B"/>
    <w:rsid w:val="000F1899"/>
    <w:rsid w:val="000F22B8"/>
    <w:rsid w:val="000F2BE3"/>
    <w:rsid w:val="000F3C72"/>
    <w:rsid w:val="000F3D0D"/>
    <w:rsid w:val="000F4E36"/>
    <w:rsid w:val="000F6A02"/>
    <w:rsid w:val="000F6ED4"/>
    <w:rsid w:val="000F7A6E"/>
    <w:rsid w:val="001005D0"/>
    <w:rsid w:val="001013B8"/>
    <w:rsid w:val="00101805"/>
    <w:rsid w:val="0010283A"/>
    <w:rsid w:val="001042BA"/>
    <w:rsid w:val="00105D8E"/>
    <w:rsid w:val="00106D03"/>
    <w:rsid w:val="0010733D"/>
    <w:rsid w:val="00110465"/>
    <w:rsid w:val="00110628"/>
    <w:rsid w:val="001111AD"/>
    <w:rsid w:val="0011245A"/>
    <w:rsid w:val="0011493E"/>
    <w:rsid w:val="00115B72"/>
    <w:rsid w:val="00116527"/>
    <w:rsid w:val="001209EC"/>
    <w:rsid w:val="00120A9E"/>
    <w:rsid w:val="00120D9D"/>
    <w:rsid w:val="0012485A"/>
    <w:rsid w:val="00125A9C"/>
    <w:rsid w:val="001270A2"/>
    <w:rsid w:val="00127C51"/>
    <w:rsid w:val="00131237"/>
    <w:rsid w:val="0013203C"/>
    <w:rsid w:val="001329AC"/>
    <w:rsid w:val="00134CA0"/>
    <w:rsid w:val="00135130"/>
    <w:rsid w:val="00135C23"/>
    <w:rsid w:val="0014026F"/>
    <w:rsid w:val="00140435"/>
    <w:rsid w:val="001433A6"/>
    <w:rsid w:val="0014567D"/>
    <w:rsid w:val="0014582C"/>
    <w:rsid w:val="001462D3"/>
    <w:rsid w:val="001463C4"/>
    <w:rsid w:val="00147A47"/>
    <w:rsid w:val="00147AA1"/>
    <w:rsid w:val="0015171F"/>
    <w:rsid w:val="00151DA5"/>
    <w:rsid w:val="001520CF"/>
    <w:rsid w:val="00152C53"/>
    <w:rsid w:val="00155A9C"/>
    <w:rsid w:val="00156531"/>
    <w:rsid w:val="0015667C"/>
    <w:rsid w:val="00157110"/>
    <w:rsid w:val="0015742A"/>
    <w:rsid w:val="00157DA1"/>
    <w:rsid w:val="00161B14"/>
    <w:rsid w:val="00162739"/>
    <w:rsid w:val="00163147"/>
    <w:rsid w:val="00163B37"/>
    <w:rsid w:val="00164781"/>
    <w:rsid w:val="00164C57"/>
    <w:rsid w:val="00164C9D"/>
    <w:rsid w:val="0016569A"/>
    <w:rsid w:val="00172A05"/>
    <w:rsid w:val="00172F7A"/>
    <w:rsid w:val="00173150"/>
    <w:rsid w:val="00173390"/>
    <w:rsid w:val="001736F0"/>
    <w:rsid w:val="00173BB3"/>
    <w:rsid w:val="00173E71"/>
    <w:rsid w:val="001740AC"/>
    <w:rsid w:val="001740D0"/>
    <w:rsid w:val="0017491F"/>
    <w:rsid w:val="00174F2C"/>
    <w:rsid w:val="00180F2A"/>
    <w:rsid w:val="00182086"/>
    <w:rsid w:val="00183180"/>
    <w:rsid w:val="00183383"/>
    <w:rsid w:val="00184B91"/>
    <w:rsid w:val="00184CAA"/>
    <w:rsid w:val="00184D4A"/>
    <w:rsid w:val="00186EC1"/>
    <w:rsid w:val="00191A09"/>
    <w:rsid w:val="00191E1F"/>
    <w:rsid w:val="00192DA8"/>
    <w:rsid w:val="0019473B"/>
    <w:rsid w:val="001952B1"/>
    <w:rsid w:val="0019560A"/>
    <w:rsid w:val="00195CED"/>
    <w:rsid w:val="00195FFB"/>
    <w:rsid w:val="00196E39"/>
    <w:rsid w:val="00197649"/>
    <w:rsid w:val="001A01FB"/>
    <w:rsid w:val="001A10E9"/>
    <w:rsid w:val="001A1575"/>
    <w:rsid w:val="001A183D"/>
    <w:rsid w:val="001A1E5C"/>
    <w:rsid w:val="001A2003"/>
    <w:rsid w:val="001A2B65"/>
    <w:rsid w:val="001A3CD3"/>
    <w:rsid w:val="001A5BEF"/>
    <w:rsid w:val="001A7F15"/>
    <w:rsid w:val="001B0AFA"/>
    <w:rsid w:val="001B0C90"/>
    <w:rsid w:val="001B1827"/>
    <w:rsid w:val="001B342E"/>
    <w:rsid w:val="001B3577"/>
    <w:rsid w:val="001B3691"/>
    <w:rsid w:val="001B3782"/>
    <w:rsid w:val="001C02AF"/>
    <w:rsid w:val="001C1832"/>
    <w:rsid w:val="001C188C"/>
    <w:rsid w:val="001C1FCE"/>
    <w:rsid w:val="001C3EE4"/>
    <w:rsid w:val="001C4301"/>
    <w:rsid w:val="001C4517"/>
    <w:rsid w:val="001D119D"/>
    <w:rsid w:val="001D1783"/>
    <w:rsid w:val="001D304F"/>
    <w:rsid w:val="001D53CD"/>
    <w:rsid w:val="001D5560"/>
    <w:rsid w:val="001D55A3"/>
    <w:rsid w:val="001D5AF5"/>
    <w:rsid w:val="001D705A"/>
    <w:rsid w:val="001E0148"/>
    <w:rsid w:val="001E0404"/>
    <w:rsid w:val="001E0502"/>
    <w:rsid w:val="001E05D9"/>
    <w:rsid w:val="001E18F7"/>
    <w:rsid w:val="001E1E73"/>
    <w:rsid w:val="001E4572"/>
    <w:rsid w:val="001E4E0C"/>
    <w:rsid w:val="001E526D"/>
    <w:rsid w:val="001E558A"/>
    <w:rsid w:val="001E5655"/>
    <w:rsid w:val="001E569E"/>
    <w:rsid w:val="001E5773"/>
    <w:rsid w:val="001E5AFA"/>
    <w:rsid w:val="001E62E2"/>
    <w:rsid w:val="001E683A"/>
    <w:rsid w:val="001E6C33"/>
    <w:rsid w:val="001E762B"/>
    <w:rsid w:val="001E7E74"/>
    <w:rsid w:val="001F1544"/>
    <w:rsid w:val="001F16EB"/>
    <w:rsid w:val="001F1832"/>
    <w:rsid w:val="001F220F"/>
    <w:rsid w:val="001F25B3"/>
    <w:rsid w:val="001F2979"/>
    <w:rsid w:val="001F308A"/>
    <w:rsid w:val="001F311C"/>
    <w:rsid w:val="001F4877"/>
    <w:rsid w:val="001F50E5"/>
    <w:rsid w:val="001F6616"/>
    <w:rsid w:val="001F6BC2"/>
    <w:rsid w:val="001F773A"/>
    <w:rsid w:val="00202529"/>
    <w:rsid w:val="00202BD4"/>
    <w:rsid w:val="00203F2B"/>
    <w:rsid w:val="00204256"/>
    <w:rsid w:val="00204A97"/>
    <w:rsid w:val="00204C22"/>
    <w:rsid w:val="002061EB"/>
    <w:rsid w:val="00207970"/>
    <w:rsid w:val="002114EF"/>
    <w:rsid w:val="002143D8"/>
    <w:rsid w:val="00215958"/>
    <w:rsid w:val="00216328"/>
    <w:rsid w:val="002166AD"/>
    <w:rsid w:val="00216DFB"/>
    <w:rsid w:val="002171DD"/>
    <w:rsid w:val="00217871"/>
    <w:rsid w:val="002204B5"/>
    <w:rsid w:val="002215CC"/>
    <w:rsid w:val="002219AA"/>
    <w:rsid w:val="00221EC4"/>
    <w:rsid w:val="00221ED8"/>
    <w:rsid w:val="002220B7"/>
    <w:rsid w:val="00222D5F"/>
    <w:rsid w:val="002231EA"/>
    <w:rsid w:val="00223FDF"/>
    <w:rsid w:val="00224F72"/>
    <w:rsid w:val="002259FB"/>
    <w:rsid w:val="00226867"/>
    <w:rsid w:val="00226D08"/>
    <w:rsid w:val="002279C0"/>
    <w:rsid w:val="00230CC5"/>
    <w:rsid w:val="00232563"/>
    <w:rsid w:val="0023479A"/>
    <w:rsid w:val="0023727E"/>
    <w:rsid w:val="00237C55"/>
    <w:rsid w:val="00241CE1"/>
    <w:rsid w:val="00242081"/>
    <w:rsid w:val="00242487"/>
    <w:rsid w:val="002429E2"/>
    <w:rsid w:val="00242A80"/>
    <w:rsid w:val="00243777"/>
    <w:rsid w:val="00243D60"/>
    <w:rsid w:val="002441CD"/>
    <w:rsid w:val="002443A4"/>
    <w:rsid w:val="00245B30"/>
    <w:rsid w:val="00246C26"/>
    <w:rsid w:val="002501A3"/>
    <w:rsid w:val="00251092"/>
    <w:rsid w:val="002510F1"/>
    <w:rsid w:val="0025166C"/>
    <w:rsid w:val="002553BB"/>
    <w:rsid w:val="002555D4"/>
    <w:rsid w:val="00257224"/>
    <w:rsid w:val="002601CE"/>
    <w:rsid w:val="00260870"/>
    <w:rsid w:val="00260C7D"/>
    <w:rsid w:val="00261116"/>
    <w:rsid w:val="002614CF"/>
    <w:rsid w:val="00261A16"/>
    <w:rsid w:val="00262A8E"/>
    <w:rsid w:val="00262F5A"/>
    <w:rsid w:val="00263522"/>
    <w:rsid w:val="0026388B"/>
    <w:rsid w:val="002640C1"/>
    <w:rsid w:val="00264EC6"/>
    <w:rsid w:val="0027050F"/>
    <w:rsid w:val="00271013"/>
    <w:rsid w:val="00271367"/>
    <w:rsid w:val="002734A8"/>
    <w:rsid w:val="002735CD"/>
    <w:rsid w:val="00273FE4"/>
    <w:rsid w:val="0027421B"/>
    <w:rsid w:val="002756D6"/>
    <w:rsid w:val="00275C4F"/>
    <w:rsid w:val="002765B4"/>
    <w:rsid w:val="00276902"/>
    <w:rsid w:val="00276A94"/>
    <w:rsid w:val="00281587"/>
    <w:rsid w:val="0028260B"/>
    <w:rsid w:val="00287CDD"/>
    <w:rsid w:val="0029358E"/>
    <w:rsid w:val="0029405D"/>
    <w:rsid w:val="00294FA6"/>
    <w:rsid w:val="00295A6F"/>
    <w:rsid w:val="0029755C"/>
    <w:rsid w:val="002A0212"/>
    <w:rsid w:val="002A20C4"/>
    <w:rsid w:val="002A2D06"/>
    <w:rsid w:val="002A570F"/>
    <w:rsid w:val="002A7292"/>
    <w:rsid w:val="002A7358"/>
    <w:rsid w:val="002A7902"/>
    <w:rsid w:val="002B0F6B"/>
    <w:rsid w:val="002B23B8"/>
    <w:rsid w:val="002B2623"/>
    <w:rsid w:val="002B2625"/>
    <w:rsid w:val="002B4429"/>
    <w:rsid w:val="002B46BF"/>
    <w:rsid w:val="002B4F71"/>
    <w:rsid w:val="002B68A6"/>
    <w:rsid w:val="002B6EB8"/>
    <w:rsid w:val="002B7DC6"/>
    <w:rsid w:val="002B7FAF"/>
    <w:rsid w:val="002C05CF"/>
    <w:rsid w:val="002C0606"/>
    <w:rsid w:val="002C21EF"/>
    <w:rsid w:val="002C4EFD"/>
    <w:rsid w:val="002C5FA4"/>
    <w:rsid w:val="002C62CD"/>
    <w:rsid w:val="002D0C4F"/>
    <w:rsid w:val="002D1364"/>
    <w:rsid w:val="002D42A5"/>
    <w:rsid w:val="002D4D30"/>
    <w:rsid w:val="002D5000"/>
    <w:rsid w:val="002D5945"/>
    <w:rsid w:val="002D598D"/>
    <w:rsid w:val="002D7188"/>
    <w:rsid w:val="002D7BC5"/>
    <w:rsid w:val="002E1DE3"/>
    <w:rsid w:val="002E2AB6"/>
    <w:rsid w:val="002E2B0A"/>
    <w:rsid w:val="002E3F34"/>
    <w:rsid w:val="002E4DAC"/>
    <w:rsid w:val="002E591F"/>
    <w:rsid w:val="002E5F79"/>
    <w:rsid w:val="002E64FA"/>
    <w:rsid w:val="002E6F45"/>
    <w:rsid w:val="002F0448"/>
    <w:rsid w:val="002F0A00"/>
    <w:rsid w:val="002F0CFA"/>
    <w:rsid w:val="002F3463"/>
    <w:rsid w:val="002F3BCB"/>
    <w:rsid w:val="002F4801"/>
    <w:rsid w:val="002F669F"/>
    <w:rsid w:val="00301C97"/>
    <w:rsid w:val="003027D6"/>
    <w:rsid w:val="00302984"/>
    <w:rsid w:val="0030522C"/>
    <w:rsid w:val="003064FA"/>
    <w:rsid w:val="00306B0E"/>
    <w:rsid w:val="00306CCD"/>
    <w:rsid w:val="0031004C"/>
    <w:rsid w:val="003105F6"/>
    <w:rsid w:val="00310872"/>
    <w:rsid w:val="00310A6B"/>
    <w:rsid w:val="00311297"/>
    <w:rsid w:val="003113BE"/>
    <w:rsid w:val="00311493"/>
    <w:rsid w:val="003122CA"/>
    <w:rsid w:val="0031276F"/>
    <w:rsid w:val="0031409D"/>
    <w:rsid w:val="0031438E"/>
    <w:rsid w:val="003148B7"/>
    <w:rsid w:val="003148FD"/>
    <w:rsid w:val="003172A3"/>
    <w:rsid w:val="0031790D"/>
    <w:rsid w:val="0032016F"/>
    <w:rsid w:val="00321080"/>
    <w:rsid w:val="003216AB"/>
    <w:rsid w:val="00322D45"/>
    <w:rsid w:val="00323A42"/>
    <w:rsid w:val="00324C86"/>
    <w:rsid w:val="0032569A"/>
    <w:rsid w:val="00325935"/>
    <w:rsid w:val="00325A1F"/>
    <w:rsid w:val="00325DCC"/>
    <w:rsid w:val="003262F9"/>
    <w:rsid w:val="003268F9"/>
    <w:rsid w:val="00327C8E"/>
    <w:rsid w:val="00327CBC"/>
    <w:rsid w:val="00330BAF"/>
    <w:rsid w:val="003330DA"/>
    <w:rsid w:val="00334E3A"/>
    <w:rsid w:val="00335D65"/>
    <w:rsid w:val="003361DD"/>
    <w:rsid w:val="003369C7"/>
    <w:rsid w:val="00340EB8"/>
    <w:rsid w:val="00341A6A"/>
    <w:rsid w:val="00342C25"/>
    <w:rsid w:val="003438CF"/>
    <w:rsid w:val="00345B9C"/>
    <w:rsid w:val="00346208"/>
    <w:rsid w:val="00352DAE"/>
    <w:rsid w:val="00354D79"/>
    <w:rsid w:val="00354EB9"/>
    <w:rsid w:val="0035546B"/>
    <w:rsid w:val="003602AE"/>
    <w:rsid w:val="00360929"/>
    <w:rsid w:val="00363D1F"/>
    <w:rsid w:val="003647D5"/>
    <w:rsid w:val="00366900"/>
    <w:rsid w:val="00366EFF"/>
    <w:rsid w:val="003674B0"/>
    <w:rsid w:val="0037136B"/>
    <w:rsid w:val="00371799"/>
    <w:rsid w:val="003728FC"/>
    <w:rsid w:val="00375C3F"/>
    <w:rsid w:val="00375DE6"/>
    <w:rsid w:val="00376222"/>
    <w:rsid w:val="0037727C"/>
    <w:rsid w:val="00377E70"/>
    <w:rsid w:val="0038086A"/>
    <w:rsid w:val="00380904"/>
    <w:rsid w:val="003823EE"/>
    <w:rsid w:val="00382904"/>
    <w:rsid w:val="00382960"/>
    <w:rsid w:val="003846F7"/>
    <w:rsid w:val="003847E1"/>
    <w:rsid w:val="003851D9"/>
    <w:rsid w:val="003851ED"/>
    <w:rsid w:val="00385B39"/>
    <w:rsid w:val="00385CD8"/>
    <w:rsid w:val="00386785"/>
    <w:rsid w:val="00386F1D"/>
    <w:rsid w:val="00390E89"/>
    <w:rsid w:val="00391B1A"/>
    <w:rsid w:val="003939EC"/>
    <w:rsid w:val="00394423"/>
    <w:rsid w:val="00396942"/>
    <w:rsid w:val="0039699B"/>
    <w:rsid w:val="00396B49"/>
    <w:rsid w:val="00396E3E"/>
    <w:rsid w:val="003A21AE"/>
    <w:rsid w:val="003A244C"/>
    <w:rsid w:val="003A29AF"/>
    <w:rsid w:val="003A306E"/>
    <w:rsid w:val="003A425E"/>
    <w:rsid w:val="003A5643"/>
    <w:rsid w:val="003A60DC"/>
    <w:rsid w:val="003A6A46"/>
    <w:rsid w:val="003A7443"/>
    <w:rsid w:val="003A7A63"/>
    <w:rsid w:val="003B000C"/>
    <w:rsid w:val="003B0F1D"/>
    <w:rsid w:val="003B4A57"/>
    <w:rsid w:val="003B7001"/>
    <w:rsid w:val="003C0AD9"/>
    <w:rsid w:val="003C0ED0"/>
    <w:rsid w:val="003C1D49"/>
    <w:rsid w:val="003C232C"/>
    <w:rsid w:val="003C35C4"/>
    <w:rsid w:val="003C6C57"/>
    <w:rsid w:val="003C6F58"/>
    <w:rsid w:val="003C7F5B"/>
    <w:rsid w:val="003D0970"/>
    <w:rsid w:val="003D12C2"/>
    <w:rsid w:val="003D1AF6"/>
    <w:rsid w:val="003D1CAC"/>
    <w:rsid w:val="003D1F3C"/>
    <w:rsid w:val="003D240B"/>
    <w:rsid w:val="003D31B9"/>
    <w:rsid w:val="003D3867"/>
    <w:rsid w:val="003D510A"/>
    <w:rsid w:val="003D627C"/>
    <w:rsid w:val="003E0D1A"/>
    <w:rsid w:val="003E2D14"/>
    <w:rsid w:val="003E2DA3"/>
    <w:rsid w:val="003E4FCB"/>
    <w:rsid w:val="003E7E79"/>
    <w:rsid w:val="003F020D"/>
    <w:rsid w:val="003F03D9"/>
    <w:rsid w:val="003F0668"/>
    <w:rsid w:val="003F1317"/>
    <w:rsid w:val="003F23BA"/>
    <w:rsid w:val="003F2D82"/>
    <w:rsid w:val="003F2FBE"/>
    <w:rsid w:val="003F318D"/>
    <w:rsid w:val="003F46BC"/>
    <w:rsid w:val="003F588A"/>
    <w:rsid w:val="003F5BAE"/>
    <w:rsid w:val="003F6513"/>
    <w:rsid w:val="003F6ED7"/>
    <w:rsid w:val="003F7056"/>
    <w:rsid w:val="00401C84"/>
    <w:rsid w:val="00401D6C"/>
    <w:rsid w:val="00401DCB"/>
    <w:rsid w:val="00403210"/>
    <w:rsid w:val="004035BB"/>
    <w:rsid w:val="004035EB"/>
    <w:rsid w:val="004038CF"/>
    <w:rsid w:val="00407332"/>
    <w:rsid w:val="00407828"/>
    <w:rsid w:val="004105F9"/>
    <w:rsid w:val="00411B0B"/>
    <w:rsid w:val="00413D8E"/>
    <w:rsid w:val="004140F2"/>
    <w:rsid w:val="00416A29"/>
    <w:rsid w:val="00417B22"/>
    <w:rsid w:val="00421085"/>
    <w:rsid w:val="0042465E"/>
    <w:rsid w:val="00424DF7"/>
    <w:rsid w:val="004306B8"/>
    <w:rsid w:val="00432B76"/>
    <w:rsid w:val="004334FC"/>
    <w:rsid w:val="004336BD"/>
    <w:rsid w:val="00433E40"/>
    <w:rsid w:val="00434BB3"/>
    <w:rsid w:val="00434D01"/>
    <w:rsid w:val="00434F54"/>
    <w:rsid w:val="00435D26"/>
    <w:rsid w:val="00436C85"/>
    <w:rsid w:val="00440300"/>
    <w:rsid w:val="00440C99"/>
    <w:rsid w:val="0044175C"/>
    <w:rsid w:val="0044300B"/>
    <w:rsid w:val="00445F4D"/>
    <w:rsid w:val="004465F8"/>
    <w:rsid w:val="004504C0"/>
    <w:rsid w:val="00450608"/>
    <w:rsid w:val="0045488C"/>
    <w:rsid w:val="004550FB"/>
    <w:rsid w:val="00456375"/>
    <w:rsid w:val="00456D4B"/>
    <w:rsid w:val="00460E62"/>
    <w:rsid w:val="0046111A"/>
    <w:rsid w:val="00462946"/>
    <w:rsid w:val="00463F43"/>
    <w:rsid w:val="00464B94"/>
    <w:rsid w:val="00465261"/>
    <w:rsid w:val="004653A8"/>
    <w:rsid w:val="00465A0B"/>
    <w:rsid w:val="004668EB"/>
    <w:rsid w:val="00467F39"/>
    <w:rsid w:val="0047077C"/>
    <w:rsid w:val="00470B05"/>
    <w:rsid w:val="00470E75"/>
    <w:rsid w:val="00471449"/>
    <w:rsid w:val="0047207C"/>
    <w:rsid w:val="00472CD6"/>
    <w:rsid w:val="00474E3C"/>
    <w:rsid w:val="00476EE5"/>
    <w:rsid w:val="00480A58"/>
    <w:rsid w:val="00482151"/>
    <w:rsid w:val="00484D1D"/>
    <w:rsid w:val="00485DC1"/>
    <w:rsid w:val="00485FAD"/>
    <w:rsid w:val="00487AED"/>
    <w:rsid w:val="004914D7"/>
    <w:rsid w:val="00491EDF"/>
    <w:rsid w:val="004924EC"/>
    <w:rsid w:val="004929A7"/>
    <w:rsid w:val="00492A3F"/>
    <w:rsid w:val="0049372B"/>
    <w:rsid w:val="00493B2C"/>
    <w:rsid w:val="00494F62"/>
    <w:rsid w:val="00495E5A"/>
    <w:rsid w:val="00495EF2"/>
    <w:rsid w:val="004A1245"/>
    <w:rsid w:val="004A2001"/>
    <w:rsid w:val="004A21B2"/>
    <w:rsid w:val="004A3590"/>
    <w:rsid w:val="004A4BB2"/>
    <w:rsid w:val="004A4D3E"/>
    <w:rsid w:val="004A78E0"/>
    <w:rsid w:val="004A7A5F"/>
    <w:rsid w:val="004B00A7"/>
    <w:rsid w:val="004B19FA"/>
    <w:rsid w:val="004B25E2"/>
    <w:rsid w:val="004B34D7"/>
    <w:rsid w:val="004B4441"/>
    <w:rsid w:val="004B5037"/>
    <w:rsid w:val="004B5B2F"/>
    <w:rsid w:val="004B626A"/>
    <w:rsid w:val="004B65B9"/>
    <w:rsid w:val="004B660E"/>
    <w:rsid w:val="004C05BD"/>
    <w:rsid w:val="004C35AB"/>
    <w:rsid w:val="004C3B06"/>
    <w:rsid w:val="004C3F97"/>
    <w:rsid w:val="004C5E2A"/>
    <w:rsid w:val="004C5E41"/>
    <w:rsid w:val="004C7EE7"/>
    <w:rsid w:val="004D04D6"/>
    <w:rsid w:val="004D2DEE"/>
    <w:rsid w:val="004D2E1F"/>
    <w:rsid w:val="004D354E"/>
    <w:rsid w:val="004D5BA1"/>
    <w:rsid w:val="004D5CBE"/>
    <w:rsid w:val="004D7FD9"/>
    <w:rsid w:val="004E1324"/>
    <w:rsid w:val="004E19A5"/>
    <w:rsid w:val="004E37E5"/>
    <w:rsid w:val="004E3E1B"/>
    <w:rsid w:val="004E3FDB"/>
    <w:rsid w:val="004E4450"/>
    <w:rsid w:val="004E68EA"/>
    <w:rsid w:val="004F1F4A"/>
    <w:rsid w:val="004F296D"/>
    <w:rsid w:val="004F474A"/>
    <w:rsid w:val="004F508B"/>
    <w:rsid w:val="004F695F"/>
    <w:rsid w:val="004F6CA4"/>
    <w:rsid w:val="00500752"/>
    <w:rsid w:val="00501036"/>
    <w:rsid w:val="00501A50"/>
    <w:rsid w:val="0050222D"/>
    <w:rsid w:val="00503AF3"/>
    <w:rsid w:val="00504275"/>
    <w:rsid w:val="0050671C"/>
    <w:rsid w:val="0050696D"/>
    <w:rsid w:val="0051094B"/>
    <w:rsid w:val="005110D7"/>
    <w:rsid w:val="00511D99"/>
    <w:rsid w:val="0051247B"/>
    <w:rsid w:val="005128D3"/>
    <w:rsid w:val="00513F5E"/>
    <w:rsid w:val="005147E8"/>
    <w:rsid w:val="005158F2"/>
    <w:rsid w:val="00515C54"/>
    <w:rsid w:val="00515CDF"/>
    <w:rsid w:val="005167BC"/>
    <w:rsid w:val="00516FE9"/>
    <w:rsid w:val="00517BB0"/>
    <w:rsid w:val="00520427"/>
    <w:rsid w:val="00524DA4"/>
    <w:rsid w:val="005252A4"/>
    <w:rsid w:val="00526DFC"/>
    <w:rsid w:val="00526F43"/>
    <w:rsid w:val="00527651"/>
    <w:rsid w:val="0053042D"/>
    <w:rsid w:val="00531989"/>
    <w:rsid w:val="00531F6A"/>
    <w:rsid w:val="005321BD"/>
    <w:rsid w:val="0053243D"/>
    <w:rsid w:val="005329C5"/>
    <w:rsid w:val="005333B9"/>
    <w:rsid w:val="005363AB"/>
    <w:rsid w:val="00536503"/>
    <w:rsid w:val="00536F4C"/>
    <w:rsid w:val="0054072A"/>
    <w:rsid w:val="005417F8"/>
    <w:rsid w:val="0054186C"/>
    <w:rsid w:val="00542444"/>
    <w:rsid w:val="00544DA3"/>
    <w:rsid w:val="00544EF4"/>
    <w:rsid w:val="005459BB"/>
    <w:rsid w:val="00545E53"/>
    <w:rsid w:val="005479D9"/>
    <w:rsid w:val="00553999"/>
    <w:rsid w:val="00553B89"/>
    <w:rsid w:val="00554C1C"/>
    <w:rsid w:val="00556988"/>
    <w:rsid w:val="005572BD"/>
    <w:rsid w:val="00557A12"/>
    <w:rsid w:val="00560AC7"/>
    <w:rsid w:val="00561AFB"/>
    <w:rsid w:val="00561FA8"/>
    <w:rsid w:val="00562E7F"/>
    <w:rsid w:val="005635ED"/>
    <w:rsid w:val="00565253"/>
    <w:rsid w:val="00566364"/>
    <w:rsid w:val="00567A11"/>
    <w:rsid w:val="00570191"/>
    <w:rsid w:val="00570570"/>
    <w:rsid w:val="00570CFC"/>
    <w:rsid w:val="00572512"/>
    <w:rsid w:val="005735E0"/>
    <w:rsid w:val="00573EE6"/>
    <w:rsid w:val="00574069"/>
    <w:rsid w:val="00574B91"/>
    <w:rsid w:val="0057547F"/>
    <w:rsid w:val="005754EE"/>
    <w:rsid w:val="0057617E"/>
    <w:rsid w:val="00576497"/>
    <w:rsid w:val="0057768D"/>
    <w:rsid w:val="005835E7"/>
    <w:rsid w:val="0058397F"/>
    <w:rsid w:val="00583BF8"/>
    <w:rsid w:val="005842E1"/>
    <w:rsid w:val="00585F33"/>
    <w:rsid w:val="00591124"/>
    <w:rsid w:val="0059449C"/>
    <w:rsid w:val="00597024"/>
    <w:rsid w:val="005A0274"/>
    <w:rsid w:val="005A0284"/>
    <w:rsid w:val="005A095C"/>
    <w:rsid w:val="005A20F7"/>
    <w:rsid w:val="005A2829"/>
    <w:rsid w:val="005A5CE8"/>
    <w:rsid w:val="005A5E0E"/>
    <w:rsid w:val="005A669D"/>
    <w:rsid w:val="005A6FBC"/>
    <w:rsid w:val="005A75D8"/>
    <w:rsid w:val="005B1403"/>
    <w:rsid w:val="005B25E8"/>
    <w:rsid w:val="005B2B39"/>
    <w:rsid w:val="005B3B67"/>
    <w:rsid w:val="005B522D"/>
    <w:rsid w:val="005B713E"/>
    <w:rsid w:val="005B7DB3"/>
    <w:rsid w:val="005C03B6"/>
    <w:rsid w:val="005C2180"/>
    <w:rsid w:val="005C348E"/>
    <w:rsid w:val="005C3B60"/>
    <w:rsid w:val="005C5829"/>
    <w:rsid w:val="005C5AF7"/>
    <w:rsid w:val="005C67E3"/>
    <w:rsid w:val="005C68E1"/>
    <w:rsid w:val="005C72B3"/>
    <w:rsid w:val="005D1CFD"/>
    <w:rsid w:val="005D2F28"/>
    <w:rsid w:val="005D3763"/>
    <w:rsid w:val="005D4A49"/>
    <w:rsid w:val="005D55E1"/>
    <w:rsid w:val="005D5663"/>
    <w:rsid w:val="005D6482"/>
    <w:rsid w:val="005D6D9D"/>
    <w:rsid w:val="005E19F7"/>
    <w:rsid w:val="005E1A9F"/>
    <w:rsid w:val="005E444C"/>
    <w:rsid w:val="005E4E54"/>
    <w:rsid w:val="005E4F04"/>
    <w:rsid w:val="005E62C2"/>
    <w:rsid w:val="005E6C71"/>
    <w:rsid w:val="005F022E"/>
    <w:rsid w:val="005F06A8"/>
    <w:rsid w:val="005F0963"/>
    <w:rsid w:val="005F2824"/>
    <w:rsid w:val="005F2BBD"/>
    <w:rsid w:val="005F2EBA"/>
    <w:rsid w:val="005F35ED"/>
    <w:rsid w:val="005F55BC"/>
    <w:rsid w:val="005F7812"/>
    <w:rsid w:val="005F7A88"/>
    <w:rsid w:val="00602BD8"/>
    <w:rsid w:val="00602FCF"/>
    <w:rsid w:val="00603A1A"/>
    <w:rsid w:val="006046D5"/>
    <w:rsid w:val="00605C21"/>
    <w:rsid w:val="0060655C"/>
    <w:rsid w:val="00607527"/>
    <w:rsid w:val="00607A93"/>
    <w:rsid w:val="00610AD2"/>
    <w:rsid w:val="00610C08"/>
    <w:rsid w:val="00611F74"/>
    <w:rsid w:val="00615772"/>
    <w:rsid w:val="006157AC"/>
    <w:rsid w:val="00616308"/>
    <w:rsid w:val="0061789C"/>
    <w:rsid w:val="006178F1"/>
    <w:rsid w:val="00617B22"/>
    <w:rsid w:val="00620981"/>
    <w:rsid w:val="00621256"/>
    <w:rsid w:val="00621DD0"/>
    <w:rsid w:val="00621FCC"/>
    <w:rsid w:val="00622E4B"/>
    <w:rsid w:val="006308EA"/>
    <w:rsid w:val="00630A16"/>
    <w:rsid w:val="006333DA"/>
    <w:rsid w:val="00635134"/>
    <w:rsid w:val="006356E2"/>
    <w:rsid w:val="00635814"/>
    <w:rsid w:val="00637ABB"/>
    <w:rsid w:val="00637E4C"/>
    <w:rsid w:val="00637F58"/>
    <w:rsid w:val="0064207C"/>
    <w:rsid w:val="00642A65"/>
    <w:rsid w:val="006437F9"/>
    <w:rsid w:val="00644A04"/>
    <w:rsid w:val="00645DCE"/>
    <w:rsid w:val="006465AC"/>
    <w:rsid w:val="006465BF"/>
    <w:rsid w:val="006474D1"/>
    <w:rsid w:val="0064785B"/>
    <w:rsid w:val="006500A6"/>
    <w:rsid w:val="006523AB"/>
    <w:rsid w:val="00653B22"/>
    <w:rsid w:val="00654C31"/>
    <w:rsid w:val="006550E5"/>
    <w:rsid w:val="00655438"/>
    <w:rsid w:val="006559F4"/>
    <w:rsid w:val="00656E1E"/>
    <w:rsid w:val="00657BF4"/>
    <w:rsid w:val="00657D82"/>
    <w:rsid w:val="006603FB"/>
    <w:rsid w:val="006608DF"/>
    <w:rsid w:val="006623AC"/>
    <w:rsid w:val="0066302B"/>
    <w:rsid w:val="00665E8C"/>
    <w:rsid w:val="006678AF"/>
    <w:rsid w:val="006701D0"/>
    <w:rsid w:val="006701EF"/>
    <w:rsid w:val="006717F7"/>
    <w:rsid w:val="006722AC"/>
    <w:rsid w:val="00673BA5"/>
    <w:rsid w:val="00673C75"/>
    <w:rsid w:val="00673F76"/>
    <w:rsid w:val="006745C0"/>
    <w:rsid w:val="006777FA"/>
    <w:rsid w:val="00680058"/>
    <w:rsid w:val="00680BA2"/>
    <w:rsid w:val="00681F9F"/>
    <w:rsid w:val="00683BFF"/>
    <w:rsid w:val="006840EA"/>
    <w:rsid w:val="006844E2"/>
    <w:rsid w:val="00685267"/>
    <w:rsid w:val="006866F4"/>
    <w:rsid w:val="006872AE"/>
    <w:rsid w:val="006879C8"/>
    <w:rsid w:val="00690082"/>
    <w:rsid w:val="00690252"/>
    <w:rsid w:val="006927F9"/>
    <w:rsid w:val="006946BB"/>
    <w:rsid w:val="00694D3F"/>
    <w:rsid w:val="006954C2"/>
    <w:rsid w:val="006969FA"/>
    <w:rsid w:val="0069740A"/>
    <w:rsid w:val="00697D63"/>
    <w:rsid w:val="006A2567"/>
    <w:rsid w:val="006A35D5"/>
    <w:rsid w:val="006A3FEB"/>
    <w:rsid w:val="006A4C33"/>
    <w:rsid w:val="006A748A"/>
    <w:rsid w:val="006A7EC4"/>
    <w:rsid w:val="006B1FBE"/>
    <w:rsid w:val="006B2CA9"/>
    <w:rsid w:val="006B3947"/>
    <w:rsid w:val="006B5A58"/>
    <w:rsid w:val="006B6A6B"/>
    <w:rsid w:val="006C183C"/>
    <w:rsid w:val="006C419E"/>
    <w:rsid w:val="006C4A31"/>
    <w:rsid w:val="006C54C2"/>
    <w:rsid w:val="006C5AC2"/>
    <w:rsid w:val="006C6AFB"/>
    <w:rsid w:val="006C7FB6"/>
    <w:rsid w:val="006D1470"/>
    <w:rsid w:val="006D2735"/>
    <w:rsid w:val="006D38B2"/>
    <w:rsid w:val="006D4486"/>
    <w:rsid w:val="006D45B2"/>
    <w:rsid w:val="006D5517"/>
    <w:rsid w:val="006D6377"/>
    <w:rsid w:val="006E0FCC"/>
    <w:rsid w:val="006E1E96"/>
    <w:rsid w:val="006E584B"/>
    <w:rsid w:val="006E5E21"/>
    <w:rsid w:val="006E79AD"/>
    <w:rsid w:val="006F0669"/>
    <w:rsid w:val="006F0DAE"/>
    <w:rsid w:val="006F212E"/>
    <w:rsid w:val="006F2648"/>
    <w:rsid w:val="006F2F10"/>
    <w:rsid w:val="006F34D7"/>
    <w:rsid w:val="006F3B87"/>
    <w:rsid w:val="006F3E91"/>
    <w:rsid w:val="006F482B"/>
    <w:rsid w:val="006F6311"/>
    <w:rsid w:val="007007E0"/>
    <w:rsid w:val="00701952"/>
    <w:rsid w:val="0070229A"/>
    <w:rsid w:val="00702556"/>
    <w:rsid w:val="0070277E"/>
    <w:rsid w:val="00704156"/>
    <w:rsid w:val="00705246"/>
    <w:rsid w:val="007069FC"/>
    <w:rsid w:val="00707005"/>
    <w:rsid w:val="007070DA"/>
    <w:rsid w:val="00707160"/>
    <w:rsid w:val="00711024"/>
    <w:rsid w:val="00711221"/>
    <w:rsid w:val="00711681"/>
    <w:rsid w:val="00712675"/>
    <w:rsid w:val="00713808"/>
    <w:rsid w:val="007151B6"/>
    <w:rsid w:val="0071520D"/>
    <w:rsid w:val="00715EDB"/>
    <w:rsid w:val="007160D5"/>
    <w:rsid w:val="007163FB"/>
    <w:rsid w:val="00717C2E"/>
    <w:rsid w:val="007204FA"/>
    <w:rsid w:val="007213B3"/>
    <w:rsid w:val="0072457F"/>
    <w:rsid w:val="007252F9"/>
    <w:rsid w:val="00725406"/>
    <w:rsid w:val="0072621B"/>
    <w:rsid w:val="00726513"/>
    <w:rsid w:val="00727409"/>
    <w:rsid w:val="00730555"/>
    <w:rsid w:val="007312CC"/>
    <w:rsid w:val="0073146B"/>
    <w:rsid w:val="007321FA"/>
    <w:rsid w:val="00733532"/>
    <w:rsid w:val="00733744"/>
    <w:rsid w:val="00733B69"/>
    <w:rsid w:val="007344FD"/>
    <w:rsid w:val="00735D24"/>
    <w:rsid w:val="007365FC"/>
    <w:rsid w:val="00736A64"/>
    <w:rsid w:val="00737298"/>
    <w:rsid w:val="00737F6A"/>
    <w:rsid w:val="007410B6"/>
    <w:rsid w:val="00741846"/>
    <w:rsid w:val="00743F68"/>
    <w:rsid w:val="00744C6F"/>
    <w:rsid w:val="00744F20"/>
    <w:rsid w:val="007457F6"/>
    <w:rsid w:val="00745ABB"/>
    <w:rsid w:val="00746079"/>
    <w:rsid w:val="0074673B"/>
    <w:rsid w:val="00746B4D"/>
    <w:rsid w:val="00746E38"/>
    <w:rsid w:val="0074776B"/>
    <w:rsid w:val="00747CD5"/>
    <w:rsid w:val="007513F5"/>
    <w:rsid w:val="00752F8E"/>
    <w:rsid w:val="00753B51"/>
    <w:rsid w:val="00756629"/>
    <w:rsid w:val="007575D2"/>
    <w:rsid w:val="00757B4F"/>
    <w:rsid w:val="00757B6A"/>
    <w:rsid w:val="007610E0"/>
    <w:rsid w:val="007621AA"/>
    <w:rsid w:val="0076260A"/>
    <w:rsid w:val="0076345F"/>
    <w:rsid w:val="00764300"/>
    <w:rsid w:val="00764695"/>
    <w:rsid w:val="00764A67"/>
    <w:rsid w:val="00765433"/>
    <w:rsid w:val="00767CFE"/>
    <w:rsid w:val="00770F6B"/>
    <w:rsid w:val="00771883"/>
    <w:rsid w:val="0077388B"/>
    <w:rsid w:val="007739C7"/>
    <w:rsid w:val="0077560B"/>
    <w:rsid w:val="00776DC2"/>
    <w:rsid w:val="00780122"/>
    <w:rsid w:val="00780E54"/>
    <w:rsid w:val="007811DB"/>
    <w:rsid w:val="00781C5C"/>
    <w:rsid w:val="0078214B"/>
    <w:rsid w:val="0078498A"/>
    <w:rsid w:val="00790B7A"/>
    <w:rsid w:val="00792207"/>
    <w:rsid w:val="00792B64"/>
    <w:rsid w:val="00792E29"/>
    <w:rsid w:val="007934F4"/>
    <w:rsid w:val="0079379A"/>
    <w:rsid w:val="00794953"/>
    <w:rsid w:val="00796D06"/>
    <w:rsid w:val="00797752"/>
    <w:rsid w:val="00797A97"/>
    <w:rsid w:val="007A005A"/>
    <w:rsid w:val="007A0230"/>
    <w:rsid w:val="007A1F2F"/>
    <w:rsid w:val="007A2A5C"/>
    <w:rsid w:val="007A5150"/>
    <w:rsid w:val="007A5373"/>
    <w:rsid w:val="007A789F"/>
    <w:rsid w:val="007B09DA"/>
    <w:rsid w:val="007B0DFC"/>
    <w:rsid w:val="007B12A2"/>
    <w:rsid w:val="007B1CCA"/>
    <w:rsid w:val="007B21BC"/>
    <w:rsid w:val="007B422E"/>
    <w:rsid w:val="007B544F"/>
    <w:rsid w:val="007B75BC"/>
    <w:rsid w:val="007C0BD6"/>
    <w:rsid w:val="007C0CD3"/>
    <w:rsid w:val="007C3238"/>
    <w:rsid w:val="007C3806"/>
    <w:rsid w:val="007C59CB"/>
    <w:rsid w:val="007C5BB7"/>
    <w:rsid w:val="007C5C34"/>
    <w:rsid w:val="007C63FF"/>
    <w:rsid w:val="007C6B2A"/>
    <w:rsid w:val="007D012F"/>
    <w:rsid w:val="007D07D5"/>
    <w:rsid w:val="007D0A2F"/>
    <w:rsid w:val="007D19AA"/>
    <w:rsid w:val="007D1C64"/>
    <w:rsid w:val="007D2BE7"/>
    <w:rsid w:val="007D32DD"/>
    <w:rsid w:val="007D36D6"/>
    <w:rsid w:val="007D5699"/>
    <w:rsid w:val="007D6DCE"/>
    <w:rsid w:val="007D72C4"/>
    <w:rsid w:val="007E1235"/>
    <w:rsid w:val="007E1F2D"/>
    <w:rsid w:val="007E2CFE"/>
    <w:rsid w:val="007E59C9"/>
    <w:rsid w:val="007F0072"/>
    <w:rsid w:val="007F0BB9"/>
    <w:rsid w:val="007F2EB6"/>
    <w:rsid w:val="007F4C20"/>
    <w:rsid w:val="007F4E4B"/>
    <w:rsid w:val="007F54C3"/>
    <w:rsid w:val="007F68D6"/>
    <w:rsid w:val="00800A5C"/>
    <w:rsid w:val="00802949"/>
    <w:rsid w:val="0080301E"/>
    <w:rsid w:val="0080365F"/>
    <w:rsid w:val="00803AF9"/>
    <w:rsid w:val="008050EE"/>
    <w:rsid w:val="00806491"/>
    <w:rsid w:val="008125F4"/>
    <w:rsid w:val="00812BE5"/>
    <w:rsid w:val="00812D0E"/>
    <w:rsid w:val="008143A2"/>
    <w:rsid w:val="008152A3"/>
    <w:rsid w:val="008171DC"/>
    <w:rsid w:val="00817429"/>
    <w:rsid w:val="00817A73"/>
    <w:rsid w:val="00821514"/>
    <w:rsid w:val="00821E35"/>
    <w:rsid w:val="00824256"/>
    <w:rsid w:val="00824539"/>
    <w:rsid w:val="00824591"/>
    <w:rsid w:val="00824AED"/>
    <w:rsid w:val="00826334"/>
    <w:rsid w:val="00827820"/>
    <w:rsid w:val="0083016C"/>
    <w:rsid w:val="00831B8B"/>
    <w:rsid w:val="0083405D"/>
    <w:rsid w:val="00834FC1"/>
    <w:rsid w:val="008352D4"/>
    <w:rsid w:val="00836DB9"/>
    <w:rsid w:val="00837626"/>
    <w:rsid w:val="00837C67"/>
    <w:rsid w:val="00837ED2"/>
    <w:rsid w:val="008415B0"/>
    <w:rsid w:val="00841A8D"/>
    <w:rsid w:val="00842028"/>
    <w:rsid w:val="008436B8"/>
    <w:rsid w:val="00844EE8"/>
    <w:rsid w:val="008460B6"/>
    <w:rsid w:val="008469F9"/>
    <w:rsid w:val="00847160"/>
    <w:rsid w:val="00847EA8"/>
    <w:rsid w:val="00850C9D"/>
    <w:rsid w:val="00852B59"/>
    <w:rsid w:val="00856272"/>
    <w:rsid w:val="008563FF"/>
    <w:rsid w:val="008565CB"/>
    <w:rsid w:val="0086018B"/>
    <w:rsid w:val="008611DD"/>
    <w:rsid w:val="008620DE"/>
    <w:rsid w:val="00866867"/>
    <w:rsid w:val="008671AB"/>
    <w:rsid w:val="008673E2"/>
    <w:rsid w:val="00870D64"/>
    <w:rsid w:val="00872257"/>
    <w:rsid w:val="00873AC6"/>
    <w:rsid w:val="0087419F"/>
    <w:rsid w:val="00875116"/>
    <w:rsid w:val="008753E6"/>
    <w:rsid w:val="0087738C"/>
    <w:rsid w:val="008802AF"/>
    <w:rsid w:val="00881926"/>
    <w:rsid w:val="00881D8F"/>
    <w:rsid w:val="0088318F"/>
    <w:rsid w:val="0088331D"/>
    <w:rsid w:val="008852B0"/>
    <w:rsid w:val="008857E9"/>
    <w:rsid w:val="00885AE7"/>
    <w:rsid w:val="00886123"/>
    <w:rsid w:val="00886B60"/>
    <w:rsid w:val="00887889"/>
    <w:rsid w:val="00887C9B"/>
    <w:rsid w:val="008901A9"/>
    <w:rsid w:val="008917CE"/>
    <w:rsid w:val="008920FF"/>
    <w:rsid w:val="008926E8"/>
    <w:rsid w:val="00892E3F"/>
    <w:rsid w:val="00893BC4"/>
    <w:rsid w:val="008949F4"/>
    <w:rsid w:val="00894F19"/>
    <w:rsid w:val="00896A10"/>
    <w:rsid w:val="008971B5"/>
    <w:rsid w:val="00897808"/>
    <w:rsid w:val="00897F76"/>
    <w:rsid w:val="008A1BA6"/>
    <w:rsid w:val="008A2E3F"/>
    <w:rsid w:val="008A362F"/>
    <w:rsid w:val="008A4EF2"/>
    <w:rsid w:val="008A53EC"/>
    <w:rsid w:val="008A5612"/>
    <w:rsid w:val="008A5D26"/>
    <w:rsid w:val="008A65AA"/>
    <w:rsid w:val="008A6B13"/>
    <w:rsid w:val="008A6DB9"/>
    <w:rsid w:val="008A6ECB"/>
    <w:rsid w:val="008A7E9F"/>
    <w:rsid w:val="008B0BF9"/>
    <w:rsid w:val="008B2866"/>
    <w:rsid w:val="008B354A"/>
    <w:rsid w:val="008B3621"/>
    <w:rsid w:val="008B3859"/>
    <w:rsid w:val="008B3B25"/>
    <w:rsid w:val="008B3B30"/>
    <w:rsid w:val="008B436D"/>
    <w:rsid w:val="008B48A8"/>
    <w:rsid w:val="008B4E49"/>
    <w:rsid w:val="008B7547"/>
    <w:rsid w:val="008B7712"/>
    <w:rsid w:val="008B7B26"/>
    <w:rsid w:val="008B7CF3"/>
    <w:rsid w:val="008C049C"/>
    <w:rsid w:val="008C09C9"/>
    <w:rsid w:val="008C1D2B"/>
    <w:rsid w:val="008C33FB"/>
    <w:rsid w:val="008C3524"/>
    <w:rsid w:val="008C4061"/>
    <w:rsid w:val="008C41C8"/>
    <w:rsid w:val="008C4229"/>
    <w:rsid w:val="008C470A"/>
    <w:rsid w:val="008C5BE0"/>
    <w:rsid w:val="008C6155"/>
    <w:rsid w:val="008C6560"/>
    <w:rsid w:val="008C7233"/>
    <w:rsid w:val="008C7966"/>
    <w:rsid w:val="008C7CA5"/>
    <w:rsid w:val="008D0149"/>
    <w:rsid w:val="008D2434"/>
    <w:rsid w:val="008D6301"/>
    <w:rsid w:val="008E16E3"/>
    <w:rsid w:val="008E171D"/>
    <w:rsid w:val="008E1E73"/>
    <w:rsid w:val="008E2785"/>
    <w:rsid w:val="008E36F4"/>
    <w:rsid w:val="008E47BE"/>
    <w:rsid w:val="008E6AD7"/>
    <w:rsid w:val="008E78A3"/>
    <w:rsid w:val="008F0654"/>
    <w:rsid w:val="008F06CB"/>
    <w:rsid w:val="008F0956"/>
    <w:rsid w:val="008F1F92"/>
    <w:rsid w:val="008F2E83"/>
    <w:rsid w:val="008F478C"/>
    <w:rsid w:val="008F612A"/>
    <w:rsid w:val="0090293D"/>
    <w:rsid w:val="0090335D"/>
    <w:rsid w:val="009034DE"/>
    <w:rsid w:val="009045C7"/>
    <w:rsid w:val="00905396"/>
    <w:rsid w:val="0090577B"/>
    <w:rsid w:val="0090605D"/>
    <w:rsid w:val="00906419"/>
    <w:rsid w:val="00907FE0"/>
    <w:rsid w:val="00912889"/>
    <w:rsid w:val="0091310F"/>
    <w:rsid w:val="00913A42"/>
    <w:rsid w:val="00914167"/>
    <w:rsid w:val="009143DB"/>
    <w:rsid w:val="00915065"/>
    <w:rsid w:val="00917CE5"/>
    <w:rsid w:val="009217C0"/>
    <w:rsid w:val="009244CA"/>
    <w:rsid w:val="00924707"/>
    <w:rsid w:val="00924921"/>
    <w:rsid w:val="00925241"/>
    <w:rsid w:val="00925CEC"/>
    <w:rsid w:val="00926A3F"/>
    <w:rsid w:val="0092794E"/>
    <w:rsid w:val="00930D30"/>
    <w:rsid w:val="00932936"/>
    <w:rsid w:val="009332A2"/>
    <w:rsid w:val="00935950"/>
    <w:rsid w:val="00937598"/>
    <w:rsid w:val="0093790B"/>
    <w:rsid w:val="009379E9"/>
    <w:rsid w:val="00941453"/>
    <w:rsid w:val="00942056"/>
    <w:rsid w:val="00942F93"/>
    <w:rsid w:val="00943751"/>
    <w:rsid w:val="009451C7"/>
    <w:rsid w:val="00946283"/>
    <w:rsid w:val="0094680D"/>
    <w:rsid w:val="00946DD0"/>
    <w:rsid w:val="009509E6"/>
    <w:rsid w:val="00950C86"/>
    <w:rsid w:val="00952018"/>
    <w:rsid w:val="00952800"/>
    <w:rsid w:val="0095300D"/>
    <w:rsid w:val="009530D9"/>
    <w:rsid w:val="00955A5E"/>
    <w:rsid w:val="00956812"/>
    <w:rsid w:val="00956E82"/>
    <w:rsid w:val="00957133"/>
    <w:rsid w:val="0095719A"/>
    <w:rsid w:val="009576B7"/>
    <w:rsid w:val="00960B07"/>
    <w:rsid w:val="00962158"/>
    <w:rsid w:val="009623E9"/>
    <w:rsid w:val="00962E10"/>
    <w:rsid w:val="00963EEB"/>
    <w:rsid w:val="009648BC"/>
    <w:rsid w:val="00964C2F"/>
    <w:rsid w:val="00965AB4"/>
    <w:rsid w:val="00965F88"/>
    <w:rsid w:val="00966DD8"/>
    <w:rsid w:val="00970801"/>
    <w:rsid w:val="009728FE"/>
    <w:rsid w:val="009733AF"/>
    <w:rsid w:val="00976C23"/>
    <w:rsid w:val="0098157B"/>
    <w:rsid w:val="009818DF"/>
    <w:rsid w:val="00982285"/>
    <w:rsid w:val="009825E9"/>
    <w:rsid w:val="0098372B"/>
    <w:rsid w:val="009843ED"/>
    <w:rsid w:val="00984E03"/>
    <w:rsid w:val="0098663A"/>
    <w:rsid w:val="009868DB"/>
    <w:rsid w:val="00986C5C"/>
    <w:rsid w:val="00987664"/>
    <w:rsid w:val="00987E85"/>
    <w:rsid w:val="00993C40"/>
    <w:rsid w:val="009955D0"/>
    <w:rsid w:val="009A0D12"/>
    <w:rsid w:val="009A0FD5"/>
    <w:rsid w:val="009A1301"/>
    <w:rsid w:val="009A1987"/>
    <w:rsid w:val="009A2943"/>
    <w:rsid w:val="009A2BEE"/>
    <w:rsid w:val="009A379F"/>
    <w:rsid w:val="009A3AFE"/>
    <w:rsid w:val="009A5289"/>
    <w:rsid w:val="009A6FD8"/>
    <w:rsid w:val="009A7A53"/>
    <w:rsid w:val="009B0402"/>
    <w:rsid w:val="009B0B75"/>
    <w:rsid w:val="009B16DF"/>
    <w:rsid w:val="009B27EE"/>
    <w:rsid w:val="009B36FB"/>
    <w:rsid w:val="009B4CB2"/>
    <w:rsid w:val="009B575B"/>
    <w:rsid w:val="009B5853"/>
    <w:rsid w:val="009B6701"/>
    <w:rsid w:val="009B6EF7"/>
    <w:rsid w:val="009B6FCC"/>
    <w:rsid w:val="009B7000"/>
    <w:rsid w:val="009B739C"/>
    <w:rsid w:val="009C04EC"/>
    <w:rsid w:val="009C1AE8"/>
    <w:rsid w:val="009C1FCF"/>
    <w:rsid w:val="009C328C"/>
    <w:rsid w:val="009C4444"/>
    <w:rsid w:val="009C4502"/>
    <w:rsid w:val="009C4C82"/>
    <w:rsid w:val="009C7247"/>
    <w:rsid w:val="009C7472"/>
    <w:rsid w:val="009C79AD"/>
    <w:rsid w:val="009C79F2"/>
    <w:rsid w:val="009C7CA6"/>
    <w:rsid w:val="009D2022"/>
    <w:rsid w:val="009D28CC"/>
    <w:rsid w:val="009D3316"/>
    <w:rsid w:val="009D55AA"/>
    <w:rsid w:val="009E34EC"/>
    <w:rsid w:val="009E3E77"/>
    <w:rsid w:val="009E3FAB"/>
    <w:rsid w:val="009E5929"/>
    <w:rsid w:val="009E5B3F"/>
    <w:rsid w:val="009E76CA"/>
    <w:rsid w:val="009E7D90"/>
    <w:rsid w:val="009F13FE"/>
    <w:rsid w:val="009F14C9"/>
    <w:rsid w:val="009F1AB0"/>
    <w:rsid w:val="009F3F72"/>
    <w:rsid w:val="009F501D"/>
    <w:rsid w:val="009F6850"/>
    <w:rsid w:val="009F72D1"/>
    <w:rsid w:val="00A00FEE"/>
    <w:rsid w:val="00A03858"/>
    <w:rsid w:val="00A039D5"/>
    <w:rsid w:val="00A04051"/>
    <w:rsid w:val="00A046AD"/>
    <w:rsid w:val="00A06107"/>
    <w:rsid w:val="00A06B88"/>
    <w:rsid w:val="00A077BC"/>
    <w:rsid w:val="00A079C1"/>
    <w:rsid w:val="00A07B38"/>
    <w:rsid w:val="00A10126"/>
    <w:rsid w:val="00A12424"/>
    <w:rsid w:val="00A12520"/>
    <w:rsid w:val="00A130FD"/>
    <w:rsid w:val="00A13D6D"/>
    <w:rsid w:val="00A14769"/>
    <w:rsid w:val="00A14EFF"/>
    <w:rsid w:val="00A16151"/>
    <w:rsid w:val="00A16559"/>
    <w:rsid w:val="00A16EC6"/>
    <w:rsid w:val="00A17298"/>
    <w:rsid w:val="00A17C06"/>
    <w:rsid w:val="00A2126E"/>
    <w:rsid w:val="00A21706"/>
    <w:rsid w:val="00A222CC"/>
    <w:rsid w:val="00A22E43"/>
    <w:rsid w:val="00A24D17"/>
    <w:rsid w:val="00A24FCC"/>
    <w:rsid w:val="00A26A90"/>
    <w:rsid w:val="00A26B27"/>
    <w:rsid w:val="00A30E4F"/>
    <w:rsid w:val="00A32253"/>
    <w:rsid w:val="00A3310E"/>
    <w:rsid w:val="00A333A0"/>
    <w:rsid w:val="00A34762"/>
    <w:rsid w:val="00A360FD"/>
    <w:rsid w:val="00A37E70"/>
    <w:rsid w:val="00A40159"/>
    <w:rsid w:val="00A4294B"/>
    <w:rsid w:val="00A4368F"/>
    <w:rsid w:val="00A437E1"/>
    <w:rsid w:val="00A4685E"/>
    <w:rsid w:val="00A4686F"/>
    <w:rsid w:val="00A50CD4"/>
    <w:rsid w:val="00A50E56"/>
    <w:rsid w:val="00A51191"/>
    <w:rsid w:val="00A531C7"/>
    <w:rsid w:val="00A533BB"/>
    <w:rsid w:val="00A536C7"/>
    <w:rsid w:val="00A542F1"/>
    <w:rsid w:val="00A54417"/>
    <w:rsid w:val="00A55C72"/>
    <w:rsid w:val="00A55D69"/>
    <w:rsid w:val="00A560CB"/>
    <w:rsid w:val="00A56D62"/>
    <w:rsid w:val="00A56F07"/>
    <w:rsid w:val="00A5762C"/>
    <w:rsid w:val="00A600FC"/>
    <w:rsid w:val="00A606F4"/>
    <w:rsid w:val="00A60BCA"/>
    <w:rsid w:val="00A638DA"/>
    <w:rsid w:val="00A63D3F"/>
    <w:rsid w:val="00A64D21"/>
    <w:rsid w:val="00A65B41"/>
    <w:rsid w:val="00A65E00"/>
    <w:rsid w:val="00A66A78"/>
    <w:rsid w:val="00A71874"/>
    <w:rsid w:val="00A72262"/>
    <w:rsid w:val="00A72C57"/>
    <w:rsid w:val="00A72CB0"/>
    <w:rsid w:val="00A72F41"/>
    <w:rsid w:val="00A736B4"/>
    <w:rsid w:val="00A7436E"/>
    <w:rsid w:val="00A74E96"/>
    <w:rsid w:val="00A75A8E"/>
    <w:rsid w:val="00A7629E"/>
    <w:rsid w:val="00A77433"/>
    <w:rsid w:val="00A77EDE"/>
    <w:rsid w:val="00A80023"/>
    <w:rsid w:val="00A8086F"/>
    <w:rsid w:val="00A81F33"/>
    <w:rsid w:val="00A8205F"/>
    <w:rsid w:val="00A8249F"/>
    <w:rsid w:val="00A824DD"/>
    <w:rsid w:val="00A83676"/>
    <w:rsid w:val="00A839A0"/>
    <w:rsid w:val="00A83B7B"/>
    <w:rsid w:val="00A84274"/>
    <w:rsid w:val="00A850F3"/>
    <w:rsid w:val="00A864E3"/>
    <w:rsid w:val="00A87D74"/>
    <w:rsid w:val="00A90EA3"/>
    <w:rsid w:val="00A910F7"/>
    <w:rsid w:val="00A93F20"/>
    <w:rsid w:val="00A94574"/>
    <w:rsid w:val="00A94723"/>
    <w:rsid w:val="00A95936"/>
    <w:rsid w:val="00A95B7F"/>
    <w:rsid w:val="00A96265"/>
    <w:rsid w:val="00A96C4E"/>
    <w:rsid w:val="00A97084"/>
    <w:rsid w:val="00AA1262"/>
    <w:rsid w:val="00AA1C2C"/>
    <w:rsid w:val="00AA306D"/>
    <w:rsid w:val="00AA35F6"/>
    <w:rsid w:val="00AA50D3"/>
    <w:rsid w:val="00AA5926"/>
    <w:rsid w:val="00AA5B97"/>
    <w:rsid w:val="00AA667C"/>
    <w:rsid w:val="00AA66F9"/>
    <w:rsid w:val="00AA6E91"/>
    <w:rsid w:val="00AA7439"/>
    <w:rsid w:val="00AB047E"/>
    <w:rsid w:val="00AB0B0A"/>
    <w:rsid w:val="00AB0BB7"/>
    <w:rsid w:val="00AB214A"/>
    <w:rsid w:val="00AB22C6"/>
    <w:rsid w:val="00AB2AD0"/>
    <w:rsid w:val="00AB3C09"/>
    <w:rsid w:val="00AB4DE1"/>
    <w:rsid w:val="00AB530B"/>
    <w:rsid w:val="00AB63F8"/>
    <w:rsid w:val="00AB67FC"/>
    <w:rsid w:val="00AB6EF4"/>
    <w:rsid w:val="00AB6F68"/>
    <w:rsid w:val="00AC0035"/>
    <w:rsid w:val="00AC00F2"/>
    <w:rsid w:val="00AC01B2"/>
    <w:rsid w:val="00AC1A9A"/>
    <w:rsid w:val="00AC31B5"/>
    <w:rsid w:val="00AC3E0E"/>
    <w:rsid w:val="00AC4014"/>
    <w:rsid w:val="00AC4EA1"/>
    <w:rsid w:val="00AC5381"/>
    <w:rsid w:val="00AC5920"/>
    <w:rsid w:val="00AD0E65"/>
    <w:rsid w:val="00AD24F7"/>
    <w:rsid w:val="00AD2BF2"/>
    <w:rsid w:val="00AD4E90"/>
    <w:rsid w:val="00AD5422"/>
    <w:rsid w:val="00AD617D"/>
    <w:rsid w:val="00AD6DC3"/>
    <w:rsid w:val="00AE18C6"/>
    <w:rsid w:val="00AE225C"/>
    <w:rsid w:val="00AE26BC"/>
    <w:rsid w:val="00AE3D97"/>
    <w:rsid w:val="00AE4081"/>
    <w:rsid w:val="00AE4179"/>
    <w:rsid w:val="00AE4425"/>
    <w:rsid w:val="00AE4FBE"/>
    <w:rsid w:val="00AE5048"/>
    <w:rsid w:val="00AE650F"/>
    <w:rsid w:val="00AE6555"/>
    <w:rsid w:val="00AE7A7B"/>
    <w:rsid w:val="00AE7D16"/>
    <w:rsid w:val="00AF2EBB"/>
    <w:rsid w:val="00AF3BA1"/>
    <w:rsid w:val="00AF4BFE"/>
    <w:rsid w:val="00AF4CAA"/>
    <w:rsid w:val="00AF571A"/>
    <w:rsid w:val="00AF60A0"/>
    <w:rsid w:val="00AF669D"/>
    <w:rsid w:val="00AF67FC"/>
    <w:rsid w:val="00AF7030"/>
    <w:rsid w:val="00AF7DF5"/>
    <w:rsid w:val="00AF7E58"/>
    <w:rsid w:val="00B006E5"/>
    <w:rsid w:val="00B01216"/>
    <w:rsid w:val="00B024C2"/>
    <w:rsid w:val="00B02DD9"/>
    <w:rsid w:val="00B0452F"/>
    <w:rsid w:val="00B04563"/>
    <w:rsid w:val="00B05447"/>
    <w:rsid w:val="00B05C1F"/>
    <w:rsid w:val="00B05FDC"/>
    <w:rsid w:val="00B07700"/>
    <w:rsid w:val="00B07E8B"/>
    <w:rsid w:val="00B12990"/>
    <w:rsid w:val="00B12BE4"/>
    <w:rsid w:val="00B135FC"/>
    <w:rsid w:val="00B13921"/>
    <w:rsid w:val="00B13CE8"/>
    <w:rsid w:val="00B1528C"/>
    <w:rsid w:val="00B15315"/>
    <w:rsid w:val="00B16ACD"/>
    <w:rsid w:val="00B205F6"/>
    <w:rsid w:val="00B21487"/>
    <w:rsid w:val="00B21B4D"/>
    <w:rsid w:val="00B232D1"/>
    <w:rsid w:val="00B23B81"/>
    <w:rsid w:val="00B24753"/>
    <w:rsid w:val="00B24AB7"/>
    <w:rsid w:val="00B24DB5"/>
    <w:rsid w:val="00B271F3"/>
    <w:rsid w:val="00B30D79"/>
    <w:rsid w:val="00B3124E"/>
    <w:rsid w:val="00B313BF"/>
    <w:rsid w:val="00B31F9E"/>
    <w:rsid w:val="00B3268F"/>
    <w:rsid w:val="00B32C2C"/>
    <w:rsid w:val="00B338F4"/>
    <w:rsid w:val="00B339FA"/>
    <w:rsid w:val="00B33A1A"/>
    <w:rsid w:val="00B33E6C"/>
    <w:rsid w:val="00B371CC"/>
    <w:rsid w:val="00B40FC6"/>
    <w:rsid w:val="00B4131B"/>
    <w:rsid w:val="00B41CD9"/>
    <w:rsid w:val="00B427E6"/>
    <w:rsid w:val="00B428A6"/>
    <w:rsid w:val="00B43E1F"/>
    <w:rsid w:val="00B44F51"/>
    <w:rsid w:val="00B45FBC"/>
    <w:rsid w:val="00B51A06"/>
    <w:rsid w:val="00B51A7D"/>
    <w:rsid w:val="00B535C2"/>
    <w:rsid w:val="00B54EBE"/>
    <w:rsid w:val="00B55544"/>
    <w:rsid w:val="00B61936"/>
    <w:rsid w:val="00B632FB"/>
    <w:rsid w:val="00B642FC"/>
    <w:rsid w:val="00B64D26"/>
    <w:rsid w:val="00B64FBB"/>
    <w:rsid w:val="00B6757F"/>
    <w:rsid w:val="00B67E85"/>
    <w:rsid w:val="00B70B64"/>
    <w:rsid w:val="00B70E22"/>
    <w:rsid w:val="00B730ED"/>
    <w:rsid w:val="00B73C2F"/>
    <w:rsid w:val="00B73D21"/>
    <w:rsid w:val="00B76045"/>
    <w:rsid w:val="00B76428"/>
    <w:rsid w:val="00B774CB"/>
    <w:rsid w:val="00B77547"/>
    <w:rsid w:val="00B80402"/>
    <w:rsid w:val="00B80B9A"/>
    <w:rsid w:val="00B81182"/>
    <w:rsid w:val="00B82129"/>
    <w:rsid w:val="00B82F04"/>
    <w:rsid w:val="00B830B7"/>
    <w:rsid w:val="00B848EA"/>
    <w:rsid w:val="00B84B2B"/>
    <w:rsid w:val="00B854FD"/>
    <w:rsid w:val="00B85569"/>
    <w:rsid w:val="00B90500"/>
    <w:rsid w:val="00B9176C"/>
    <w:rsid w:val="00B935A4"/>
    <w:rsid w:val="00B940B1"/>
    <w:rsid w:val="00B96ACD"/>
    <w:rsid w:val="00B96EAB"/>
    <w:rsid w:val="00B96EDA"/>
    <w:rsid w:val="00B9710B"/>
    <w:rsid w:val="00B97405"/>
    <w:rsid w:val="00BA3576"/>
    <w:rsid w:val="00BA4458"/>
    <w:rsid w:val="00BA561A"/>
    <w:rsid w:val="00BB0DC6"/>
    <w:rsid w:val="00BB15E4"/>
    <w:rsid w:val="00BB1E19"/>
    <w:rsid w:val="00BB1E44"/>
    <w:rsid w:val="00BB21D1"/>
    <w:rsid w:val="00BB2F6A"/>
    <w:rsid w:val="00BB32F2"/>
    <w:rsid w:val="00BB4338"/>
    <w:rsid w:val="00BB6C0E"/>
    <w:rsid w:val="00BB741E"/>
    <w:rsid w:val="00BB7B38"/>
    <w:rsid w:val="00BB7E6C"/>
    <w:rsid w:val="00BC0B8F"/>
    <w:rsid w:val="00BC0CFA"/>
    <w:rsid w:val="00BC11E5"/>
    <w:rsid w:val="00BC2F92"/>
    <w:rsid w:val="00BC38D2"/>
    <w:rsid w:val="00BC4BC6"/>
    <w:rsid w:val="00BC52FD"/>
    <w:rsid w:val="00BC57D2"/>
    <w:rsid w:val="00BC6E62"/>
    <w:rsid w:val="00BC7443"/>
    <w:rsid w:val="00BD0648"/>
    <w:rsid w:val="00BD1040"/>
    <w:rsid w:val="00BD34AA"/>
    <w:rsid w:val="00BD36BB"/>
    <w:rsid w:val="00BD6AE1"/>
    <w:rsid w:val="00BD76EA"/>
    <w:rsid w:val="00BE0C44"/>
    <w:rsid w:val="00BE1B8B"/>
    <w:rsid w:val="00BE2A18"/>
    <w:rsid w:val="00BE2C01"/>
    <w:rsid w:val="00BE41EC"/>
    <w:rsid w:val="00BE47A8"/>
    <w:rsid w:val="00BE56FB"/>
    <w:rsid w:val="00BF1F50"/>
    <w:rsid w:val="00BF2B58"/>
    <w:rsid w:val="00BF3ADA"/>
    <w:rsid w:val="00BF3DDE"/>
    <w:rsid w:val="00BF6589"/>
    <w:rsid w:val="00BF6F7F"/>
    <w:rsid w:val="00C00647"/>
    <w:rsid w:val="00C02764"/>
    <w:rsid w:val="00C04CEF"/>
    <w:rsid w:val="00C0662F"/>
    <w:rsid w:val="00C06E7B"/>
    <w:rsid w:val="00C07EA1"/>
    <w:rsid w:val="00C11943"/>
    <w:rsid w:val="00C121B2"/>
    <w:rsid w:val="00C12D62"/>
    <w:rsid w:val="00C12E96"/>
    <w:rsid w:val="00C13D50"/>
    <w:rsid w:val="00C14763"/>
    <w:rsid w:val="00C14986"/>
    <w:rsid w:val="00C16141"/>
    <w:rsid w:val="00C2363F"/>
    <w:rsid w:val="00C236C8"/>
    <w:rsid w:val="00C24A6E"/>
    <w:rsid w:val="00C260B1"/>
    <w:rsid w:val="00C2619C"/>
    <w:rsid w:val="00C26E56"/>
    <w:rsid w:val="00C271EE"/>
    <w:rsid w:val="00C30EF2"/>
    <w:rsid w:val="00C31406"/>
    <w:rsid w:val="00C334B3"/>
    <w:rsid w:val="00C336BF"/>
    <w:rsid w:val="00C33DC3"/>
    <w:rsid w:val="00C3472C"/>
    <w:rsid w:val="00C36A87"/>
    <w:rsid w:val="00C37194"/>
    <w:rsid w:val="00C37C6D"/>
    <w:rsid w:val="00C40637"/>
    <w:rsid w:val="00C406F1"/>
    <w:rsid w:val="00C40F6C"/>
    <w:rsid w:val="00C411BC"/>
    <w:rsid w:val="00C41E05"/>
    <w:rsid w:val="00C426F3"/>
    <w:rsid w:val="00C44426"/>
    <w:rsid w:val="00C445F3"/>
    <w:rsid w:val="00C451F4"/>
    <w:rsid w:val="00C45EB1"/>
    <w:rsid w:val="00C4620C"/>
    <w:rsid w:val="00C4685F"/>
    <w:rsid w:val="00C4700B"/>
    <w:rsid w:val="00C501F2"/>
    <w:rsid w:val="00C52413"/>
    <w:rsid w:val="00C53082"/>
    <w:rsid w:val="00C53284"/>
    <w:rsid w:val="00C54A3A"/>
    <w:rsid w:val="00C55566"/>
    <w:rsid w:val="00C56448"/>
    <w:rsid w:val="00C57959"/>
    <w:rsid w:val="00C57BC0"/>
    <w:rsid w:val="00C6306C"/>
    <w:rsid w:val="00C63D34"/>
    <w:rsid w:val="00C667BE"/>
    <w:rsid w:val="00C66FC9"/>
    <w:rsid w:val="00C670F2"/>
    <w:rsid w:val="00C6766B"/>
    <w:rsid w:val="00C702CF"/>
    <w:rsid w:val="00C72223"/>
    <w:rsid w:val="00C746EB"/>
    <w:rsid w:val="00C75AF6"/>
    <w:rsid w:val="00C75BBD"/>
    <w:rsid w:val="00C76417"/>
    <w:rsid w:val="00C7726F"/>
    <w:rsid w:val="00C81B2B"/>
    <w:rsid w:val="00C821D3"/>
    <w:rsid w:val="00C823DA"/>
    <w:rsid w:val="00C8259F"/>
    <w:rsid w:val="00C82746"/>
    <w:rsid w:val="00C8312F"/>
    <w:rsid w:val="00C84499"/>
    <w:rsid w:val="00C84C47"/>
    <w:rsid w:val="00C858A4"/>
    <w:rsid w:val="00C86AFA"/>
    <w:rsid w:val="00C87F3A"/>
    <w:rsid w:val="00C90095"/>
    <w:rsid w:val="00C938B9"/>
    <w:rsid w:val="00C93E2F"/>
    <w:rsid w:val="00C94615"/>
    <w:rsid w:val="00CA04C9"/>
    <w:rsid w:val="00CA1893"/>
    <w:rsid w:val="00CA258C"/>
    <w:rsid w:val="00CA3D04"/>
    <w:rsid w:val="00CA3EF6"/>
    <w:rsid w:val="00CA5332"/>
    <w:rsid w:val="00CA655C"/>
    <w:rsid w:val="00CB18D0"/>
    <w:rsid w:val="00CB1C8A"/>
    <w:rsid w:val="00CB24F5"/>
    <w:rsid w:val="00CB2663"/>
    <w:rsid w:val="00CB3BBE"/>
    <w:rsid w:val="00CB3FF0"/>
    <w:rsid w:val="00CB59E9"/>
    <w:rsid w:val="00CB67AF"/>
    <w:rsid w:val="00CC01BF"/>
    <w:rsid w:val="00CC0D6A"/>
    <w:rsid w:val="00CC1001"/>
    <w:rsid w:val="00CC1AD0"/>
    <w:rsid w:val="00CC304D"/>
    <w:rsid w:val="00CC335A"/>
    <w:rsid w:val="00CC3831"/>
    <w:rsid w:val="00CC3E3D"/>
    <w:rsid w:val="00CC519B"/>
    <w:rsid w:val="00CC526C"/>
    <w:rsid w:val="00CD00E0"/>
    <w:rsid w:val="00CD0B0E"/>
    <w:rsid w:val="00CD12C1"/>
    <w:rsid w:val="00CD198F"/>
    <w:rsid w:val="00CD214E"/>
    <w:rsid w:val="00CD2928"/>
    <w:rsid w:val="00CD46FA"/>
    <w:rsid w:val="00CD5973"/>
    <w:rsid w:val="00CD616A"/>
    <w:rsid w:val="00CD6BED"/>
    <w:rsid w:val="00CD7BF8"/>
    <w:rsid w:val="00CE079E"/>
    <w:rsid w:val="00CE244B"/>
    <w:rsid w:val="00CE31A6"/>
    <w:rsid w:val="00CE5205"/>
    <w:rsid w:val="00CE7939"/>
    <w:rsid w:val="00CF09AA"/>
    <w:rsid w:val="00CF0E5F"/>
    <w:rsid w:val="00CF4813"/>
    <w:rsid w:val="00CF5233"/>
    <w:rsid w:val="00CF7BE5"/>
    <w:rsid w:val="00D00B03"/>
    <w:rsid w:val="00D00D64"/>
    <w:rsid w:val="00D00E5E"/>
    <w:rsid w:val="00D029B8"/>
    <w:rsid w:val="00D02F60"/>
    <w:rsid w:val="00D03B82"/>
    <w:rsid w:val="00D0464E"/>
    <w:rsid w:val="00D04A96"/>
    <w:rsid w:val="00D06C03"/>
    <w:rsid w:val="00D07067"/>
    <w:rsid w:val="00D07A7B"/>
    <w:rsid w:val="00D07B44"/>
    <w:rsid w:val="00D10E06"/>
    <w:rsid w:val="00D12164"/>
    <w:rsid w:val="00D13141"/>
    <w:rsid w:val="00D1472E"/>
    <w:rsid w:val="00D147CF"/>
    <w:rsid w:val="00D15197"/>
    <w:rsid w:val="00D154CE"/>
    <w:rsid w:val="00D16820"/>
    <w:rsid w:val="00D169C8"/>
    <w:rsid w:val="00D1793F"/>
    <w:rsid w:val="00D21561"/>
    <w:rsid w:val="00D22AF5"/>
    <w:rsid w:val="00D235EA"/>
    <w:rsid w:val="00D23867"/>
    <w:rsid w:val="00D247A9"/>
    <w:rsid w:val="00D24F27"/>
    <w:rsid w:val="00D26988"/>
    <w:rsid w:val="00D26AC5"/>
    <w:rsid w:val="00D27D16"/>
    <w:rsid w:val="00D32721"/>
    <w:rsid w:val="00D328DC"/>
    <w:rsid w:val="00D328F0"/>
    <w:rsid w:val="00D33187"/>
    <w:rsid w:val="00D33387"/>
    <w:rsid w:val="00D401AA"/>
    <w:rsid w:val="00D402FB"/>
    <w:rsid w:val="00D413B4"/>
    <w:rsid w:val="00D43E58"/>
    <w:rsid w:val="00D46B83"/>
    <w:rsid w:val="00D47D7A"/>
    <w:rsid w:val="00D50ABD"/>
    <w:rsid w:val="00D51D9E"/>
    <w:rsid w:val="00D55290"/>
    <w:rsid w:val="00D56D9B"/>
    <w:rsid w:val="00D57791"/>
    <w:rsid w:val="00D57CE6"/>
    <w:rsid w:val="00D6046A"/>
    <w:rsid w:val="00D60727"/>
    <w:rsid w:val="00D60B68"/>
    <w:rsid w:val="00D61D75"/>
    <w:rsid w:val="00D62870"/>
    <w:rsid w:val="00D63A82"/>
    <w:rsid w:val="00D64B65"/>
    <w:rsid w:val="00D655D9"/>
    <w:rsid w:val="00D65872"/>
    <w:rsid w:val="00D676F3"/>
    <w:rsid w:val="00D70EF5"/>
    <w:rsid w:val="00D71024"/>
    <w:rsid w:val="00D7194F"/>
    <w:rsid w:val="00D71A25"/>
    <w:rsid w:val="00D71FCF"/>
    <w:rsid w:val="00D72A54"/>
    <w:rsid w:val="00D72CC1"/>
    <w:rsid w:val="00D74532"/>
    <w:rsid w:val="00D76EC9"/>
    <w:rsid w:val="00D77527"/>
    <w:rsid w:val="00D802CE"/>
    <w:rsid w:val="00D80E7D"/>
    <w:rsid w:val="00D81397"/>
    <w:rsid w:val="00D82545"/>
    <w:rsid w:val="00D848B9"/>
    <w:rsid w:val="00D8541C"/>
    <w:rsid w:val="00D85CF5"/>
    <w:rsid w:val="00D86578"/>
    <w:rsid w:val="00D86B48"/>
    <w:rsid w:val="00D90217"/>
    <w:rsid w:val="00D9051A"/>
    <w:rsid w:val="00D90E69"/>
    <w:rsid w:val="00D91368"/>
    <w:rsid w:val="00D93106"/>
    <w:rsid w:val="00D933E9"/>
    <w:rsid w:val="00D93B89"/>
    <w:rsid w:val="00D9505D"/>
    <w:rsid w:val="00D953D0"/>
    <w:rsid w:val="00D955E9"/>
    <w:rsid w:val="00D9564F"/>
    <w:rsid w:val="00D959F5"/>
    <w:rsid w:val="00D95B53"/>
    <w:rsid w:val="00D95E43"/>
    <w:rsid w:val="00D96884"/>
    <w:rsid w:val="00DA10B5"/>
    <w:rsid w:val="00DA14D7"/>
    <w:rsid w:val="00DA2C9E"/>
    <w:rsid w:val="00DA3FDD"/>
    <w:rsid w:val="00DA404F"/>
    <w:rsid w:val="00DA64D6"/>
    <w:rsid w:val="00DA6B70"/>
    <w:rsid w:val="00DA6E1D"/>
    <w:rsid w:val="00DA7017"/>
    <w:rsid w:val="00DA7028"/>
    <w:rsid w:val="00DA7B69"/>
    <w:rsid w:val="00DA7F0A"/>
    <w:rsid w:val="00DB1AD2"/>
    <w:rsid w:val="00DB2B58"/>
    <w:rsid w:val="00DB404A"/>
    <w:rsid w:val="00DB42F0"/>
    <w:rsid w:val="00DB4A01"/>
    <w:rsid w:val="00DB4FD4"/>
    <w:rsid w:val="00DB503F"/>
    <w:rsid w:val="00DB5206"/>
    <w:rsid w:val="00DB6276"/>
    <w:rsid w:val="00DB63F5"/>
    <w:rsid w:val="00DC1599"/>
    <w:rsid w:val="00DC1C6B"/>
    <w:rsid w:val="00DC2C2E"/>
    <w:rsid w:val="00DC2D67"/>
    <w:rsid w:val="00DC4AF0"/>
    <w:rsid w:val="00DC6D0F"/>
    <w:rsid w:val="00DC7886"/>
    <w:rsid w:val="00DD01A6"/>
    <w:rsid w:val="00DD0550"/>
    <w:rsid w:val="00DD0CF2"/>
    <w:rsid w:val="00DD0D74"/>
    <w:rsid w:val="00DD286F"/>
    <w:rsid w:val="00DD3DF1"/>
    <w:rsid w:val="00DD722F"/>
    <w:rsid w:val="00DE1554"/>
    <w:rsid w:val="00DE2901"/>
    <w:rsid w:val="00DE4088"/>
    <w:rsid w:val="00DE590F"/>
    <w:rsid w:val="00DE5C5F"/>
    <w:rsid w:val="00DE7DC1"/>
    <w:rsid w:val="00DF0CCF"/>
    <w:rsid w:val="00DF10FC"/>
    <w:rsid w:val="00DF3F7E"/>
    <w:rsid w:val="00DF5921"/>
    <w:rsid w:val="00DF7648"/>
    <w:rsid w:val="00E00E29"/>
    <w:rsid w:val="00E0117B"/>
    <w:rsid w:val="00E0179F"/>
    <w:rsid w:val="00E02178"/>
    <w:rsid w:val="00E02BAB"/>
    <w:rsid w:val="00E031E5"/>
    <w:rsid w:val="00E039FA"/>
    <w:rsid w:val="00E04CEB"/>
    <w:rsid w:val="00E060BC"/>
    <w:rsid w:val="00E10B73"/>
    <w:rsid w:val="00E1114A"/>
    <w:rsid w:val="00E11420"/>
    <w:rsid w:val="00E117A0"/>
    <w:rsid w:val="00E12074"/>
    <w:rsid w:val="00E12F24"/>
    <w:rsid w:val="00E132FB"/>
    <w:rsid w:val="00E15A7A"/>
    <w:rsid w:val="00E170B7"/>
    <w:rsid w:val="00E177DD"/>
    <w:rsid w:val="00E20900"/>
    <w:rsid w:val="00E20C7F"/>
    <w:rsid w:val="00E20EE8"/>
    <w:rsid w:val="00E21B74"/>
    <w:rsid w:val="00E21C72"/>
    <w:rsid w:val="00E21FAC"/>
    <w:rsid w:val="00E230CB"/>
    <w:rsid w:val="00E23898"/>
    <w:rsid w:val="00E2396E"/>
    <w:rsid w:val="00E2424C"/>
    <w:rsid w:val="00E24728"/>
    <w:rsid w:val="00E247FE"/>
    <w:rsid w:val="00E276AC"/>
    <w:rsid w:val="00E302C6"/>
    <w:rsid w:val="00E33DDE"/>
    <w:rsid w:val="00E34A35"/>
    <w:rsid w:val="00E34AAC"/>
    <w:rsid w:val="00E3566C"/>
    <w:rsid w:val="00E363EA"/>
    <w:rsid w:val="00E369A5"/>
    <w:rsid w:val="00E36BE7"/>
    <w:rsid w:val="00E36D05"/>
    <w:rsid w:val="00E37C2F"/>
    <w:rsid w:val="00E40866"/>
    <w:rsid w:val="00E41C28"/>
    <w:rsid w:val="00E42DD0"/>
    <w:rsid w:val="00E43029"/>
    <w:rsid w:val="00E46308"/>
    <w:rsid w:val="00E5126B"/>
    <w:rsid w:val="00E51E17"/>
    <w:rsid w:val="00E522C1"/>
    <w:rsid w:val="00E52DAB"/>
    <w:rsid w:val="00E5316D"/>
    <w:rsid w:val="00E539B0"/>
    <w:rsid w:val="00E55994"/>
    <w:rsid w:val="00E55A6E"/>
    <w:rsid w:val="00E56B35"/>
    <w:rsid w:val="00E57620"/>
    <w:rsid w:val="00E600E0"/>
    <w:rsid w:val="00E60606"/>
    <w:rsid w:val="00E60C66"/>
    <w:rsid w:val="00E60C8B"/>
    <w:rsid w:val="00E6164D"/>
    <w:rsid w:val="00E618C9"/>
    <w:rsid w:val="00E62774"/>
    <w:rsid w:val="00E6277E"/>
    <w:rsid w:val="00E6307C"/>
    <w:rsid w:val="00E636FA"/>
    <w:rsid w:val="00E640F9"/>
    <w:rsid w:val="00E66C50"/>
    <w:rsid w:val="00E66EBD"/>
    <w:rsid w:val="00E676FF"/>
    <w:rsid w:val="00E67744"/>
    <w:rsid w:val="00E679D3"/>
    <w:rsid w:val="00E71208"/>
    <w:rsid w:val="00E7121F"/>
    <w:rsid w:val="00E71444"/>
    <w:rsid w:val="00E71C91"/>
    <w:rsid w:val="00E720A1"/>
    <w:rsid w:val="00E75DDA"/>
    <w:rsid w:val="00E75FF4"/>
    <w:rsid w:val="00E773E8"/>
    <w:rsid w:val="00E77ED2"/>
    <w:rsid w:val="00E80851"/>
    <w:rsid w:val="00E814DD"/>
    <w:rsid w:val="00E81D6E"/>
    <w:rsid w:val="00E83ADD"/>
    <w:rsid w:val="00E84A92"/>
    <w:rsid w:val="00E84F38"/>
    <w:rsid w:val="00E85623"/>
    <w:rsid w:val="00E8571D"/>
    <w:rsid w:val="00E85AD3"/>
    <w:rsid w:val="00E8664B"/>
    <w:rsid w:val="00E86DD5"/>
    <w:rsid w:val="00E86FB3"/>
    <w:rsid w:val="00E87441"/>
    <w:rsid w:val="00E874EE"/>
    <w:rsid w:val="00E91FAE"/>
    <w:rsid w:val="00E921FC"/>
    <w:rsid w:val="00E93A81"/>
    <w:rsid w:val="00E96E3F"/>
    <w:rsid w:val="00E9772E"/>
    <w:rsid w:val="00EA270C"/>
    <w:rsid w:val="00EA4974"/>
    <w:rsid w:val="00EA532E"/>
    <w:rsid w:val="00EA6420"/>
    <w:rsid w:val="00EA6682"/>
    <w:rsid w:val="00EA6CE2"/>
    <w:rsid w:val="00EA6D53"/>
    <w:rsid w:val="00EB06D9"/>
    <w:rsid w:val="00EB192B"/>
    <w:rsid w:val="00EB19ED"/>
    <w:rsid w:val="00EB1CAB"/>
    <w:rsid w:val="00EB3341"/>
    <w:rsid w:val="00EB4128"/>
    <w:rsid w:val="00EB49F5"/>
    <w:rsid w:val="00EB4EE3"/>
    <w:rsid w:val="00EC0F5A"/>
    <w:rsid w:val="00EC1108"/>
    <w:rsid w:val="00EC18F3"/>
    <w:rsid w:val="00EC4265"/>
    <w:rsid w:val="00EC4CEB"/>
    <w:rsid w:val="00EC659E"/>
    <w:rsid w:val="00ED2013"/>
    <w:rsid w:val="00ED2029"/>
    <w:rsid w:val="00ED2072"/>
    <w:rsid w:val="00ED2AE0"/>
    <w:rsid w:val="00ED5118"/>
    <w:rsid w:val="00ED5553"/>
    <w:rsid w:val="00ED5E36"/>
    <w:rsid w:val="00ED6355"/>
    <w:rsid w:val="00ED6961"/>
    <w:rsid w:val="00EE2132"/>
    <w:rsid w:val="00EE362C"/>
    <w:rsid w:val="00EE4088"/>
    <w:rsid w:val="00EE4FA0"/>
    <w:rsid w:val="00EE52F7"/>
    <w:rsid w:val="00EE69B6"/>
    <w:rsid w:val="00EE6AA2"/>
    <w:rsid w:val="00EE7124"/>
    <w:rsid w:val="00EE7782"/>
    <w:rsid w:val="00EE7F5C"/>
    <w:rsid w:val="00EF0B96"/>
    <w:rsid w:val="00EF2848"/>
    <w:rsid w:val="00EF30B1"/>
    <w:rsid w:val="00EF3486"/>
    <w:rsid w:val="00EF47AF"/>
    <w:rsid w:val="00EF53B6"/>
    <w:rsid w:val="00EF59B7"/>
    <w:rsid w:val="00F00B73"/>
    <w:rsid w:val="00F026CB"/>
    <w:rsid w:val="00F0280E"/>
    <w:rsid w:val="00F03B17"/>
    <w:rsid w:val="00F115CA"/>
    <w:rsid w:val="00F118B2"/>
    <w:rsid w:val="00F143A8"/>
    <w:rsid w:val="00F14817"/>
    <w:rsid w:val="00F14EBA"/>
    <w:rsid w:val="00F1510F"/>
    <w:rsid w:val="00F1533A"/>
    <w:rsid w:val="00F15E5A"/>
    <w:rsid w:val="00F17F0A"/>
    <w:rsid w:val="00F20BA8"/>
    <w:rsid w:val="00F25E7F"/>
    <w:rsid w:val="00F2668F"/>
    <w:rsid w:val="00F26B94"/>
    <w:rsid w:val="00F2742F"/>
    <w:rsid w:val="00F2753B"/>
    <w:rsid w:val="00F3036A"/>
    <w:rsid w:val="00F314A0"/>
    <w:rsid w:val="00F33F8B"/>
    <w:rsid w:val="00F340B2"/>
    <w:rsid w:val="00F3484C"/>
    <w:rsid w:val="00F34EE7"/>
    <w:rsid w:val="00F36D66"/>
    <w:rsid w:val="00F4071B"/>
    <w:rsid w:val="00F40AE8"/>
    <w:rsid w:val="00F43390"/>
    <w:rsid w:val="00F443B2"/>
    <w:rsid w:val="00F458D8"/>
    <w:rsid w:val="00F46102"/>
    <w:rsid w:val="00F47C9B"/>
    <w:rsid w:val="00F50237"/>
    <w:rsid w:val="00F50374"/>
    <w:rsid w:val="00F52B39"/>
    <w:rsid w:val="00F53596"/>
    <w:rsid w:val="00F54DE8"/>
    <w:rsid w:val="00F559FE"/>
    <w:rsid w:val="00F55BA8"/>
    <w:rsid w:val="00F55DB1"/>
    <w:rsid w:val="00F56ACA"/>
    <w:rsid w:val="00F56CE9"/>
    <w:rsid w:val="00F57385"/>
    <w:rsid w:val="00F600FE"/>
    <w:rsid w:val="00F61013"/>
    <w:rsid w:val="00F62BCB"/>
    <w:rsid w:val="00F62E4D"/>
    <w:rsid w:val="00F63CFD"/>
    <w:rsid w:val="00F649D2"/>
    <w:rsid w:val="00F65EAF"/>
    <w:rsid w:val="00F660A2"/>
    <w:rsid w:val="00F66B34"/>
    <w:rsid w:val="00F675B9"/>
    <w:rsid w:val="00F67F15"/>
    <w:rsid w:val="00F711C9"/>
    <w:rsid w:val="00F717D7"/>
    <w:rsid w:val="00F74C59"/>
    <w:rsid w:val="00F75155"/>
    <w:rsid w:val="00F751F2"/>
    <w:rsid w:val="00F75C3A"/>
    <w:rsid w:val="00F80153"/>
    <w:rsid w:val="00F80EC2"/>
    <w:rsid w:val="00F82CC0"/>
    <w:rsid w:val="00F82E30"/>
    <w:rsid w:val="00F831CB"/>
    <w:rsid w:val="00F848A3"/>
    <w:rsid w:val="00F84ACF"/>
    <w:rsid w:val="00F84D24"/>
    <w:rsid w:val="00F85742"/>
    <w:rsid w:val="00F85BF8"/>
    <w:rsid w:val="00F871CE"/>
    <w:rsid w:val="00F87802"/>
    <w:rsid w:val="00F8785C"/>
    <w:rsid w:val="00F901AB"/>
    <w:rsid w:val="00F901AD"/>
    <w:rsid w:val="00F91509"/>
    <w:rsid w:val="00F92BAD"/>
    <w:rsid w:val="00F92C0A"/>
    <w:rsid w:val="00F9415B"/>
    <w:rsid w:val="00F94921"/>
    <w:rsid w:val="00F95477"/>
    <w:rsid w:val="00F96204"/>
    <w:rsid w:val="00FA13C2"/>
    <w:rsid w:val="00FA46BD"/>
    <w:rsid w:val="00FA7F91"/>
    <w:rsid w:val="00FB006D"/>
    <w:rsid w:val="00FB121C"/>
    <w:rsid w:val="00FB1CDD"/>
    <w:rsid w:val="00FB2C2F"/>
    <w:rsid w:val="00FB305C"/>
    <w:rsid w:val="00FB464B"/>
    <w:rsid w:val="00FB5A60"/>
    <w:rsid w:val="00FB7AE4"/>
    <w:rsid w:val="00FC0DB2"/>
    <w:rsid w:val="00FC2E3D"/>
    <w:rsid w:val="00FC3BDE"/>
    <w:rsid w:val="00FC4414"/>
    <w:rsid w:val="00FC4A79"/>
    <w:rsid w:val="00FC4B6F"/>
    <w:rsid w:val="00FC4C00"/>
    <w:rsid w:val="00FC57F4"/>
    <w:rsid w:val="00FC6F5B"/>
    <w:rsid w:val="00FC7207"/>
    <w:rsid w:val="00FC75AB"/>
    <w:rsid w:val="00FC75F7"/>
    <w:rsid w:val="00FD0B0E"/>
    <w:rsid w:val="00FD1DBE"/>
    <w:rsid w:val="00FD25A7"/>
    <w:rsid w:val="00FD2609"/>
    <w:rsid w:val="00FD27B6"/>
    <w:rsid w:val="00FD3689"/>
    <w:rsid w:val="00FD42A3"/>
    <w:rsid w:val="00FD6809"/>
    <w:rsid w:val="00FD7468"/>
    <w:rsid w:val="00FD7CE0"/>
    <w:rsid w:val="00FE0B3B"/>
    <w:rsid w:val="00FE1BE2"/>
    <w:rsid w:val="00FE5B70"/>
    <w:rsid w:val="00FE5F47"/>
    <w:rsid w:val="00FE729F"/>
    <w:rsid w:val="00FE730A"/>
    <w:rsid w:val="00FF19A9"/>
    <w:rsid w:val="00FF1AD8"/>
    <w:rsid w:val="00FF1D37"/>
    <w:rsid w:val="00FF1DD7"/>
    <w:rsid w:val="00FF212D"/>
    <w:rsid w:val="00FF2D0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D4CA4"/>
  <w15:docId w15:val="{4DE5B955-2A5B-4D54-BF05-FB3E8D7D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669"/>
    <w:pPr>
      <w:spacing w:line="240" w:lineRule="auto"/>
    </w:pPr>
    <w:rPr>
      <w:rFonts w:ascii="Times New Roman" w:hAnsi="Times New Roman"/>
    </w:rPr>
  </w:style>
  <w:style w:type="paragraph" w:styleId="Nagwek1">
    <w:name w:val="heading 1"/>
    <w:basedOn w:val="Normalny"/>
    <w:next w:val="Normalny"/>
    <w:link w:val="Nagwek1Znak"/>
    <w:uiPriority w:val="99"/>
    <w:semiHidden/>
    <w:rsid w:val="001E1E73"/>
    <w:pPr>
      <w:keepNext/>
      <w:keepLines/>
      <w:widowControl w:val="0"/>
      <w:suppressAutoHyphens/>
      <w:spacing w:before="480" w:line="360" w:lineRule="auto"/>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893B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semiHidden/>
    <w:unhideWhenUsed/>
    <w:qFormat/>
    <w:rsid w:val="00893BC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Nagwek">
    <w:name w:val="header"/>
    <w:basedOn w:val="Normalny"/>
    <w:link w:val="NagwekZnak"/>
    <w:uiPriority w:val="99"/>
    <w:semiHidden/>
    <w:rsid w:val="004C3F97"/>
    <w:pPr>
      <w:widowControl w:val="0"/>
      <w:tabs>
        <w:tab w:val="center" w:pos="4536"/>
        <w:tab w:val="right" w:pos="9072"/>
      </w:tabs>
      <w:suppressAutoHyphens/>
      <w:spacing w:line="360" w:lineRule="auto"/>
    </w:pPr>
    <w:rPr>
      <w:rFonts w:ascii="Times" w:hAnsi="Times"/>
      <w:kern w:val="1"/>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widowControl w:val="0"/>
      <w:tabs>
        <w:tab w:val="center" w:pos="4536"/>
        <w:tab w:val="right" w:pos="9072"/>
      </w:tabs>
      <w:suppressAutoHyphens/>
      <w:spacing w:line="360" w:lineRule="auto"/>
    </w:pPr>
    <w:rPr>
      <w:rFonts w:ascii="Times" w:hAnsi="Times"/>
      <w:kern w:val="1"/>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pPr>
      <w:widowControl w:val="0"/>
      <w:autoSpaceDE w:val="0"/>
      <w:autoSpaceDN w:val="0"/>
      <w:adjustRightInd w:val="0"/>
      <w:spacing w:line="360" w:lineRule="auto"/>
    </w:pPr>
    <w:rPr>
      <w:rFonts w:ascii="Times" w:hAnsi="Times"/>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pPr>
      <w:widowControl w:val="0"/>
      <w:autoSpaceDE w:val="0"/>
      <w:autoSpaceDN w:val="0"/>
      <w:adjustRightInd w:val="0"/>
      <w:spacing w:line="360" w:lineRule="auto"/>
    </w:pPr>
    <w:rPr>
      <w:rFonts w:ascii="Times" w:hAnsi="Times"/>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pPr>
      <w:widowControl w:val="0"/>
      <w:autoSpaceDE w:val="0"/>
      <w:autoSpaceDN w:val="0"/>
      <w:adjustRightInd w:val="0"/>
      <w:spacing w:line="360" w:lineRule="auto"/>
    </w:pPr>
    <w:rPr>
      <w:rFonts w:eastAsiaTheme="minorEastAsia" w:cs="Arial"/>
      <w:b/>
      <w:i/>
      <w:szCs w:val="20"/>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rPr>
      <w:rFonts w:eastAsiaTheme="minorEastAsia" w:cs="Arial"/>
      <w:sz w:val="20"/>
      <w:szCs w:val="20"/>
    </w:rPr>
  </w:style>
  <w:style w:type="paragraph" w:customStyle="1" w:styleId="TEKSTwTABELItekstzwcitympierwwierszem">
    <w:name w:val="TEKST_w_TABELI – tekst z wciętym pierw. wierszem"/>
    <w:basedOn w:val="Normalny"/>
    <w:uiPriority w:val="23"/>
    <w:qFormat/>
    <w:rsid w:val="007A789F"/>
    <w:pPr>
      <w:suppressAutoHyphens/>
      <w:autoSpaceDE w:val="0"/>
      <w:autoSpaceDN w:val="0"/>
      <w:adjustRightInd w:val="0"/>
      <w:spacing w:line="360" w:lineRule="auto"/>
      <w:ind w:firstLine="510"/>
    </w:pPr>
    <w:rPr>
      <w:rFonts w:ascii="Times" w:eastAsiaTheme="minorEastAsia" w:hAnsi="Times" w:cs="Arial"/>
      <w:bCs/>
      <w:kern w:val="24"/>
      <w:szCs w:val="20"/>
    </w:rPr>
  </w:style>
  <w:style w:type="paragraph" w:customStyle="1" w:styleId="TEKSTwTABELIWYRODKOWANYtekstwyrodkowanywpoziomie">
    <w:name w:val="TEKST_w_TABELI_WYŚRODKOWANY – tekst wyśrodkowany w poziomie"/>
    <w:basedOn w:val="Normalny"/>
    <w:uiPriority w:val="23"/>
    <w:qFormat/>
    <w:rsid w:val="007A789F"/>
    <w:pPr>
      <w:suppressAutoHyphens/>
      <w:autoSpaceDE w:val="0"/>
      <w:autoSpaceDN w:val="0"/>
      <w:adjustRightInd w:val="0"/>
      <w:spacing w:line="360" w:lineRule="auto"/>
      <w:jc w:val="center"/>
    </w:pPr>
    <w:rPr>
      <w:rFonts w:ascii="Times" w:eastAsiaTheme="minorEastAsia" w:hAnsi="Times" w:cs="Arial"/>
      <w:bCs/>
      <w:kern w:val="24"/>
      <w:szCs w:val="20"/>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2C5FA4"/>
    <w:pPr>
      <w:ind w:left="720"/>
      <w:contextualSpacing/>
    </w:pPr>
  </w:style>
  <w:style w:type="character" w:customStyle="1" w:styleId="acopre">
    <w:name w:val="acopre"/>
    <w:basedOn w:val="Domylnaczcionkaakapitu"/>
    <w:rsid w:val="00893BC4"/>
  </w:style>
  <w:style w:type="character" w:styleId="Uwydatnienie">
    <w:name w:val="Emphasis"/>
    <w:basedOn w:val="Domylnaczcionkaakapitu"/>
    <w:uiPriority w:val="20"/>
    <w:qFormat/>
    <w:rsid w:val="00893BC4"/>
    <w:rPr>
      <w:i/>
      <w:iCs/>
    </w:rPr>
  </w:style>
  <w:style w:type="character" w:customStyle="1" w:styleId="Nagwek2Znak">
    <w:name w:val="Nagłówek 2 Znak"/>
    <w:basedOn w:val="Domylnaczcionkaakapitu"/>
    <w:link w:val="Nagwek2"/>
    <w:uiPriority w:val="99"/>
    <w:semiHidden/>
    <w:rsid w:val="00893BC4"/>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9"/>
    <w:semiHidden/>
    <w:rsid w:val="00893BC4"/>
    <w:rPr>
      <w:rFonts w:asciiTheme="majorHAnsi" w:eastAsiaTheme="majorEastAsia" w:hAnsiTheme="majorHAnsi" w:cstheme="majorBidi"/>
      <w:color w:val="243F60" w:themeColor="accent1" w:themeShade="7F"/>
    </w:rPr>
  </w:style>
  <w:style w:type="character" w:styleId="Hipercze">
    <w:name w:val="Hyperlink"/>
    <w:basedOn w:val="Domylnaczcionkaakapitu"/>
    <w:uiPriority w:val="99"/>
    <w:unhideWhenUsed/>
    <w:rsid w:val="00574069"/>
    <w:rPr>
      <w:color w:val="0000FF" w:themeColor="hyperlink"/>
      <w:u w:val="single"/>
    </w:rPr>
  </w:style>
  <w:style w:type="character" w:customStyle="1" w:styleId="Nierozpoznanawzmianka1">
    <w:name w:val="Nierozpoznana wzmianka1"/>
    <w:basedOn w:val="Domylnaczcionkaakapitu"/>
    <w:uiPriority w:val="99"/>
    <w:semiHidden/>
    <w:unhideWhenUsed/>
    <w:rsid w:val="00574069"/>
    <w:rPr>
      <w:color w:val="605E5C"/>
      <w:shd w:val="clear" w:color="auto" w:fill="E1DFDD"/>
    </w:rPr>
  </w:style>
  <w:style w:type="character" w:styleId="UyteHipercze">
    <w:name w:val="FollowedHyperlink"/>
    <w:basedOn w:val="Domylnaczcionkaakapitu"/>
    <w:uiPriority w:val="99"/>
    <w:semiHidden/>
    <w:unhideWhenUsed/>
    <w:rsid w:val="006745C0"/>
    <w:rPr>
      <w:color w:val="800080" w:themeColor="followedHyperlink"/>
      <w:u w:val="single"/>
    </w:rPr>
  </w:style>
  <w:style w:type="table" w:customStyle="1" w:styleId="Tabela-Siatka1">
    <w:name w:val="Tabela - Siatka1"/>
    <w:basedOn w:val="Standardowy"/>
    <w:next w:val="Tabela-Siatka"/>
    <w:uiPriority w:val="39"/>
    <w:rsid w:val="00BC2F92"/>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F2BBD"/>
    <w:rPr>
      <w:color w:val="605E5C"/>
      <w:shd w:val="clear" w:color="auto" w:fill="E1DFDD"/>
    </w:rPr>
  </w:style>
  <w:style w:type="paragraph" w:styleId="Poprawka">
    <w:name w:val="Revision"/>
    <w:hidden/>
    <w:uiPriority w:val="99"/>
    <w:semiHidden/>
    <w:rsid w:val="00D9051A"/>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50076">
      <w:bodyDiv w:val="1"/>
      <w:marLeft w:val="0"/>
      <w:marRight w:val="0"/>
      <w:marTop w:val="0"/>
      <w:marBottom w:val="0"/>
      <w:divBdr>
        <w:top w:val="none" w:sz="0" w:space="0" w:color="auto"/>
        <w:left w:val="none" w:sz="0" w:space="0" w:color="auto"/>
        <w:bottom w:val="none" w:sz="0" w:space="0" w:color="auto"/>
        <w:right w:val="none" w:sz="0" w:space="0" w:color="auto"/>
      </w:divBdr>
      <w:divsChild>
        <w:div w:id="433596569">
          <w:marLeft w:val="0"/>
          <w:marRight w:val="0"/>
          <w:marTop w:val="0"/>
          <w:marBottom w:val="0"/>
          <w:divBdr>
            <w:top w:val="none" w:sz="0" w:space="0" w:color="auto"/>
            <w:left w:val="none" w:sz="0" w:space="0" w:color="auto"/>
            <w:bottom w:val="none" w:sz="0" w:space="0" w:color="auto"/>
            <w:right w:val="none" w:sz="0" w:space="0" w:color="auto"/>
          </w:divBdr>
          <w:divsChild>
            <w:div w:id="1499417622">
              <w:marLeft w:val="0"/>
              <w:marRight w:val="0"/>
              <w:marTop w:val="0"/>
              <w:marBottom w:val="0"/>
              <w:divBdr>
                <w:top w:val="none" w:sz="0" w:space="0" w:color="auto"/>
                <w:left w:val="none" w:sz="0" w:space="0" w:color="auto"/>
                <w:bottom w:val="none" w:sz="0" w:space="0" w:color="auto"/>
                <w:right w:val="none" w:sz="0" w:space="0" w:color="auto"/>
              </w:divBdr>
              <w:divsChild>
                <w:div w:id="19396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2400">
          <w:marLeft w:val="0"/>
          <w:marRight w:val="0"/>
          <w:marTop w:val="0"/>
          <w:marBottom w:val="0"/>
          <w:divBdr>
            <w:top w:val="none" w:sz="0" w:space="0" w:color="auto"/>
            <w:left w:val="none" w:sz="0" w:space="0" w:color="auto"/>
            <w:bottom w:val="none" w:sz="0" w:space="0" w:color="auto"/>
            <w:right w:val="none" w:sz="0" w:space="0" w:color="auto"/>
          </w:divBdr>
          <w:divsChild>
            <w:div w:id="52319659">
              <w:marLeft w:val="0"/>
              <w:marRight w:val="0"/>
              <w:marTop w:val="0"/>
              <w:marBottom w:val="0"/>
              <w:divBdr>
                <w:top w:val="none" w:sz="0" w:space="0" w:color="auto"/>
                <w:left w:val="none" w:sz="0" w:space="0" w:color="auto"/>
                <w:bottom w:val="none" w:sz="0" w:space="0" w:color="auto"/>
                <w:right w:val="none" w:sz="0" w:space="0" w:color="auto"/>
              </w:divBdr>
              <w:divsChild>
                <w:div w:id="1609847576">
                  <w:marLeft w:val="0"/>
                  <w:marRight w:val="0"/>
                  <w:marTop w:val="0"/>
                  <w:marBottom w:val="0"/>
                  <w:divBdr>
                    <w:top w:val="none" w:sz="0" w:space="0" w:color="auto"/>
                    <w:left w:val="none" w:sz="0" w:space="0" w:color="auto"/>
                    <w:bottom w:val="none" w:sz="0" w:space="0" w:color="auto"/>
                    <w:right w:val="none" w:sz="0" w:space="0" w:color="auto"/>
                  </w:divBdr>
                  <w:divsChild>
                    <w:div w:id="119567628">
                      <w:marLeft w:val="0"/>
                      <w:marRight w:val="0"/>
                      <w:marTop w:val="0"/>
                      <w:marBottom w:val="0"/>
                      <w:divBdr>
                        <w:top w:val="none" w:sz="0" w:space="0" w:color="auto"/>
                        <w:left w:val="none" w:sz="0" w:space="0" w:color="auto"/>
                        <w:bottom w:val="none" w:sz="0" w:space="0" w:color="auto"/>
                        <w:right w:val="none" w:sz="0" w:space="0" w:color="auto"/>
                      </w:divBdr>
                      <w:divsChild>
                        <w:div w:id="1167670897">
                          <w:marLeft w:val="0"/>
                          <w:marRight w:val="0"/>
                          <w:marTop w:val="0"/>
                          <w:marBottom w:val="0"/>
                          <w:divBdr>
                            <w:top w:val="none" w:sz="0" w:space="0" w:color="auto"/>
                            <w:left w:val="none" w:sz="0" w:space="0" w:color="auto"/>
                            <w:bottom w:val="none" w:sz="0" w:space="0" w:color="auto"/>
                            <w:right w:val="none" w:sz="0" w:space="0" w:color="auto"/>
                          </w:divBdr>
                          <w:divsChild>
                            <w:div w:id="1534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7709">
                      <w:marLeft w:val="0"/>
                      <w:marRight w:val="0"/>
                      <w:marTop w:val="0"/>
                      <w:marBottom w:val="0"/>
                      <w:divBdr>
                        <w:top w:val="none" w:sz="0" w:space="0" w:color="auto"/>
                        <w:left w:val="none" w:sz="0" w:space="0" w:color="auto"/>
                        <w:bottom w:val="none" w:sz="0" w:space="0" w:color="auto"/>
                        <w:right w:val="none" w:sz="0" w:space="0" w:color="auto"/>
                      </w:divBdr>
                      <w:divsChild>
                        <w:div w:id="17828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883">
                  <w:marLeft w:val="0"/>
                  <w:marRight w:val="0"/>
                  <w:marTop w:val="0"/>
                  <w:marBottom w:val="0"/>
                  <w:divBdr>
                    <w:top w:val="none" w:sz="0" w:space="0" w:color="auto"/>
                    <w:left w:val="none" w:sz="0" w:space="0" w:color="auto"/>
                    <w:bottom w:val="none" w:sz="0" w:space="0" w:color="auto"/>
                    <w:right w:val="none" w:sz="0" w:space="0" w:color="auto"/>
                  </w:divBdr>
                  <w:divsChild>
                    <w:div w:id="321204996">
                      <w:marLeft w:val="0"/>
                      <w:marRight w:val="0"/>
                      <w:marTop w:val="0"/>
                      <w:marBottom w:val="0"/>
                      <w:divBdr>
                        <w:top w:val="none" w:sz="0" w:space="0" w:color="auto"/>
                        <w:left w:val="none" w:sz="0" w:space="0" w:color="auto"/>
                        <w:bottom w:val="none" w:sz="0" w:space="0" w:color="auto"/>
                        <w:right w:val="none" w:sz="0" w:space="0" w:color="auto"/>
                      </w:divBdr>
                      <w:divsChild>
                        <w:div w:id="13980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2284">
                  <w:marLeft w:val="0"/>
                  <w:marRight w:val="0"/>
                  <w:marTop w:val="0"/>
                  <w:marBottom w:val="0"/>
                  <w:divBdr>
                    <w:top w:val="none" w:sz="0" w:space="0" w:color="auto"/>
                    <w:left w:val="none" w:sz="0" w:space="0" w:color="auto"/>
                    <w:bottom w:val="none" w:sz="0" w:space="0" w:color="auto"/>
                    <w:right w:val="none" w:sz="0" w:space="0" w:color="auto"/>
                  </w:divBdr>
                  <w:divsChild>
                    <w:div w:id="1952277774">
                      <w:marLeft w:val="0"/>
                      <w:marRight w:val="0"/>
                      <w:marTop w:val="0"/>
                      <w:marBottom w:val="0"/>
                      <w:divBdr>
                        <w:top w:val="none" w:sz="0" w:space="0" w:color="auto"/>
                        <w:left w:val="none" w:sz="0" w:space="0" w:color="auto"/>
                        <w:bottom w:val="none" w:sz="0" w:space="0" w:color="auto"/>
                        <w:right w:val="none" w:sz="0" w:space="0" w:color="auto"/>
                      </w:divBdr>
                      <w:divsChild>
                        <w:div w:id="20771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9538">
                  <w:marLeft w:val="0"/>
                  <w:marRight w:val="0"/>
                  <w:marTop w:val="0"/>
                  <w:marBottom w:val="0"/>
                  <w:divBdr>
                    <w:top w:val="none" w:sz="0" w:space="0" w:color="auto"/>
                    <w:left w:val="none" w:sz="0" w:space="0" w:color="auto"/>
                    <w:bottom w:val="none" w:sz="0" w:space="0" w:color="auto"/>
                    <w:right w:val="none" w:sz="0" w:space="0" w:color="auto"/>
                  </w:divBdr>
                  <w:divsChild>
                    <w:div w:id="964233686">
                      <w:marLeft w:val="0"/>
                      <w:marRight w:val="0"/>
                      <w:marTop w:val="0"/>
                      <w:marBottom w:val="0"/>
                      <w:divBdr>
                        <w:top w:val="none" w:sz="0" w:space="0" w:color="auto"/>
                        <w:left w:val="none" w:sz="0" w:space="0" w:color="auto"/>
                        <w:bottom w:val="none" w:sz="0" w:space="0" w:color="auto"/>
                        <w:right w:val="none" w:sz="0" w:space="0" w:color="auto"/>
                      </w:divBdr>
                      <w:divsChild>
                        <w:div w:id="2004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1091">
                  <w:marLeft w:val="0"/>
                  <w:marRight w:val="0"/>
                  <w:marTop w:val="0"/>
                  <w:marBottom w:val="0"/>
                  <w:divBdr>
                    <w:top w:val="none" w:sz="0" w:space="0" w:color="auto"/>
                    <w:left w:val="none" w:sz="0" w:space="0" w:color="auto"/>
                    <w:bottom w:val="none" w:sz="0" w:space="0" w:color="auto"/>
                    <w:right w:val="none" w:sz="0" w:space="0" w:color="auto"/>
                  </w:divBdr>
                  <w:divsChild>
                    <w:div w:id="654188802">
                      <w:marLeft w:val="0"/>
                      <w:marRight w:val="0"/>
                      <w:marTop w:val="0"/>
                      <w:marBottom w:val="0"/>
                      <w:divBdr>
                        <w:top w:val="none" w:sz="0" w:space="0" w:color="auto"/>
                        <w:left w:val="none" w:sz="0" w:space="0" w:color="auto"/>
                        <w:bottom w:val="none" w:sz="0" w:space="0" w:color="auto"/>
                        <w:right w:val="none" w:sz="0" w:space="0" w:color="auto"/>
                      </w:divBdr>
                      <w:divsChild>
                        <w:div w:id="2438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8195">
          <w:marLeft w:val="0"/>
          <w:marRight w:val="0"/>
          <w:marTop w:val="0"/>
          <w:marBottom w:val="0"/>
          <w:divBdr>
            <w:top w:val="none" w:sz="0" w:space="0" w:color="auto"/>
            <w:left w:val="none" w:sz="0" w:space="0" w:color="auto"/>
            <w:bottom w:val="none" w:sz="0" w:space="0" w:color="auto"/>
            <w:right w:val="none" w:sz="0" w:space="0" w:color="auto"/>
          </w:divBdr>
          <w:divsChild>
            <w:div w:id="1106266511">
              <w:marLeft w:val="0"/>
              <w:marRight w:val="0"/>
              <w:marTop w:val="0"/>
              <w:marBottom w:val="0"/>
              <w:divBdr>
                <w:top w:val="none" w:sz="0" w:space="0" w:color="auto"/>
                <w:left w:val="none" w:sz="0" w:space="0" w:color="auto"/>
                <w:bottom w:val="none" w:sz="0" w:space="0" w:color="auto"/>
                <w:right w:val="none" w:sz="0" w:space="0" w:color="auto"/>
              </w:divBdr>
            </w:div>
          </w:divsChild>
        </w:div>
        <w:div w:id="1066300248">
          <w:marLeft w:val="0"/>
          <w:marRight w:val="0"/>
          <w:marTop w:val="0"/>
          <w:marBottom w:val="0"/>
          <w:divBdr>
            <w:top w:val="none" w:sz="0" w:space="0" w:color="auto"/>
            <w:left w:val="none" w:sz="0" w:space="0" w:color="auto"/>
            <w:bottom w:val="none" w:sz="0" w:space="0" w:color="auto"/>
            <w:right w:val="none" w:sz="0" w:space="0" w:color="auto"/>
          </w:divBdr>
          <w:divsChild>
            <w:div w:id="1955675782">
              <w:marLeft w:val="0"/>
              <w:marRight w:val="0"/>
              <w:marTop w:val="0"/>
              <w:marBottom w:val="0"/>
              <w:divBdr>
                <w:top w:val="none" w:sz="0" w:space="0" w:color="auto"/>
                <w:left w:val="none" w:sz="0" w:space="0" w:color="auto"/>
                <w:bottom w:val="none" w:sz="0" w:space="0" w:color="auto"/>
                <w:right w:val="none" w:sz="0" w:space="0" w:color="auto"/>
              </w:divBdr>
              <w:divsChild>
                <w:div w:id="551691893">
                  <w:marLeft w:val="0"/>
                  <w:marRight w:val="0"/>
                  <w:marTop w:val="0"/>
                  <w:marBottom w:val="0"/>
                  <w:divBdr>
                    <w:top w:val="none" w:sz="0" w:space="0" w:color="auto"/>
                    <w:left w:val="none" w:sz="0" w:space="0" w:color="auto"/>
                    <w:bottom w:val="none" w:sz="0" w:space="0" w:color="auto"/>
                    <w:right w:val="none" w:sz="0" w:space="0" w:color="auto"/>
                  </w:divBdr>
                  <w:divsChild>
                    <w:div w:id="1733849357">
                      <w:marLeft w:val="0"/>
                      <w:marRight w:val="0"/>
                      <w:marTop w:val="0"/>
                      <w:marBottom w:val="0"/>
                      <w:divBdr>
                        <w:top w:val="none" w:sz="0" w:space="0" w:color="auto"/>
                        <w:left w:val="none" w:sz="0" w:space="0" w:color="auto"/>
                        <w:bottom w:val="none" w:sz="0" w:space="0" w:color="auto"/>
                        <w:right w:val="none" w:sz="0" w:space="0" w:color="auto"/>
                      </w:divBdr>
                      <w:divsChild>
                        <w:div w:id="16452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1425">
                  <w:marLeft w:val="0"/>
                  <w:marRight w:val="0"/>
                  <w:marTop w:val="0"/>
                  <w:marBottom w:val="0"/>
                  <w:divBdr>
                    <w:top w:val="none" w:sz="0" w:space="0" w:color="auto"/>
                    <w:left w:val="none" w:sz="0" w:space="0" w:color="auto"/>
                    <w:bottom w:val="none" w:sz="0" w:space="0" w:color="auto"/>
                    <w:right w:val="none" w:sz="0" w:space="0" w:color="auto"/>
                  </w:divBdr>
                  <w:divsChild>
                    <w:div w:id="15399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85011">
          <w:marLeft w:val="0"/>
          <w:marRight w:val="0"/>
          <w:marTop w:val="0"/>
          <w:marBottom w:val="0"/>
          <w:divBdr>
            <w:top w:val="none" w:sz="0" w:space="0" w:color="auto"/>
            <w:left w:val="none" w:sz="0" w:space="0" w:color="auto"/>
            <w:bottom w:val="none" w:sz="0" w:space="0" w:color="auto"/>
            <w:right w:val="none" w:sz="0" w:space="0" w:color="auto"/>
          </w:divBdr>
          <w:divsChild>
            <w:div w:id="604921690">
              <w:marLeft w:val="0"/>
              <w:marRight w:val="0"/>
              <w:marTop w:val="0"/>
              <w:marBottom w:val="0"/>
              <w:divBdr>
                <w:top w:val="none" w:sz="0" w:space="0" w:color="auto"/>
                <w:left w:val="none" w:sz="0" w:space="0" w:color="auto"/>
                <w:bottom w:val="none" w:sz="0" w:space="0" w:color="auto"/>
                <w:right w:val="none" w:sz="0" w:space="0" w:color="auto"/>
              </w:divBdr>
              <w:divsChild>
                <w:div w:id="1998218655">
                  <w:marLeft w:val="0"/>
                  <w:marRight w:val="0"/>
                  <w:marTop w:val="0"/>
                  <w:marBottom w:val="0"/>
                  <w:divBdr>
                    <w:top w:val="none" w:sz="0" w:space="0" w:color="auto"/>
                    <w:left w:val="none" w:sz="0" w:space="0" w:color="auto"/>
                    <w:bottom w:val="none" w:sz="0" w:space="0" w:color="auto"/>
                    <w:right w:val="none" w:sz="0" w:space="0" w:color="auto"/>
                  </w:divBdr>
                  <w:divsChild>
                    <w:div w:id="478302265">
                      <w:marLeft w:val="0"/>
                      <w:marRight w:val="0"/>
                      <w:marTop w:val="0"/>
                      <w:marBottom w:val="0"/>
                      <w:divBdr>
                        <w:top w:val="none" w:sz="0" w:space="0" w:color="auto"/>
                        <w:left w:val="none" w:sz="0" w:space="0" w:color="auto"/>
                        <w:bottom w:val="none" w:sz="0" w:space="0" w:color="auto"/>
                        <w:right w:val="none" w:sz="0" w:space="0" w:color="auto"/>
                      </w:divBdr>
                    </w:div>
                    <w:div w:id="1820073565">
                      <w:marLeft w:val="0"/>
                      <w:marRight w:val="0"/>
                      <w:marTop w:val="0"/>
                      <w:marBottom w:val="0"/>
                      <w:divBdr>
                        <w:top w:val="none" w:sz="0" w:space="0" w:color="auto"/>
                        <w:left w:val="none" w:sz="0" w:space="0" w:color="auto"/>
                        <w:bottom w:val="none" w:sz="0" w:space="0" w:color="auto"/>
                        <w:right w:val="none" w:sz="0" w:space="0" w:color="auto"/>
                      </w:divBdr>
                      <w:divsChild>
                        <w:div w:id="8943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90408">
                  <w:marLeft w:val="0"/>
                  <w:marRight w:val="0"/>
                  <w:marTop w:val="0"/>
                  <w:marBottom w:val="0"/>
                  <w:divBdr>
                    <w:top w:val="none" w:sz="0" w:space="0" w:color="auto"/>
                    <w:left w:val="none" w:sz="0" w:space="0" w:color="auto"/>
                    <w:bottom w:val="none" w:sz="0" w:space="0" w:color="auto"/>
                    <w:right w:val="none" w:sz="0" w:space="0" w:color="auto"/>
                  </w:divBdr>
                  <w:divsChild>
                    <w:div w:id="6760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0533">
          <w:marLeft w:val="0"/>
          <w:marRight w:val="0"/>
          <w:marTop w:val="0"/>
          <w:marBottom w:val="0"/>
          <w:divBdr>
            <w:top w:val="none" w:sz="0" w:space="0" w:color="auto"/>
            <w:left w:val="none" w:sz="0" w:space="0" w:color="auto"/>
            <w:bottom w:val="none" w:sz="0" w:space="0" w:color="auto"/>
            <w:right w:val="none" w:sz="0" w:space="0" w:color="auto"/>
          </w:divBdr>
          <w:divsChild>
            <w:div w:id="1861889718">
              <w:marLeft w:val="0"/>
              <w:marRight w:val="0"/>
              <w:marTop w:val="0"/>
              <w:marBottom w:val="0"/>
              <w:divBdr>
                <w:top w:val="none" w:sz="0" w:space="0" w:color="auto"/>
                <w:left w:val="none" w:sz="0" w:space="0" w:color="auto"/>
                <w:bottom w:val="none" w:sz="0" w:space="0" w:color="auto"/>
                <w:right w:val="none" w:sz="0" w:space="0" w:color="auto"/>
              </w:divBdr>
              <w:divsChild>
                <w:div w:id="658584853">
                  <w:marLeft w:val="0"/>
                  <w:marRight w:val="0"/>
                  <w:marTop w:val="0"/>
                  <w:marBottom w:val="0"/>
                  <w:divBdr>
                    <w:top w:val="none" w:sz="0" w:space="0" w:color="auto"/>
                    <w:left w:val="none" w:sz="0" w:space="0" w:color="auto"/>
                    <w:bottom w:val="none" w:sz="0" w:space="0" w:color="auto"/>
                    <w:right w:val="none" w:sz="0" w:space="0" w:color="auto"/>
                  </w:divBdr>
                  <w:divsChild>
                    <w:div w:id="220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6343">
          <w:marLeft w:val="0"/>
          <w:marRight w:val="0"/>
          <w:marTop w:val="0"/>
          <w:marBottom w:val="0"/>
          <w:divBdr>
            <w:top w:val="none" w:sz="0" w:space="0" w:color="auto"/>
            <w:left w:val="none" w:sz="0" w:space="0" w:color="auto"/>
            <w:bottom w:val="none" w:sz="0" w:space="0" w:color="auto"/>
            <w:right w:val="none" w:sz="0" w:space="0" w:color="auto"/>
          </w:divBdr>
          <w:divsChild>
            <w:div w:id="617103614">
              <w:marLeft w:val="0"/>
              <w:marRight w:val="0"/>
              <w:marTop w:val="0"/>
              <w:marBottom w:val="0"/>
              <w:divBdr>
                <w:top w:val="none" w:sz="0" w:space="0" w:color="auto"/>
                <w:left w:val="none" w:sz="0" w:space="0" w:color="auto"/>
                <w:bottom w:val="none" w:sz="0" w:space="0" w:color="auto"/>
                <w:right w:val="none" w:sz="0" w:space="0" w:color="auto"/>
              </w:divBdr>
              <w:divsChild>
                <w:div w:id="449859998">
                  <w:marLeft w:val="0"/>
                  <w:marRight w:val="0"/>
                  <w:marTop w:val="0"/>
                  <w:marBottom w:val="0"/>
                  <w:divBdr>
                    <w:top w:val="none" w:sz="0" w:space="0" w:color="auto"/>
                    <w:left w:val="none" w:sz="0" w:space="0" w:color="auto"/>
                    <w:bottom w:val="none" w:sz="0" w:space="0" w:color="auto"/>
                    <w:right w:val="none" w:sz="0" w:space="0" w:color="auto"/>
                  </w:divBdr>
                  <w:divsChild>
                    <w:div w:id="951517798">
                      <w:marLeft w:val="0"/>
                      <w:marRight w:val="0"/>
                      <w:marTop w:val="0"/>
                      <w:marBottom w:val="0"/>
                      <w:divBdr>
                        <w:top w:val="none" w:sz="0" w:space="0" w:color="auto"/>
                        <w:left w:val="none" w:sz="0" w:space="0" w:color="auto"/>
                        <w:bottom w:val="none" w:sz="0" w:space="0" w:color="auto"/>
                        <w:right w:val="none" w:sz="0" w:space="0" w:color="auto"/>
                      </w:divBdr>
                      <w:divsChild>
                        <w:div w:id="8392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051">
                  <w:marLeft w:val="0"/>
                  <w:marRight w:val="0"/>
                  <w:marTop w:val="0"/>
                  <w:marBottom w:val="0"/>
                  <w:divBdr>
                    <w:top w:val="none" w:sz="0" w:space="0" w:color="auto"/>
                    <w:left w:val="none" w:sz="0" w:space="0" w:color="auto"/>
                    <w:bottom w:val="none" w:sz="0" w:space="0" w:color="auto"/>
                    <w:right w:val="none" w:sz="0" w:space="0" w:color="auto"/>
                  </w:divBdr>
                  <w:divsChild>
                    <w:div w:id="7370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4718">
          <w:marLeft w:val="0"/>
          <w:marRight w:val="0"/>
          <w:marTop w:val="0"/>
          <w:marBottom w:val="0"/>
          <w:divBdr>
            <w:top w:val="none" w:sz="0" w:space="0" w:color="auto"/>
            <w:left w:val="none" w:sz="0" w:space="0" w:color="auto"/>
            <w:bottom w:val="none" w:sz="0" w:space="0" w:color="auto"/>
            <w:right w:val="none" w:sz="0" w:space="0" w:color="auto"/>
          </w:divBdr>
          <w:divsChild>
            <w:div w:id="1515224207">
              <w:marLeft w:val="0"/>
              <w:marRight w:val="0"/>
              <w:marTop w:val="0"/>
              <w:marBottom w:val="0"/>
              <w:divBdr>
                <w:top w:val="none" w:sz="0" w:space="0" w:color="auto"/>
                <w:left w:val="none" w:sz="0" w:space="0" w:color="auto"/>
                <w:bottom w:val="none" w:sz="0" w:space="0" w:color="auto"/>
                <w:right w:val="none" w:sz="0" w:space="0" w:color="auto"/>
              </w:divBdr>
              <w:divsChild>
                <w:div w:id="405035887">
                  <w:marLeft w:val="0"/>
                  <w:marRight w:val="0"/>
                  <w:marTop w:val="0"/>
                  <w:marBottom w:val="0"/>
                  <w:divBdr>
                    <w:top w:val="none" w:sz="0" w:space="0" w:color="auto"/>
                    <w:left w:val="none" w:sz="0" w:space="0" w:color="auto"/>
                    <w:bottom w:val="none" w:sz="0" w:space="0" w:color="auto"/>
                    <w:right w:val="none" w:sz="0" w:space="0" w:color="auto"/>
                  </w:divBdr>
                  <w:divsChild>
                    <w:div w:id="3500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9586">
          <w:marLeft w:val="0"/>
          <w:marRight w:val="0"/>
          <w:marTop w:val="0"/>
          <w:marBottom w:val="0"/>
          <w:divBdr>
            <w:top w:val="none" w:sz="0" w:space="0" w:color="auto"/>
            <w:left w:val="none" w:sz="0" w:space="0" w:color="auto"/>
            <w:bottom w:val="none" w:sz="0" w:space="0" w:color="auto"/>
            <w:right w:val="none" w:sz="0" w:space="0" w:color="auto"/>
          </w:divBdr>
          <w:divsChild>
            <w:div w:id="450324516">
              <w:marLeft w:val="0"/>
              <w:marRight w:val="0"/>
              <w:marTop w:val="0"/>
              <w:marBottom w:val="0"/>
              <w:divBdr>
                <w:top w:val="none" w:sz="0" w:space="0" w:color="auto"/>
                <w:left w:val="none" w:sz="0" w:space="0" w:color="auto"/>
                <w:bottom w:val="none" w:sz="0" w:space="0" w:color="auto"/>
                <w:right w:val="none" w:sz="0" w:space="0" w:color="auto"/>
              </w:divBdr>
              <w:divsChild>
                <w:div w:id="2039968676">
                  <w:marLeft w:val="0"/>
                  <w:marRight w:val="0"/>
                  <w:marTop w:val="0"/>
                  <w:marBottom w:val="0"/>
                  <w:divBdr>
                    <w:top w:val="none" w:sz="0" w:space="0" w:color="auto"/>
                    <w:left w:val="none" w:sz="0" w:space="0" w:color="auto"/>
                    <w:bottom w:val="none" w:sz="0" w:space="0" w:color="auto"/>
                    <w:right w:val="none" w:sz="0" w:space="0" w:color="auto"/>
                  </w:divBdr>
                  <w:divsChild>
                    <w:div w:id="1809322375">
                      <w:marLeft w:val="0"/>
                      <w:marRight w:val="0"/>
                      <w:marTop w:val="0"/>
                      <w:marBottom w:val="0"/>
                      <w:divBdr>
                        <w:top w:val="none" w:sz="0" w:space="0" w:color="auto"/>
                        <w:left w:val="none" w:sz="0" w:space="0" w:color="auto"/>
                        <w:bottom w:val="none" w:sz="0" w:space="0" w:color="auto"/>
                        <w:right w:val="none" w:sz="0" w:space="0" w:color="auto"/>
                      </w:divBdr>
                      <w:divsChild>
                        <w:div w:id="14779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8378">
                  <w:marLeft w:val="0"/>
                  <w:marRight w:val="0"/>
                  <w:marTop w:val="0"/>
                  <w:marBottom w:val="0"/>
                  <w:divBdr>
                    <w:top w:val="none" w:sz="0" w:space="0" w:color="auto"/>
                    <w:left w:val="none" w:sz="0" w:space="0" w:color="auto"/>
                    <w:bottom w:val="none" w:sz="0" w:space="0" w:color="auto"/>
                    <w:right w:val="none" w:sz="0" w:space="0" w:color="auto"/>
                  </w:divBdr>
                  <w:divsChild>
                    <w:div w:id="19457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538">
          <w:marLeft w:val="0"/>
          <w:marRight w:val="0"/>
          <w:marTop w:val="0"/>
          <w:marBottom w:val="0"/>
          <w:divBdr>
            <w:top w:val="none" w:sz="0" w:space="0" w:color="auto"/>
            <w:left w:val="none" w:sz="0" w:space="0" w:color="auto"/>
            <w:bottom w:val="none" w:sz="0" w:space="0" w:color="auto"/>
            <w:right w:val="none" w:sz="0" w:space="0" w:color="auto"/>
          </w:divBdr>
          <w:divsChild>
            <w:div w:id="623073575">
              <w:marLeft w:val="0"/>
              <w:marRight w:val="0"/>
              <w:marTop w:val="0"/>
              <w:marBottom w:val="0"/>
              <w:divBdr>
                <w:top w:val="none" w:sz="0" w:space="0" w:color="auto"/>
                <w:left w:val="none" w:sz="0" w:space="0" w:color="auto"/>
                <w:bottom w:val="none" w:sz="0" w:space="0" w:color="auto"/>
                <w:right w:val="none" w:sz="0" w:space="0" w:color="auto"/>
              </w:divBdr>
              <w:divsChild>
                <w:div w:id="1622614483">
                  <w:marLeft w:val="0"/>
                  <w:marRight w:val="0"/>
                  <w:marTop w:val="0"/>
                  <w:marBottom w:val="0"/>
                  <w:divBdr>
                    <w:top w:val="none" w:sz="0" w:space="0" w:color="auto"/>
                    <w:left w:val="none" w:sz="0" w:space="0" w:color="auto"/>
                    <w:bottom w:val="none" w:sz="0" w:space="0" w:color="auto"/>
                    <w:right w:val="none" w:sz="0" w:space="0" w:color="auto"/>
                  </w:divBdr>
                  <w:divsChild>
                    <w:div w:id="6605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6838">
          <w:marLeft w:val="0"/>
          <w:marRight w:val="0"/>
          <w:marTop w:val="0"/>
          <w:marBottom w:val="0"/>
          <w:divBdr>
            <w:top w:val="none" w:sz="0" w:space="0" w:color="auto"/>
            <w:left w:val="none" w:sz="0" w:space="0" w:color="auto"/>
            <w:bottom w:val="none" w:sz="0" w:space="0" w:color="auto"/>
            <w:right w:val="none" w:sz="0" w:space="0" w:color="auto"/>
          </w:divBdr>
          <w:divsChild>
            <w:div w:id="68162084">
              <w:marLeft w:val="0"/>
              <w:marRight w:val="0"/>
              <w:marTop w:val="0"/>
              <w:marBottom w:val="0"/>
              <w:divBdr>
                <w:top w:val="none" w:sz="0" w:space="0" w:color="auto"/>
                <w:left w:val="none" w:sz="0" w:space="0" w:color="auto"/>
                <w:bottom w:val="none" w:sz="0" w:space="0" w:color="auto"/>
                <w:right w:val="none" w:sz="0" w:space="0" w:color="auto"/>
              </w:divBdr>
              <w:divsChild>
                <w:div w:id="959724067">
                  <w:marLeft w:val="0"/>
                  <w:marRight w:val="0"/>
                  <w:marTop w:val="0"/>
                  <w:marBottom w:val="0"/>
                  <w:divBdr>
                    <w:top w:val="none" w:sz="0" w:space="0" w:color="auto"/>
                    <w:left w:val="none" w:sz="0" w:space="0" w:color="auto"/>
                    <w:bottom w:val="none" w:sz="0" w:space="0" w:color="auto"/>
                    <w:right w:val="none" w:sz="0" w:space="0" w:color="auto"/>
                  </w:divBdr>
                  <w:divsChild>
                    <w:div w:id="1513031328">
                      <w:marLeft w:val="0"/>
                      <w:marRight w:val="0"/>
                      <w:marTop w:val="0"/>
                      <w:marBottom w:val="0"/>
                      <w:divBdr>
                        <w:top w:val="none" w:sz="0" w:space="0" w:color="auto"/>
                        <w:left w:val="none" w:sz="0" w:space="0" w:color="auto"/>
                        <w:bottom w:val="none" w:sz="0" w:space="0" w:color="auto"/>
                        <w:right w:val="none" w:sz="0" w:space="0" w:color="auto"/>
                      </w:divBdr>
                      <w:divsChild>
                        <w:div w:id="16307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947">
                  <w:marLeft w:val="0"/>
                  <w:marRight w:val="0"/>
                  <w:marTop w:val="0"/>
                  <w:marBottom w:val="0"/>
                  <w:divBdr>
                    <w:top w:val="none" w:sz="0" w:space="0" w:color="auto"/>
                    <w:left w:val="none" w:sz="0" w:space="0" w:color="auto"/>
                    <w:bottom w:val="none" w:sz="0" w:space="0" w:color="auto"/>
                    <w:right w:val="none" w:sz="0" w:space="0" w:color="auto"/>
                  </w:divBdr>
                  <w:divsChild>
                    <w:div w:id="20013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3514">
          <w:marLeft w:val="0"/>
          <w:marRight w:val="0"/>
          <w:marTop w:val="0"/>
          <w:marBottom w:val="0"/>
          <w:divBdr>
            <w:top w:val="none" w:sz="0" w:space="0" w:color="auto"/>
            <w:left w:val="none" w:sz="0" w:space="0" w:color="auto"/>
            <w:bottom w:val="none" w:sz="0" w:space="0" w:color="auto"/>
            <w:right w:val="none" w:sz="0" w:space="0" w:color="auto"/>
          </w:divBdr>
          <w:divsChild>
            <w:div w:id="760176571">
              <w:marLeft w:val="0"/>
              <w:marRight w:val="0"/>
              <w:marTop w:val="0"/>
              <w:marBottom w:val="0"/>
              <w:divBdr>
                <w:top w:val="none" w:sz="0" w:space="0" w:color="auto"/>
                <w:left w:val="none" w:sz="0" w:space="0" w:color="auto"/>
                <w:bottom w:val="none" w:sz="0" w:space="0" w:color="auto"/>
                <w:right w:val="none" w:sz="0" w:space="0" w:color="auto"/>
              </w:divBdr>
              <w:divsChild>
                <w:div w:id="1046563429">
                  <w:marLeft w:val="0"/>
                  <w:marRight w:val="0"/>
                  <w:marTop w:val="0"/>
                  <w:marBottom w:val="0"/>
                  <w:divBdr>
                    <w:top w:val="none" w:sz="0" w:space="0" w:color="auto"/>
                    <w:left w:val="none" w:sz="0" w:space="0" w:color="auto"/>
                    <w:bottom w:val="none" w:sz="0" w:space="0" w:color="auto"/>
                    <w:right w:val="none" w:sz="0" w:space="0" w:color="auto"/>
                  </w:divBdr>
                  <w:divsChild>
                    <w:div w:id="3224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9368">
          <w:marLeft w:val="0"/>
          <w:marRight w:val="0"/>
          <w:marTop w:val="0"/>
          <w:marBottom w:val="0"/>
          <w:divBdr>
            <w:top w:val="none" w:sz="0" w:space="0" w:color="auto"/>
            <w:left w:val="none" w:sz="0" w:space="0" w:color="auto"/>
            <w:bottom w:val="none" w:sz="0" w:space="0" w:color="auto"/>
            <w:right w:val="none" w:sz="0" w:space="0" w:color="auto"/>
          </w:divBdr>
          <w:divsChild>
            <w:div w:id="855001913">
              <w:marLeft w:val="0"/>
              <w:marRight w:val="0"/>
              <w:marTop w:val="0"/>
              <w:marBottom w:val="0"/>
              <w:divBdr>
                <w:top w:val="none" w:sz="0" w:space="0" w:color="auto"/>
                <w:left w:val="none" w:sz="0" w:space="0" w:color="auto"/>
                <w:bottom w:val="none" w:sz="0" w:space="0" w:color="auto"/>
                <w:right w:val="none" w:sz="0" w:space="0" w:color="auto"/>
              </w:divBdr>
              <w:divsChild>
                <w:div w:id="939140641">
                  <w:marLeft w:val="0"/>
                  <w:marRight w:val="0"/>
                  <w:marTop w:val="0"/>
                  <w:marBottom w:val="0"/>
                  <w:divBdr>
                    <w:top w:val="none" w:sz="0" w:space="0" w:color="auto"/>
                    <w:left w:val="none" w:sz="0" w:space="0" w:color="auto"/>
                    <w:bottom w:val="none" w:sz="0" w:space="0" w:color="auto"/>
                    <w:right w:val="none" w:sz="0" w:space="0" w:color="auto"/>
                  </w:divBdr>
                  <w:divsChild>
                    <w:div w:id="2009559523">
                      <w:marLeft w:val="0"/>
                      <w:marRight w:val="0"/>
                      <w:marTop w:val="0"/>
                      <w:marBottom w:val="0"/>
                      <w:divBdr>
                        <w:top w:val="none" w:sz="0" w:space="0" w:color="auto"/>
                        <w:left w:val="none" w:sz="0" w:space="0" w:color="auto"/>
                        <w:bottom w:val="none" w:sz="0" w:space="0" w:color="auto"/>
                        <w:right w:val="none" w:sz="0" w:space="0" w:color="auto"/>
                      </w:divBdr>
                      <w:divsChild>
                        <w:div w:id="18107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247">
                  <w:marLeft w:val="0"/>
                  <w:marRight w:val="0"/>
                  <w:marTop w:val="0"/>
                  <w:marBottom w:val="0"/>
                  <w:divBdr>
                    <w:top w:val="none" w:sz="0" w:space="0" w:color="auto"/>
                    <w:left w:val="none" w:sz="0" w:space="0" w:color="auto"/>
                    <w:bottom w:val="none" w:sz="0" w:space="0" w:color="auto"/>
                    <w:right w:val="none" w:sz="0" w:space="0" w:color="auto"/>
                  </w:divBdr>
                  <w:divsChild>
                    <w:div w:id="11454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7018">
          <w:marLeft w:val="0"/>
          <w:marRight w:val="0"/>
          <w:marTop w:val="0"/>
          <w:marBottom w:val="0"/>
          <w:divBdr>
            <w:top w:val="none" w:sz="0" w:space="0" w:color="auto"/>
            <w:left w:val="none" w:sz="0" w:space="0" w:color="auto"/>
            <w:bottom w:val="none" w:sz="0" w:space="0" w:color="auto"/>
            <w:right w:val="none" w:sz="0" w:space="0" w:color="auto"/>
          </w:divBdr>
          <w:divsChild>
            <w:div w:id="956836354">
              <w:marLeft w:val="0"/>
              <w:marRight w:val="0"/>
              <w:marTop w:val="0"/>
              <w:marBottom w:val="0"/>
              <w:divBdr>
                <w:top w:val="none" w:sz="0" w:space="0" w:color="auto"/>
                <w:left w:val="none" w:sz="0" w:space="0" w:color="auto"/>
                <w:bottom w:val="none" w:sz="0" w:space="0" w:color="auto"/>
                <w:right w:val="none" w:sz="0" w:space="0" w:color="auto"/>
              </w:divBdr>
              <w:divsChild>
                <w:div w:id="540824967">
                  <w:marLeft w:val="0"/>
                  <w:marRight w:val="0"/>
                  <w:marTop w:val="0"/>
                  <w:marBottom w:val="0"/>
                  <w:divBdr>
                    <w:top w:val="none" w:sz="0" w:space="0" w:color="auto"/>
                    <w:left w:val="none" w:sz="0" w:space="0" w:color="auto"/>
                    <w:bottom w:val="none" w:sz="0" w:space="0" w:color="auto"/>
                    <w:right w:val="none" w:sz="0" w:space="0" w:color="auto"/>
                  </w:divBdr>
                  <w:divsChild>
                    <w:div w:id="1017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215">
          <w:marLeft w:val="0"/>
          <w:marRight w:val="0"/>
          <w:marTop w:val="0"/>
          <w:marBottom w:val="0"/>
          <w:divBdr>
            <w:top w:val="none" w:sz="0" w:space="0" w:color="auto"/>
            <w:left w:val="none" w:sz="0" w:space="0" w:color="auto"/>
            <w:bottom w:val="none" w:sz="0" w:space="0" w:color="auto"/>
            <w:right w:val="none" w:sz="0" w:space="0" w:color="auto"/>
          </w:divBdr>
          <w:divsChild>
            <w:div w:id="1714310068">
              <w:marLeft w:val="0"/>
              <w:marRight w:val="0"/>
              <w:marTop w:val="0"/>
              <w:marBottom w:val="0"/>
              <w:divBdr>
                <w:top w:val="none" w:sz="0" w:space="0" w:color="auto"/>
                <w:left w:val="none" w:sz="0" w:space="0" w:color="auto"/>
                <w:bottom w:val="none" w:sz="0" w:space="0" w:color="auto"/>
                <w:right w:val="none" w:sz="0" w:space="0" w:color="auto"/>
              </w:divBdr>
              <w:divsChild>
                <w:div w:id="1647323492">
                  <w:marLeft w:val="0"/>
                  <w:marRight w:val="0"/>
                  <w:marTop w:val="0"/>
                  <w:marBottom w:val="0"/>
                  <w:divBdr>
                    <w:top w:val="none" w:sz="0" w:space="0" w:color="auto"/>
                    <w:left w:val="none" w:sz="0" w:space="0" w:color="auto"/>
                    <w:bottom w:val="none" w:sz="0" w:space="0" w:color="auto"/>
                    <w:right w:val="none" w:sz="0" w:space="0" w:color="auto"/>
                  </w:divBdr>
                  <w:divsChild>
                    <w:div w:id="1812483697">
                      <w:marLeft w:val="0"/>
                      <w:marRight w:val="0"/>
                      <w:marTop w:val="0"/>
                      <w:marBottom w:val="0"/>
                      <w:divBdr>
                        <w:top w:val="none" w:sz="0" w:space="0" w:color="auto"/>
                        <w:left w:val="none" w:sz="0" w:space="0" w:color="auto"/>
                        <w:bottom w:val="none" w:sz="0" w:space="0" w:color="auto"/>
                        <w:right w:val="none" w:sz="0" w:space="0" w:color="auto"/>
                      </w:divBdr>
                      <w:divsChild>
                        <w:div w:id="1052195193">
                          <w:marLeft w:val="0"/>
                          <w:marRight w:val="0"/>
                          <w:marTop w:val="0"/>
                          <w:marBottom w:val="0"/>
                          <w:divBdr>
                            <w:top w:val="none" w:sz="0" w:space="0" w:color="auto"/>
                            <w:left w:val="none" w:sz="0" w:space="0" w:color="auto"/>
                            <w:bottom w:val="none" w:sz="0" w:space="0" w:color="auto"/>
                            <w:right w:val="none" w:sz="0" w:space="0" w:color="auto"/>
                          </w:divBdr>
                          <w:divsChild>
                            <w:div w:id="636572092">
                              <w:marLeft w:val="0"/>
                              <w:marRight w:val="0"/>
                              <w:marTop w:val="0"/>
                              <w:marBottom w:val="0"/>
                              <w:divBdr>
                                <w:top w:val="none" w:sz="0" w:space="0" w:color="auto"/>
                                <w:left w:val="none" w:sz="0" w:space="0" w:color="auto"/>
                                <w:bottom w:val="none" w:sz="0" w:space="0" w:color="auto"/>
                                <w:right w:val="none" w:sz="0" w:space="0" w:color="auto"/>
                              </w:divBdr>
                              <w:divsChild>
                                <w:div w:id="805124585">
                                  <w:marLeft w:val="0"/>
                                  <w:marRight w:val="0"/>
                                  <w:marTop w:val="0"/>
                                  <w:marBottom w:val="0"/>
                                  <w:divBdr>
                                    <w:top w:val="none" w:sz="0" w:space="0" w:color="auto"/>
                                    <w:left w:val="none" w:sz="0" w:space="0" w:color="auto"/>
                                    <w:bottom w:val="none" w:sz="0" w:space="0" w:color="auto"/>
                                    <w:right w:val="none" w:sz="0" w:space="0" w:color="auto"/>
                                  </w:divBdr>
                                  <w:divsChild>
                                    <w:div w:id="2124227215">
                                      <w:marLeft w:val="0"/>
                                      <w:marRight w:val="0"/>
                                      <w:marTop w:val="0"/>
                                      <w:marBottom w:val="0"/>
                                      <w:divBdr>
                                        <w:top w:val="none" w:sz="0" w:space="0" w:color="auto"/>
                                        <w:left w:val="none" w:sz="0" w:space="0" w:color="auto"/>
                                        <w:bottom w:val="none" w:sz="0" w:space="0" w:color="auto"/>
                                        <w:right w:val="none" w:sz="0" w:space="0" w:color="auto"/>
                                      </w:divBdr>
                                      <w:divsChild>
                                        <w:div w:id="319504171">
                                          <w:marLeft w:val="0"/>
                                          <w:marRight w:val="0"/>
                                          <w:marTop w:val="0"/>
                                          <w:marBottom w:val="0"/>
                                          <w:divBdr>
                                            <w:top w:val="none" w:sz="0" w:space="0" w:color="auto"/>
                                            <w:left w:val="none" w:sz="0" w:space="0" w:color="auto"/>
                                            <w:bottom w:val="none" w:sz="0" w:space="0" w:color="auto"/>
                                            <w:right w:val="none" w:sz="0" w:space="0" w:color="auto"/>
                                          </w:divBdr>
                                          <w:divsChild>
                                            <w:div w:id="11420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4407">
                                      <w:marLeft w:val="0"/>
                                      <w:marRight w:val="0"/>
                                      <w:marTop w:val="0"/>
                                      <w:marBottom w:val="0"/>
                                      <w:divBdr>
                                        <w:top w:val="none" w:sz="0" w:space="0" w:color="auto"/>
                                        <w:left w:val="none" w:sz="0" w:space="0" w:color="auto"/>
                                        <w:bottom w:val="none" w:sz="0" w:space="0" w:color="auto"/>
                                        <w:right w:val="none" w:sz="0" w:space="0" w:color="auto"/>
                                      </w:divBdr>
                                      <w:divsChild>
                                        <w:div w:id="12909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499557">
          <w:marLeft w:val="0"/>
          <w:marRight w:val="0"/>
          <w:marTop w:val="0"/>
          <w:marBottom w:val="0"/>
          <w:divBdr>
            <w:top w:val="none" w:sz="0" w:space="0" w:color="auto"/>
            <w:left w:val="none" w:sz="0" w:space="0" w:color="auto"/>
            <w:bottom w:val="none" w:sz="0" w:space="0" w:color="auto"/>
            <w:right w:val="none" w:sz="0" w:space="0" w:color="auto"/>
          </w:divBdr>
          <w:divsChild>
            <w:div w:id="382754174">
              <w:marLeft w:val="0"/>
              <w:marRight w:val="0"/>
              <w:marTop w:val="0"/>
              <w:marBottom w:val="0"/>
              <w:divBdr>
                <w:top w:val="none" w:sz="0" w:space="0" w:color="auto"/>
                <w:left w:val="none" w:sz="0" w:space="0" w:color="auto"/>
                <w:bottom w:val="none" w:sz="0" w:space="0" w:color="auto"/>
                <w:right w:val="none" w:sz="0" w:space="0" w:color="auto"/>
              </w:divBdr>
              <w:divsChild>
                <w:div w:id="526329229">
                  <w:marLeft w:val="0"/>
                  <w:marRight w:val="0"/>
                  <w:marTop w:val="0"/>
                  <w:marBottom w:val="0"/>
                  <w:divBdr>
                    <w:top w:val="none" w:sz="0" w:space="0" w:color="auto"/>
                    <w:left w:val="none" w:sz="0" w:space="0" w:color="auto"/>
                    <w:bottom w:val="none" w:sz="0" w:space="0" w:color="auto"/>
                    <w:right w:val="none" w:sz="0" w:space="0" w:color="auto"/>
                  </w:divBdr>
                  <w:divsChild>
                    <w:div w:id="2118479947">
                      <w:marLeft w:val="0"/>
                      <w:marRight w:val="0"/>
                      <w:marTop w:val="0"/>
                      <w:marBottom w:val="0"/>
                      <w:divBdr>
                        <w:top w:val="none" w:sz="0" w:space="0" w:color="auto"/>
                        <w:left w:val="none" w:sz="0" w:space="0" w:color="auto"/>
                        <w:bottom w:val="none" w:sz="0" w:space="0" w:color="auto"/>
                        <w:right w:val="none" w:sz="0" w:space="0" w:color="auto"/>
                      </w:divBdr>
                      <w:divsChild>
                        <w:div w:id="15610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941231">
          <w:marLeft w:val="0"/>
          <w:marRight w:val="0"/>
          <w:marTop w:val="0"/>
          <w:marBottom w:val="0"/>
          <w:divBdr>
            <w:top w:val="none" w:sz="0" w:space="0" w:color="auto"/>
            <w:left w:val="none" w:sz="0" w:space="0" w:color="auto"/>
            <w:bottom w:val="none" w:sz="0" w:space="0" w:color="auto"/>
            <w:right w:val="none" w:sz="0" w:space="0" w:color="auto"/>
          </w:divBdr>
          <w:divsChild>
            <w:div w:id="1381173525">
              <w:marLeft w:val="0"/>
              <w:marRight w:val="0"/>
              <w:marTop w:val="0"/>
              <w:marBottom w:val="0"/>
              <w:divBdr>
                <w:top w:val="none" w:sz="0" w:space="0" w:color="auto"/>
                <w:left w:val="none" w:sz="0" w:space="0" w:color="auto"/>
                <w:bottom w:val="none" w:sz="0" w:space="0" w:color="auto"/>
                <w:right w:val="none" w:sz="0" w:space="0" w:color="auto"/>
              </w:divBdr>
              <w:divsChild>
                <w:div w:id="434790345">
                  <w:marLeft w:val="0"/>
                  <w:marRight w:val="0"/>
                  <w:marTop w:val="0"/>
                  <w:marBottom w:val="0"/>
                  <w:divBdr>
                    <w:top w:val="none" w:sz="0" w:space="0" w:color="auto"/>
                    <w:left w:val="none" w:sz="0" w:space="0" w:color="auto"/>
                    <w:bottom w:val="none" w:sz="0" w:space="0" w:color="auto"/>
                    <w:right w:val="none" w:sz="0" w:space="0" w:color="auto"/>
                  </w:divBdr>
                  <w:divsChild>
                    <w:div w:id="1690914762">
                      <w:marLeft w:val="0"/>
                      <w:marRight w:val="0"/>
                      <w:marTop w:val="0"/>
                      <w:marBottom w:val="0"/>
                      <w:divBdr>
                        <w:top w:val="none" w:sz="0" w:space="0" w:color="auto"/>
                        <w:left w:val="none" w:sz="0" w:space="0" w:color="auto"/>
                        <w:bottom w:val="none" w:sz="0" w:space="0" w:color="auto"/>
                        <w:right w:val="none" w:sz="0" w:space="0" w:color="auto"/>
                      </w:divBdr>
                      <w:divsChild>
                        <w:div w:id="2129809886">
                          <w:marLeft w:val="0"/>
                          <w:marRight w:val="0"/>
                          <w:marTop w:val="0"/>
                          <w:marBottom w:val="0"/>
                          <w:divBdr>
                            <w:top w:val="none" w:sz="0" w:space="0" w:color="auto"/>
                            <w:left w:val="none" w:sz="0" w:space="0" w:color="auto"/>
                            <w:bottom w:val="none" w:sz="0" w:space="0" w:color="auto"/>
                            <w:right w:val="none" w:sz="0" w:space="0" w:color="auto"/>
                          </w:divBdr>
                          <w:divsChild>
                            <w:div w:id="1530296098">
                              <w:marLeft w:val="0"/>
                              <w:marRight w:val="0"/>
                              <w:marTop w:val="0"/>
                              <w:marBottom w:val="0"/>
                              <w:divBdr>
                                <w:top w:val="none" w:sz="0" w:space="0" w:color="auto"/>
                                <w:left w:val="none" w:sz="0" w:space="0" w:color="auto"/>
                                <w:bottom w:val="none" w:sz="0" w:space="0" w:color="auto"/>
                                <w:right w:val="none" w:sz="0" w:space="0" w:color="auto"/>
                              </w:divBdr>
                              <w:divsChild>
                                <w:div w:id="703216029">
                                  <w:marLeft w:val="0"/>
                                  <w:marRight w:val="0"/>
                                  <w:marTop w:val="0"/>
                                  <w:marBottom w:val="0"/>
                                  <w:divBdr>
                                    <w:top w:val="none" w:sz="0" w:space="0" w:color="auto"/>
                                    <w:left w:val="none" w:sz="0" w:space="0" w:color="auto"/>
                                    <w:bottom w:val="none" w:sz="0" w:space="0" w:color="auto"/>
                                    <w:right w:val="none" w:sz="0" w:space="0" w:color="auto"/>
                                  </w:divBdr>
                                  <w:divsChild>
                                    <w:div w:id="1217930306">
                                      <w:marLeft w:val="0"/>
                                      <w:marRight w:val="0"/>
                                      <w:marTop w:val="0"/>
                                      <w:marBottom w:val="0"/>
                                      <w:divBdr>
                                        <w:top w:val="none" w:sz="0" w:space="0" w:color="auto"/>
                                        <w:left w:val="none" w:sz="0" w:space="0" w:color="auto"/>
                                        <w:bottom w:val="none" w:sz="0" w:space="0" w:color="auto"/>
                                        <w:right w:val="none" w:sz="0" w:space="0" w:color="auto"/>
                                      </w:divBdr>
                                      <w:divsChild>
                                        <w:div w:id="1219784423">
                                          <w:marLeft w:val="0"/>
                                          <w:marRight w:val="0"/>
                                          <w:marTop w:val="0"/>
                                          <w:marBottom w:val="0"/>
                                          <w:divBdr>
                                            <w:top w:val="none" w:sz="0" w:space="0" w:color="auto"/>
                                            <w:left w:val="none" w:sz="0" w:space="0" w:color="auto"/>
                                            <w:bottom w:val="none" w:sz="0" w:space="0" w:color="auto"/>
                                            <w:right w:val="none" w:sz="0" w:space="0" w:color="auto"/>
                                          </w:divBdr>
                                          <w:divsChild>
                                            <w:div w:id="2048673415">
                                              <w:marLeft w:val="0"/>
                                              <w:marRight w:val="0"/>
                                              <w:marTop w:val="0"/>
                                              <w:marBottom w:val="0"/>
                                              <w:divBdr>
                                                <w:top w:val="none" w:sz="0" w:space="0" w:color="auto"/>
                                                <w:left w:val="none" w:sz="0" w:space="0" w:color="auto"/>
                                                <w:bottom w:val="none" w:sz="0" w:space="0" w:color="auto"/>
                                                <w:right w:val="none" w:sz="0" w:space="0" w:color="auto"/>
                                              </w:divBdr>
                                              <w:divsChild>
                                                <w:div w:id="228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8168">
                                      <w:marLeft w:val="0"/>
                                      <w:marRight w:val="0"/>
                                      <w:marTop w:val="0"/>
                                      <w:marBottom w:val="0"/>
                                      <w:divBdr>
                                        <w:top w:val="none" w:sz="0" w:space="0" w:color="auto"/>
                                        <w:left w:val="none" w:sz="0" w:space="0" w:color="auto"/>
                                        <w:bottom w:val="none" w:sz="0" w:space="0" w:color="auto"/>
                                        <w:right w:val="none" w:sz="0" w:space="0" w:color="auto"/>
                                      </w:divBdr>
                                      <w:divsChild>
                                        <w:div w:id="15546655">
                                          <w:marLeft w:val="0"/>
                                          <w:marRight w:val="0"/>
                                          <w:marTop w:val="0"/>
                                          <w:marBottom w:val="0"/>
                                          <w:divBdr>
                                            <w:top w:val="none" w:sz="0" w:space="0" w:color="auto"/>
                                            <w:left w:val="none" w:sz="0" w:space="0" w:color="auto"/>
                                            <w:bottom w:val="none" w:sz="0" w:space="0" w:color="auto"/>
                                            <w:right w:val="none" w:sz="0" w:space="0" w:color="auto"/>
                                          </w:divBdr>
                                          <w:divsChild>
                                            <w:div w:id="1380592473">
                                              <w:marLeft w:val="0"/>
                                              <w:marRight w:val="0"/>
                                              <w:marTop w:val="0"/>
                                              <w:marBottom w:val="0"/>
                                              <w:divBdr>
                                                <w:top w:val="none" w:sz="0" w:space="0" w:color="auto"/>
                                                <w:left w:val="none" w:sz="0" w:space="0" w:color="auto"/>
                                                <w:bottom w:val="none" w:sz="0" w:space="0" w:color="auto"/>
                                                <w:right w:val="none" w:sz="0" w:space="0" w:color="auto"/>
                                              </w:divBdr>
                                              <w:divsChild>
                                                <w:div w:id="5597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120621">
          <w:marLeft w:val="0"/>
          <w:marRight w:val="0"/>
          <w:marTop w:val="0"/>
          <w:marBottom w:val="0"/>
          <w:divBdr>
            <w:top w:val="none" w:sz="0" w:space="0" w:color="auto"/>
            <w:left w:val="none" w:sz="0" w:space="0" w:color="auto"/>
            <w:bottom w:val="none" w:sz="0" w:space="0" w:color="auto"/>
            <w:right w:val="none" w:sz="0" w:space="0" w:color="auto"/>
          </w:divBdr>
          <w:divsChild>
            <w:div w:id="12190475">
              <w:marLeft w:val="0"/>
              <w:marRight w:val="0"/>
              <w:marTop w:val="0"/>
              <w:marBottom w:val="0"/>
              <w:divBdr>
                <w:top w:val="none" w:sz="0" w:space="0" w:color="auto"/>
                <w:left w:val="none" w:sz="0" w:space="0" w:color="auto"/>
                <w:bottom w:val="none" w:sz="0" w:space="0" w:color="auto"/>
                <w:right w:val="none" w:sz="0" w:space="0" w:color="auto"/>
              </w:divBdr>
              <w:divsChild>
                <w:div w:id="1500198215">
                  <w:marLeft w:val="0"/>
                  <w:marRight w:val="0"/>
                  <w:marTop w:val="0"/>
                  <w:marBottom w:val="0"/>
                  <w:divBdr>
                    <w:top w:val="none" w:sz="0" w:space="0" w:color="auto"/>
                    <w:left w:val="none" w:sz="0" w:space="0" w:color="auto"/>
                    <w:bottom w:val="none" w:sz="0" w:space="0" w:color="auto"/>
                    <w:right w:val="none" w:sz="0" w:space="0" w:color="auto"/>
                  </w:divBdr>
                  <w:divsChild>
                    <w:div w:id="455174152">
                      <w:marLeft w:val="0"/>
                      <w:marRight w:val="0"/>
                      <w:marTop w:val="0"/>
                      <w:marBottom w:val="0"/>
                      <w:divBdr>
                        <w:top w:val="none" w:sz="0" w:space="0" w:color="auto"/>
                        <w:left w:val="none" w:sz="0" w:space="0" w:color="auto"/>
                        <w:bottom w:val="none" w:sz="0" w:space="0" w:color="auto"/>
                        <w:right w:val="none" w:sz="0" w:space="0" w:color="auto"/>
                      </w:divBdr>
                    </w:div>
                    <w:div w:id="4697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7326">
      <w:bodyDiv w:val="1"/>
      <w:marLeft w:val="0"/>
      <w:marRight w:val="0"/>
      <w:marTop w:val="0"/>
      <w:marBottom w:val="0"/>
      <w:divBdr>
        <w:top w:val="none" w:sz="0" w:space="0" w:color="auto"/>
        <w:left w:val="none" w:sz="0" w:space="0" w:color="auto"/>
        <w:bottom w:val="none" w:sz="0" w:space="0" w:color="auto"/>
        <w:right w:val="none" w:sz="0" w:space="0" w:color="auto"/>
      </w:divBdr>
    </w:div>
    <w:div w:id="1170368838">
      <w:bodyDiv w:val="1"/>
      <w:marLeft w:val="0"/>
      <w:marRight w:val="0"/>
      <w:marTop w:val="0"/>
      <w:marBottom w:val="0"/>
      <w:divBdr>
        <w:top w:val="none" w:sz="0" w:space="0" w:color="auto"/>
        <w:left w:val="none" w:sz="0" w:space="0" w:color="auto"/>
        <w:bottom w:val="none" w:sz="0" w:space="0" w:color="auto"/>
        <w:right w:val="none" w:sz="0" w:space="0" w:color="auto"/>
      </w:divBdr>
    </w:div>
    <w:div w:id="1278681598">
      <w:bodyDiv w:val="1"/>
      <w:marLeft w:val="0"/>
      <w:marRight w:val="0"/>
      <w:marTop w:val="0"/>
      <w:marBottom w:val="0"/>
      <w:divBdr>
        <w:top w:val="none" w:sz="0" w:space="0" w:color="auto"/>
        <w:left w:val="none" w:sz="0" w:space="0" w:color="auto"/>
        <w:bottom w:val="none" w:sz="0" w:space="0" w:color="auto"/>
        <w:right w:val="none" w:sz="0" w:space="0" w:color="auto"/>
      </w:divBdr>
    </w:div>
    <w:div w:id="1370498485">
      <w:bodyDiv w:val="1"/>
      <w:marLeft w:val="0"/>
      <w:marRight w:val="0"/>
      <w:marTop w:val="0"/>
      <w:marBottom w:val="0"/>
      <w:divBdr>
        <w:top w:val="none" w:sz="0" w:space="0" w:color="auto"/>
        <w:left w:val="none" w:sz="0" w:space="0" w:color="auto"/>
        <w:bottom w:val="none" w:sz="0" w:space="0" w:color="auto"/>
        <w:right w:val="none" w:sz="0" w:space="0" w:color="auto"/>
      </w:divBdr>
    </w:div>
    <w:div w:id="1555040327">
      <w:bodyDiv w:val="1"/>
      <w:marLeft w:val="0"/>
      <w:marRight w:val="0"/>
      <w:marTop w:val="0"/>
      <w:marBottom w:val="0"/>
      <w:divBdr>
        <w:top w:val="none" w:sz="0" w:space="0" w:color="auto"/>
        <w:left w:val="none" w:sz="0" w:space="0" w:color="auto"/>
        <w:bottom w:val="none" w:sz="0" w:space="0" w:color="auto"/>
        <w:right w:val="none" w:sz="0" w:space="0" w:color="auto"/>
      </w:divBdr>
    </w:div>
    <w:div w:id="1928346120">
      <w:bodyDiv w:val="1"/>
      <w:marLeft w:val="0"/>
      <w:marRight w:val="0"/>
      <w:marTop w:val="0"/>
      <w:marBottom w:val="0"/>
      <w:divBdr>
        <w:top w:val="none" w:sz="0" w:space="0" w:color="auto"/>
        <w:left w:val="none" w:sz="0" w:space="0" w:color="auto"/>
        <w:bottom w:val="none" w:sz="0" w:space="0" w:color="auto"/>
        <w:right w:val="none" w:sz="0" w:space="0" w:color="auto"/>
      </w:divBdr>
    </w:div>
    <w:div w:id="1962106283">
      <w:bodyDiv w:val="1"/>
      <w:marLeft w:val="0"/>
      <w:marRight w:val="0"/>
      <w:marTop w:val="0"/>
      <w:marBottom w:val="0"/>
      <w:divBdr>
        <w:top w:val="none" w:sz="0" w:space="0" w:color="auto"/>
        <w:left w:val="none" w:sz="0" w:space="0" w:color="auto"/>
        <w:bottom w:val="none" w:sz="0" w:space="0" w:color="auto"/>
        <w:right w:val="none" w:sz="0" w:space="0" w:color="auto"/>
      </w:divBdr>
    </w:div>
    <w:div w:id="2008827521">
      <w:bodyDiv w:val="1"/>
      <w:marLeft w:val="0"/>
      <w:marRight w:val="0"/>
      <w:marTop w:val="0"/>
      <w:marBottom w:val="0"/>
      <w:divBdr>
        <w:top w:val="none" w:sz="0" w:space="0" w:color="auto"/>
        <w:left w:val="none" w:sz="0" w:space="0" w:color="auto"/>
        <w:bottom w:val="none" w:sz="0" w:space="0" w:color="auto"/>
        <w:right w:val="none" w:sz="0" w:space="0" w:color="auto"/>
      </w:divBdr>
      <w:divsChild>
        <w:div w:id="959457751">
          <w:marLeft w:val="0"/>
          <w:marRight w:val="0"/>
          <w:marTop w:val="0"/>
          <w:marBottom w:val="0"/>
          <w:divBdr>
            <w:top w:val="none" w:sz="0" w:space="0" w:color="auto"/>
            <w:left w:val="none" w:sz="0" w:space="0" w:color="auto"/>
            <w:bottom w:val="none" w:sz="0" w:space="0" w:color="auto"/>
            <w:right w:val="none" w:sz="0" w:space="0" w:color="auto"/>
          </w:divBdr>
        </w:div>
        <w:div w:id="1014457117">
          <w:marLeft w:val="0"/>
          <w:marRight w:val="0"/>
          <w:marTop w:val="0"/>
          <w:marBottom w:val="0"/>
          <w:divBdr>
            <w:top w:val="none" w:sz="0" w:space="0" w:color="auto"/>
            <w:left w:val="none" w:sz="0" w:space="0" w:color="auto"/>
            <w:bottom w:val="none" w:sz="0" w:space="0" w:color="auto"/>
            <w:right w:val="none" w:sz="0" w:space="0" w:color="auto"/>
          </w:divBdr>
        </w:div>
      </w:divsChild>
    </w:div>
    <w:div w:id="21292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9FADDB244E7043B5211261D2A19BF5" ma:contentTypeVersion="5" ma:contentTypeDescription="Create a new document." ma:contentTypeScope="" ma:versionID="2b4058094241d2d25f7d8af024789873">
  <xsd:schema xmlns:xsd="http://www.w3.org/2001/XMLSchema" xmlns:xs="http://www.w3.org/2001/XMLSchema" xmlns:p="http://schemas.microsoft.com/office/2006/metadata/properties" xmlns:ns3="933a6de1-3db8-44ad-ad26-471c6567022f" targetNamespace="http://schemas.microsoft.com/office/2006/metadata/properties" ma:root="true" ma:fieldsID="e91f9ab9746185798a6b416c27031172" ns3:_="">
    <xsd:import namespace="933a6de1-3db8-44ad-ad26-471c656702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a6de1-3db8-44ad-ad26-471c65670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D3445E-D91F-430C-AD5C-3C4A73ABBE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DE146-68FA-4F8C-A312-D0F2B7F5BF8D}">
  <ds:schemaRefs>
    <ds:schemaRef ds:uri="http://schemas.openxmlformats.org/officeDocument/2006/bibliography"/>
  </ds:schemaRefs>
</ds:datastoreItem>
</file>

<file path=customXml/itemProps4.xml><?xml version="1.0" encoding="utf-8"?>
<ds:datastoreItem xmlns:ds="http://schemas.openxmlformats.org/officeDocument/2006/customXml" ds:itemID="{97A74475-6EFB-4B40-AC4E-AA8368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a6de1-3db8-44ad-ad26-471c6567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735B14-56ED-4C9A-B55B-C36749056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2434</Words>
  <Characters>14604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MOŁDAWSKA Agnieszka</dc:creator>
  <cp:lastModifiedBy>Żylińska Julita</cp:lastModifiedBy>
  <cp:revision>2</cp:revision>
  <dcterms:created xsi:type="dcterms:W3CDTF">2024-08-21T15:08:00Z</dcterms:created>
  <dcterms:modified xsi:type="dcterms:W3CDTF">2024-08-21T15:08:00Z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0x0101002A9FADDB244E7043B5211261D2A19BF5</vt:lpwstr>
  </property>
</Properties>
</file>