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A87B3A" w14:paraId="543CF14B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722B91EF" w14:textId="77777777" w:rsidR="006A701A" w:rsidRPr="00A87B3A" w:rsidRDefault="006A701A" w:rsidP="00982E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r w:rsidRPr="00A87B3A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A87B3A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53CC4184" w14:textId="2019A160" w:rsidR="00CA7701" w:rsidRPr="00CA7701" w:rsidRDefault="00CA7701" w:rsidP="00982E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A7701">
              <w:rPr>
                <w:rFonts w:ascii="Times New Roman" w:hAnsi="Times New Roman"/>
                <w:color w:val="000000"/>
              </w:rPr>
              <w:t>Projekt rozporządzenia Ministra Klimatu i Środowiska w sprawie zmiany wielkości udziału ilościowego sumy energii elektrycznej wynikającej z umorzonych świadectw pochodzenia potwierdzających wytworzenie energii elektrycznej z odnawialnych źródeł energii w</w:t>
            </w:r>
            <w:r w:rsidR="00F849EE">
              <w:rPr>
                <w:rFonts w:ascii="Times New Roman" w:hAnsi="Times New Roman"/>
                <w:color w:val="000000"/>
              </w:rPr>
              <w:t> </w:t>
            </w:r>
            <w:r w:rsidR="009D57B9">
              <w:rPr>
                <w:rFonts w:ascii="Times New Roman" w:hAnsi="Times New Roman"/>
                <w:color w:val="000000"/>
              </w:rPr>
              <w:t xml:space="preserve">latach </w:t>
            </w:r>
            <w:r w:rsidRPr="00CA7701">
              <w:rPr>
                <w:rFonts w:ascii="Times New Roman" w:hAnsi="Times New Roman"/>
                <w:color w:val="000000"/>
              </w:rPr>
              <w:t>202</w:t>
            </w:r>
            <w:r w:rsidR="006F6840">
              <w:rPr>
                <w:rFonts w:ascii="Times New Roman" w:hAnsi="Times New Roman"/>
                <w:color w:val="000000"/>
              </w:rPr>
              <w:t>5</w:t>
            </w:r>
            <w:r w:rsidR="00A17AB4">
              <w:rPr>
                <w:rFonts w:ascii="Times New Roman" w:hAnsi="Times New Roman"/>
                <w:color w:val="000000"/>
              </w:rPr>
              <w:t>–</w:t>
            </w:r>
            <w:r w:rsidR="009D57B9">
              <w:rPr>
                <w:rFonts w:ascii="Times New Roman" w:hAnsi="Times New Roman"/>
                <w:color w:val="000000"/>
              </w:rPr>
              <w:t>202</w:t>
            </w:r>
            <w:r w:rsidR="006F6840">
              <w:rPr>
                <w:rFonts w:ascii="Times New Roman" w:hAnsi="Times New Roman"/>
                <w:color w:val="000000"/>
              </w:rPr>
              <w:t>7</w:t>
            </w:r>
            <w:r w:rsidR="009D57B9">
              <w:rPr>
                <w:rFonts w:ascii="Times New Roman" w:hAnsi="Times New Roman"/>
                <w:color w:val="000000"/>
              </w:rPr>
              <w:t>.</w:t>
            </w:r>
          </w:p>
          <w:p w14:paraId="391CF830" w14:textId="77777777" w:rsidR="00A87B3A" w:rsidRPr="00A87B3A" w:rsidRDefault="00A87B3A" w:rsidP="00982E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76A2334" w14:textId="77777777" w:rsidR="006A701A" w:rsidRPr="00A87B3A" w:rsidRDefault="006A701A" w:rsidP="00982ED8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366FD858" w14:textId="77777777" w:rsidR="00CA7701" w:rsidRPr="00CA7701" w:rsidRDefault="00CA7701" w:rsidP="00982E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A7701">
              <w:rPr>
                <w:rFonts w:ascii="Times New Roman" w:hAnsi="Times New Roman"/>
                <w:color w:val="000000"/>
              </w:rPr>
              <w:t>Ministerstwo Klimatu i Środowiska</w:t>
            </w:r>
          </w:p>
          <w:p w14:paraId="6AE840BA" w14:textId="77777777" w:rsidR="00A87B3A" w:rsidRPr="00A87B3A" w:rsidRDefault="00A87B3A" w:rsidP="00982E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B0813C8" w14:textId="77777777" w:rsidR="001B3460" w:rsidRPr="00A87B3A" w:rsidRDefault="001B3460" w:rsidP="00982ED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24433298" w14:textId="601636B6" w:rsidR="00CA7701" w:rsidRPr="00CA7701" w:rsidRDefault="00DC1D3C" w:rsidP="00982ED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Miłosz </w:t>
            </w:r>
            <w:r w:rsidR="00797F5C">
              <w:rPr>
                <w:rFonts w:ascii="Times New Roman" w:hAnsi="Times New Roman"/>
              </w:rPr>
              <w:t xml:space="preserve">Motyka </w:t>
            </w:r>
            <w:r w:rsidR="00797F5C" w:rsidRPr="00CA7701">
              <w:rPr>
                <w:rFonts w:ascii="Times New Roman" w:hAnsi="Times New Roman"/>
              </w:rPr>
              <w:t>–</w:t>
            </w:r>
            <w:r w:rsidR="00CA7701" w:rsidRPr="00CA77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Pods</w:t>
            </w:r>
            <w:r w:rsidR="00CA7701" w:rsidRPr="00CA7701">
              <w:rPr>
                <w:rFonts w:ascii="Times New Roman" w:hAnsi="Times New Roman"/>
              </w:rPr>
              <w:t xml:space="preserve">ekretarz Stanu, Ministerstwo Klimatu </w:t>
            </w:r>
            <w:r w:rsidR="00294D7B">
              <w:rPr>
                <w:rFonts w:ascii="Times New Roman" w:hAnsi="Times New Roman"/>
              </w:rPr>
              <w:br/>
            </w:r>
            <w:r w:rsidR="00CA7701" w:rsidRPr="00CA7701">
              <w:rPr>
                <w:rFonts w:ascii="Times New Roman" w:hAnsi="Times New Roman"/>
              </w:rPr>
              <w:t>i Środowiska</w:t>
            </w:r>
          </w:p>
          <w:p w14:paraId="05655EC7" w14:textId="77777777" w:rsidR="00A87B3A" w:rsidRPr="00A87B3A" w:rsidRDefault="00A87B3A" w:rsidP="00982ED8">
            <w:pPr>
              <w:spacing w:line="240" w:lineRule="auto"/>
              <w:rPr>
                <w:rFonts w:ascii="Times New Roman" w:hAnsi="Times New Roman"/>
              </w:rPr>
            </w:pPr>
          </w:p>
          <w:p w14:paraId="1CF1B3CA" w14:textId="77777777" w:rsidR="006A701A" w:rsidRPr="00A87B3A" w:rsidRDefault="006A701A" w:rsidP="00982ED8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7F8B0866" w14:textId="4F3DC66C" w:rsidR="006A701A" w:rsidRPr="00A87B3A" w:rsidRDefault="002C6177" w:rsidP="00982E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Marcin</w:t>
            </w:r>
            <w:r w:rsidR="00CA7701" w:rsidRPr="00CA770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Szyndler</w:t>
            </w:r>
            <w:r w:rsidR="00CA7701" w:rsidRPr="00CA7701">
              <w:rPr>
                <w:rFonts w:ascii="Times New Roman" w:hAnsi="Times New Roman"/>
                <w:color w:val="000000"/>
              </w:rPr>
              <w:t xml:space="preserve"> – starszy specjalista, Wydział Regulacji </w:t>
            </w:r>
            <w:r w:rsidR="004170B4">
              <w:rPr>
                <w:rFonts w:ascii="Times New Roman" w:hAnsi="Times New Roman"/>
                <w:color w:val="000000"/>
              </w:rPr>
              <w:br/>
            </w:r>
            <w:r w:rsidR="00CA7701" w:rsidRPr="00CA7701">
              <w:rPr>
                <w:rFonts w:ascii="Times New Roman" w:hAnsi="Times New Roman"/>
                <w:color w:val="000000"/>
              </w:rPr>
              <w:t>i</w:t>
            </w:r>
            <w:r w:rsidR="004170B4">
              <w:rPr>
                <w:rFonts w:ascii="Times New Roman" w:hAnsi="Times New Roman"/>
                <w:color w:val="000000"/>
              </w:rPr>
              <w:t xml:space="preserve"> </w:t>
            </w:r>
            <w:r w:rsidR="00CA7701" w:rsidRPr="00CA7701">
              <w:rPr>
                <w:rFonts w:ascii="Times New Roman" w:hAnsi="Times New Roman"/>
                <w:color w:val="000000"/>
              </w:rPr>
              <w:t xml:space="preserve">Mechanizmów Wsparcia Odnawialnych Źródeł Energii, </w:t>
            </w:r>
            <w:r w:rsidR="00E8708F">
              <w:rPr>
                <w:rFonts w:ascii="Times New Roman" w:hAnsi="Times New Roman"/>
                <w:color w:val="000000"/>
              </w:rPr>
              <w:t>Departament Odnawialnych Źródeł Energii</w:t>
            </w:r>
            <w:r w:rsidR="004170B4">
              <w:rPr>
                <w:rFonts w:ascii="Times New Roman" w:hAnsi="Times New Roman"/>
                <w:color w:val="000000"/>
              </w:rPr>
              <w:br/>
            </w:r>
            <w:r w:rsidR="00CA7701" w:rsidRPr="00CA7701">
              <w:rPr>
                <w:rFonts w:ascii="Times New Roman" w:hAnsi="Times New Roman"/>
                <w:color w:val="000000"/>
              </w:rPr>
              <w:t xml:space="preserve">e-mail: </w:t>
            </w:r>
            <w:hyperlink r:id="rId8" w:history="1">
              <w:r w:rsidR="0011620E" w:rsidRPr="00B9174D">
                <w:rPr>
                  <w:rStyle w:val="Hipercze"/>
                  <w:rFonts w:ascii="Times New Roman" w:hAnsi="Times New Roman"/>
                </w:rPr>
                <w:t>marcin.szyndler@klimat.gov.pl</w:t>
              </w:r>
            </w:hyperlink>
            <w:r w:rsidR="00CA7701" w:rsidRPr="00CA770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3CE1DDB" w14:textId="64CC8231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>Data sporządzenia</w:t>
            </w:r>
            <w:r w:rsidRPr="00A87B3A">
              <w:rPr>
                <w:rFonts w:ascii="Times New Roman" w:hAnsi="Times New Roman"/>
                <w:b/>
              </w:rPr>
              <w:br/>
            </w:r>
            <w:r w:rsidR="00431372">
              <w:rPr>
                <w:rFonts w:ascii="Times New Roman" w:hAnsi="Times New Roman"/>
              </w:rPr>
              <w:t>2</w:t>
            </w:r>
            <w:r w:rsidR="00122033">
              <w:rPr>
                <w:rFonts w:ascii="Times New Roman" w:hAnsi="Times New Roman"/>
              </w:rPr>
              <w:t>4</w:t>
            </w:r>
            <w:r w:rsidR="00405A09">
              <w:rPr>
                <w:rFonts w:ascii="Times New Roman" w:hAnsi="Times New Roman"/>
              </w:rPr>
              <w:t>.0</w:t>
            </w:r>
            <w:r w:rsidR="00294D7B">
              <w:rPr>
                <w:rFonts w:ascii="Times New Roman" w:hAnsi="Times New Roman"/>
              </w:rPr>
              <w:t>7</w:t>
            </w:r>
            <w:r w:rsidR="00725FE3">
              <w:rPr>
                <w:rFonts w:ascii="Times New Roman" w:hAnsi="Times New Roman"/>
              </w:rPr>
              <w:t>.</w:t>
            </w:r>
            <w:r w:rsidR="00797F5C">
              <w:rPr>
                <w:rFonts w:ascii="Times New Roman" w:hAnsi="Times New Roman"/>
              </w:rPr>
              <w:t xml:space="preserve">2024 </w:t>
            </w:r>
            <w:r w:rsidR="00725FE3">
              <w:rPr>
                <w:rFonts w:ascii="Times New Roman" w:hAnsi="Times New Roman"/>
              </w:rPr>
              <w:t xml:space="preserve">r. </w:t>
            </w:r>
          </w:p>
          <w:p w14:paraId="655C0424" w14:textId="77777777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1617D204" w14:textId="0BF76A66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>Źródło:</w:t>
            </w:r>
            <w:bookmarkStart w:id="1" w:name="Lista1"/>
          </w:p>
          <w:bookmarkEnd w:id="1"/>
          <w:p w14:paraId="2AE09D60" w14:textId="6B9619DD" w:rsidR="00F76884" w:rsidRPr="00A87B3A" w:rsidRDefault="00725FE3" w:rsidP="009629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Upoważnienie ustawowe: art. 60 ustawy z dnia </w:t>
            </w:r>
            <w:r w:rsidRPr="00725FE3">
              <w:rPr>
                <w:rFonts w:ascii="Times New Roman" w:hAnsi="Times New Roman"/>
              </w:rPr>
              <w:t>20 lutego 2015 r. o odnawialnych źródłach energii</w:t>
            </w:r>
            <w:r>
              <w:rPr>
                <w:rFonts w:ascii="Times New Roman" w:hAnsi="Times New Roman"/>
              </w:rPr>
              <w:t xml:space="preserve"> (</w:t>
            </w:r>
            <w:r w:rsidRPr="00725FE3">
              <w:rPr>
                <w:rFonts w:ascii="Times New Roman" w:hAnsi="Times New Roman"/>
              </w:rPr>
              <w:t>Dz.</w:t>
            </w:r>
            <w:r w:rsidR="00405A09">
              <w:rPr>
                <w:rFonts w:ascii="Times New Roman" w:hAnsi="Times New Roman"/>
              </w:rPr>
              <w:t> </w:t>
            </w:r>
            <w:r w:rsidRPr="00725FE3">
              <w:rPr>
                <w:rFonts w:ascii="Times New Roman" w:hAnsi="Times New Roman"/>
              </w:rPr>
              <w:t xml:space="preserve">U. z </w:t>
            </w:r>
            <w:r w:rsidR="00405A09" w:rsidRPr="00725FE3">
              <w:rPr>
                <w:rFonts w:ascii="Times New Roman" w:hAnsi="Times New Roman"/>
              </w:rPr>
              <w:t>202</w:t>
            </w:r>
            <w:r w:rsidR="00405A09">
              <w:rPr>
                <w:rFonts w:ascii="Times New Roman" w:hAnsi="Times New Roman"/>
              </w:rPr>
              <w:t>3</w:t>
            </w:r>
            <w:r w:rsidR="00405A09" w:rsidRPr="00725FE3">
              <w:rPr>
                <w:rFonts w:ascii="Times New Roman" w:hAnsi="Times New Roman"/>
              </w:rPr>
              <w:t xml:space="preserve"> </w:t>
            </w:r>
            <w:r w:rsidRPr="00725FE3">
              <w:rPr>
                <w:rFonts w:ascii="Times New Roman" w:hAnsi="Times New Roman"/>
              </w:rPr>
              <w:t xml:space="preserve">r. poz. </w:t>
            </w:r>
            <w:r w:rsidR="00405A09">
              <w:rPr>
                <w:rFonts w:ascii="Times New Roman" w:hAnsi="Times New Roman"/>
              </w:rPr>
              <w:t>1436</w:t>
            </w:r>
            <w:r w:rsidR="00A17AB4">
              <w:rPr>
                <w:rFonts w:ascii="Times New Roman" w:hAnsi="Times New Roman"/>
              </w:rPr>
              <w:t>,</w:t>
            </w:r>
            <w:r w:rsidR="00405A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 </w:t>
            </w:r>
            <w:proofErr w:type="spellStart"/>
            <w:r>
              <w:rPr>
                <w:rFonts w:ascii="Times New Roman" w:hAnsi="Times New Roman"/>
              </w:rPr>
              <w:t>późn</w:t>
            </w:r>
            <w:proofErr w:type="spellEnd"/>
            <w:r>
              <w:rPr>
                <w:rFonts w:ascii="Times New Roman" w:hAnsi="Times New Roman"/>
              </w:rPr>
              <w:t>. zm.)</w:t>
            </w:r>
          </w:p>
          <w:p w14:paraId="06022F04" w14:textId="77777777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</w:rPr>
            </w:pPr>
          </w:p>
          <w:p w14:paraId="684A212F" w14:textId="2C6EECE3" w:rsidR="00DE12DE" w:rsidRDefault="006A701A" w:rsidP="009629CE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A87B3A">
              <w:rPr>
                <w:rFonts w:ascii="Times New Roman" w:hAnsi="Times New Roman"/>
                <w:b/>
                <w:color w:val="000000"/>
              </w:rPr>
              <w:t>w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A87B3A">
              <w:rPr>
                <w:rFonts w:ascii="Times New Roman" w:hAnsi="Times New Roman"/>
                <w:b/>
                <w:color w:val="000000"/>
              </w:rPr>
              <w:t>ie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F849EE">
              <w:rPr>
                <w:rFonts w:ascii="Times New Roman" w:hAnsi="Times New Roman"/>
                <w:b/>
                <w:color w:val="000000"/>
              </w:rPr>
              <w:t xml:space="preserve"> legislacyjnych Ministra Klimatu i Środowiska</w:t>
            </w:r>
            <w:r w:rsidR="00DE12DE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C470FB0" w14:textId="0BCAB1A3" w:rsidR="006A701A" w:rsidRPr="00A87B3A" w:rsidRDefault="00221969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1215</w:t>
            </w:r>
          </w:p>
          <w:p w14:paraId="5D31A2BC" w14:textId="77777777" w:rsidR="006A701A" w:rsidRPr="00A87B3A" w:rsidRDefault="006A701A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A87B3A" w14:paraId="7934185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101B2C5" w14:textId="77777777" w:rsidR="006A701A" w:rsidRPr="00E74A9F" w:rsidRDefault="006A701A" w:rsidP="009629CE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E74A9F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OCENA SKUTKÓW REGULACJI</w:t>
            </w:r>
          </w:p>
        </w:tc>
      </w:tr>
      <w:tr w:rsidR="006A701A" w:rsidRPr="00A87B3A" w14:paraId="2FF607D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E95B2B7" w14:textId="77777777" w:rsidR="006A701A" w:rsidRPr="00A87B3A" w:rsidRDefault="003D12F6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A87B3A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A87B3A" w14:paraId="0A804B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04AB80E" w14:textId="3D5597EC" w:rsidR="00405A09" w:rsidRPr="00E8708F" w:rsidRDefault="00495D03" w:rsidP="00E8708F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16956">
              <w:rPr>
                <w:rFonts w:ascii="Times New Roman" w:hAnsi="Times New Roman"/>
              </w:rPr>
              <w:t xml:space="preserve">System świadectw pochodzenia to jeden z trzech </w:t>
            </w:r>
            <w:r w:rsidR="00723811" w:rsidRPr="00C16956">
              <w:rPr>
                <w:rFonts w:ascii="Times New Roman" w:hAnsi="Times New Roman"/>
              </w:rPr>
              <w:t xml:space="preserve">podstawowych </w:t>
            </w:r>
            <w:r w:rsidRPr="00C16956">
              <w:rPr>
                <w:rFonts w:ascii="Times New Roman" w:hAnsi="Times New Roman"/>
              </w:rPr>
              <w:t>systemów wsparcia odnawialnych źródeł energii (</w:t>
            </w:r>
            <w:r w:rsidR="00F849EE">
              <w:rPr>
                <w:rFonts w:ascii="Times New Roman" w:hAnsi="Times New Roman"/>
              </w:rPr>
              <w:t xml:space="preserve">zwanych </w:t>
            </w:r>
            <w:r w:rsidRPr="00C16956">
              <w:rPr>
                <w:rFonts w:ascii="Times New Roman" w:hAnsi="Times New Roman"/>
              </w:rPr>
              <w:t>dalej „</w:t>
            </w:r>
            <w:proofErr w:type="spellStart"/>
            <w:r w:rsidRPr="00C16956">
              <w:rPr>
                <w:rFonts w:ascii="Times New Roman" w:hAnsi="Times New Roman"/>
              </w:rPr>
              <w:t>OZE</w:t>
            </w:r>
            <w:proofErr w:type="spellEnd"/>
            <w:r w:rsidRPr="00C16956">
              <w:rPr>
                <w:rFonts w:ascii="Times New Roman" w:hAnsi="Times New Roman"/>
              </w:rPr>
              <w:t>”)</w:t>
            </w:r>
            <w:r w:rsidR="007E0B30" w:rsidRPr="00C16956">
              <w:rPr>
                <w:rFonts w:ascii="Times New Roman" w:hAnsi="Times New Roman"/>
              </w:rPr>
              <w:t xml:space="preserve">, </w:t>
            </w:r>
            <w:r w:rsidRPr="00C16956">
              <w:rPr>
                <w:rFonts w:ascii="Times New Roman" w:hAnsi="Times New Roman"/>
              </w:rPr>
              <w:t>funkcjonujący obecnie w Polsce</w:t>
            </w:r>
            <w:r w:rsidR="00723811" w:rsidRPr="00C16956">
              <w:rPr>
                <w:rFonts w:ascii="Times New Roman" w:hAnsi="Times New Roman"/>
              </w:rPr>
              <w:t xml:space="preserve"> obok </w:t>
            </w:r>
            <w:r w:rsidR="007E0B30" w:rsidRPr="00C16956">
              <w:rPr>
                <w:rFonts w:ascii="Times New Roman" w:hAnsi="Times New Roman"/>
              </w:rPr>
              <w:t>system</w:t>
            </w:r>
            <w:r w:rsidR="00723811" w:rsidRPr="00C16956">
              <w:rPr>
                <w:rFonts w:ascii="Times New Roman" w:hAnsi="Times New Roman"/>
              </w:rPr>
              <w:t>u</w:t>
            </w:r>
            <w:r w:rsidR="007E0B30" w:rsidRPr="00C16956">
              <w:rPr>
                <w:rFonts w:ascii="Times New Roman" w:hAnsi="Times New Roman"/>
              </w:rPr>
              <w:t xml:space="preserve"> taryf gwarantowanych </w:t>
            </w:r>
            <w:r w:rsidR="00723811" w:rsidRPr="00C16956">
              <w:rPr>
                <w:rFonts w:ascii="Times New Roman" w:hAnsi="Times New Roman"/>
              </w:rPr>
              <w:t>i</w:t>
            </w:r>
            <w:r w:rsidR="007E0B30" w:rsidRPr="00C16956">
              <w:rPr>
                <w:rFonts w:ascii="Times New Roman" w:hAnsi="Times New Roman"/>
              </w:rPr>
              <w:t xml:space="preserve"> dopłat do cen rynkowych</w:t>
            </w:r>
            <w:r w:rsidR="00723811" w:rsidRPr="00C16956">
              <w:rPr>
                <w:rFonts w:ascii="Times New Roman" w:hAnsi="Times New Roman"/>
              </w:rPr>
              <w:t xml:space="preserve"> oraz systemu </w:t>
            </w:r>
            <w:r w:rsidR="00723811" w:rsidRPr="00E8708F">
              <w:rPr>
                <w:rFonts w:ascii="Times New Roman" w:hAnsi="Times New Roman"/>
                <w:spacing w:val="-2"/>
              </w:rPr>
              <w:t>aukcyjnego</w:t>
            </w:r>
            <w:r w:rsidRPr="00E8708F">
              <w:rPr>
                <w:rFonts w:ascii="Times New Roman" w:hAnsi="Times New Roman"/>
                <w:spacing w:val="-2"/>
              </w:rPr>
              <w:t xml:space="preserve">.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Podmioty uczestniczące w tym systemie </w:t>
            </w:r>
            <w:r w:rsidR="00060F88" w:rsidRPr="00E8708F">
              <w:rPr>
                <w:rFonts w:ascii="Times New Roman" w:hAnsi="Times New Roman"/>
                <w:spacing w:val="-2"/>
              </w:rPr>
              <w:t xml:space="preserve">otrzymują świadectwa pochodzenia za wytworzoną </w:t>
            </w:r>
            <w:r w:rsidRPr="00E8708F">
              <w:rPr>
                <w:rFonts w:ascii="Times New Roman" w:hAnsi="Times New Roman"/>
                <w:spacing w:val="-2"/>
              </w:rPr>
              <w:t>energi</w:t>
            </w:r>
            <w:r w:rsidR="00060F88" w:rsidRPr="00E8708F">
              <w:rPr>
                <w:rFonts w:ascii="Times New Roman" w:hAnsi="Times New Roman"/>
                <w:spacing w:val="-2"/>
              </w:rPr>
              <w:t>ę elektryczną</w:t>
            </w:r>
            <w:r w:rsidRPr="00E8708F">
              <w:rPr>
                <w:rFonts w:ascii="Times New Roman" w:hAnsi="Times New Roman"/>
                <w:spacing w:val="-2"/>
              </w:rPr>
              <w:t xml:space="preserve"> z </w:t>
            </w:r>
            <w:proofErr w:type="spellStart"/>
            <w:r w:rsidRPr="00E8708F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7E0B30" w:rsidRPr="00E8708F">
              <w:rPr>
                <w:rFonts w:ascii="Times New Roman" w:hAnsi="Times New Roman"/>
                <w:spacing w:val="-2"/>
              </w:rPr>
              <w:t xml:space="preserve">. Prawa majątkowe wynikające z </w:t>
            </w:r>
            <w:r w:rsidR="009D54B3" w:rsidRPr="00E8708F">
              <w:rPr>
                <w:rFonts w:ascii="Times New Roman" w:hAnsi="Times New Roman"/>
                <w:spacing w:val="-2"/>
              </w:rPr>
              <w:t>otrzymanych</w:t>
            </w:r>
            <w:r w:rsidR="007E0B30" w:rsidRPr="00E8708F">
              <w:rPr>
                <w:rFonts w:ascii="Times New Roman" w:hAnsi="Times New Roman"/>
                <w:spacing w:val="-2"/>
              </w:rPr>
              <w:t xml:space="preserve"> świadectw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 pochodzenia</w:t>
            </w:r>
            <w:r w:rsidR="007E0B30" w:rsidRPr="00E8708F">
              <w:rPr>
                <w:rFonts w:ascii="Times New Roman" w:hAnsi="Times New Roman"/>
                <w:spacing w:val="-2"/>
              </w:rPr>
              <w:t xml:space="preserve">, tzw. </w:t>
            </w:r>
            <w:r w:rsidR="00A13FE9" w:rsidRPr="00E8708F">
              <w:rPr>
                <w:rFonts w:ascii="Times New Roman" w:hAnsi="Times New Roman"/>
                <w:spacing w:val="-2"/>
              </w:rPr>
              <w:t>z</w:t>
            </w:r>
            <w:r w:rsidR="007E0B30" w:rsidRPr="00E8708F">
              <w:rPr>
                <w:rFonts w:ascii="Times New Roman" w:hAnsi="Times New Roman"/>
                <w:spacing w:val="-2"/>
              </w:rPr>
              <w:t xml:space="preserve">ielone lub błękitne certyfikaty, </w:t>
            </w:r>
            <w:r w:rsidRPr="00E8708F">
              <w:rPr>
                <w:rFonts w:ascii="Times New Roman" w:hAnsi="Times New Roman"/>
                <w:spacing w:val="-2"/>
              </w:rPr>
              <w:t>mogą zostać sprzedane za pośrednictwem Towarowej Giełdy Energii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 </w:t>
            </w:r>
            <w:r w:rsidR="00405A09" w:rsidRPr="00E8708F">
              <w:rPr>
                <w:rFonts w:ascii="Times New Roman" w:hAnsi="Times New Roman"/>
                <w:spacing w:val="-2"/>
              </w:rPr>
              <w:t xml:space="preserve">S.A.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i podlegają </w:t>
            </w:r>
            <w:r w:rsidR="005D23AD" w:rsidRPr="00E8708F">
              <w:rPr>
                <w:rFonts w:ascii="Times New Roman" w:hAnsi="Times New Roman"/>
                <w:spacing w:val="-2"/>
              </w:rPr>
              <w:t>tam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 dalszemu obrotowi</w:t>
            </w:r>
            <w:r w:rsidRPr="00E8708F">
              <w:rPr>
                <w:rFonts w:ascii="Times New Roman" w:hAnsi="Times New Roman"/>
                <w:spacing w:val="-2"/>
              </w:rPr>
              <w:t>.</w:t>
            </w:r>
          </w:p>
          <w:p w14:paraId="720E6271" w14:textId="2E8DF2EF" w:rsidR="00405A09" w:rsidRPr="00E8708F" w:rsidRDefault="00495D03" w:rsidP="00E8708F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8708F">
              <w:rPr>
                <w:rFonts w:ascii="Times New Roman" w:hAnsi="Times New Roman"/>
                <w:spacing w:val="-2"/>
              </w:rPr>
              <w:t xml:space="preserve">Minister Klimatu i Środowiska </w:t>
            </w:r>
            <w:r w:rsidR="007E0B30" w:rsidRPr="00E8708F">
              <w:rPr>
                <w:rFonts w:ascii="Times New Roman" w:hAnsi="Times New Roman"/>
                <w:spacing w:val="-2"/>
              </w:rPr>
              <w:t xml:space="preserve">jest upoważniony </w:t>
            </w:r>
            <w:r w:rsidR="00060F88" w:rsidRPr="00E8708F">
              <w:rPr>
                <w:rFonts w:ascii="Times New Roman" w:hAnsi="Times New Roman"/>
                <w:spacing w:val="-2"/>
              </w:rPr>
              <w:t xml:space="preserve">do </w:t>
            </w:r>
            <w:r w:rsidRPr="00E8708F">
              <w:rPr>
                <w:rFonts w:ascii="Times New Roman" w:hAnsi="Times New Roman"/>
                <w:spacing w:val="-2"/>
              </w:rPr>
              <w:t>ustanowieni</w:t>
            </w:r>
            <w:r w:rsidR="00757713">
              <w:rPr>
                <w:rFonts w:ascii="Times New Roman" w:hAnsi="Times New Roman"/>
                <w:spacing w:val="-2"/>
              </w:rPr>
              <w:t>a</w:t>
            </w:r>
            <w:r w:rsidRPr="00E8708F">
              <w:rPr>
                <w:rFonts w:ascii="Times New Roman" w:hAnsi="Times New Roman"/>
                <w:spacing w:val="-2"/>
              </w:rPr>
              <w:t xml:space="preserve"> wielkości</w:t>
            </w:r>
            <w:r w:rsidR="007E0B30" w:rsidRPr="00E8708F">
              <w:rPr>
                <w:rFonts w:ascii="Times New Roman" w:hAnsi="Times New Roman"/>
                <w:spacing w:val="-2"/>
              </w:rPr>
              <w:t xml:space="preserve">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obowiązku, o którym mowa w art. 52 ust. 1 ustawy </w:t>
            </w:r>
            <w:r w:rsidR="003907DB" w:rsidRPr="00E8708F">
              <w:rPr>
                <w:rFonts w:ascii="Times New Roman" w:hAnsi="Times New Roman"/>
                <w:spacing w:val="-2"/>
              </w:rPr>
              <w:t xml:space="preserve">z dnia 20 lutego 2015 r. o odnawialnych źródłach energii, </w:t>
            </w:r>
            <w:r w:rsidR="00F849EE">
              <w:rPr>
                <w:rFonts w:ascii="Times New Roman" w:hAnsi="Times New Roman"/>
                <w:spacing w:val="-2"/>
              </w:rPr>
              <w:t xml:space="preserve">zwanej </w:t>
            </w:r>
            <w:r w:rsidR="003907DB" w:rsidRPr="00E8708F">
              <w:rPr>
                <w:rFonts w:ascii="Times New Roman" w:hAnsi="Times New Roman"/>
                <w:spacing w:val="-2"/>
              </w:rPr>
              <w:t xml:space="preserve">dalej </w:t>
            </w:r>
            <w:r w:rsidR="006729C5" w:rsidRPr="00E8708F">
              <w:rPr>
                <w:rFonts w:ascii="Times New Roman" w:hAnsi="Times New Roman"/>
                <w:spacing w:val="-2"/>
              </w:rPr>
              <w:t>„</w:t>
            </w:r>
            <w:r w:rsidR="003907DB" w:rsidRPr="00E8708F">
              <w:rPr>
                <w:rFonts w:ascii="Times New Roman" w:hAnsi="Times New Roman"/>
                <w:spacing w:val="-2"/>
              </w:rPr>
              <w:t>ustaw</w:t>
            </w:r>
            <w:r w:rsidR="00F849EE">
              <w:rPr>
                <w:rFonts w:ascii="Times New Roman" w:hAnsi="Times New Roman"/>
                <w:spacing w:val="-2"/>
              </w:rPr>
              <w:t>ą</w:t>
            </w:r>
            <w:r w:rsidR="003907DB" w:rsidRPr="00E8708F">
              <w:rPr>
                <w:rFonts w:ascii="Times New Roman" w:hAnsi="Times New Roman"/>
                <w:spacing w:val="-2"/>
              </w:rPr>
              <w:t xml:space="preserve"> o </w:t>
            </w:r>
            <w:proofErr w:type="spellStart"/>
            <w:r w:rsidR="003907DB" w:rsidRPr="00E8708F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6729C5" w:rsidRPr="00E8708F">
              <w:rPr>
                <w:rFonts w:ascii="Times New Roman" w:hAnsi="Times New Roman"/>
                <w:spacing w:val="-2"/>
              </w:rPr>
              <w:t>”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, czyli wolumenu energii </w:t>
            </w:r>
            <w:r w:rsidR="00405A09" w:rsidRPr="00E8708F">
              <w:rPr>
                <w:rFonts w:ascii="Times New Roman" w:hAnsi="Times New Roman"/>
                <w:spacing w:val="-2"/>
              </w:rPr>
              <w:t xml:space="preserve">elektrycznej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wynikającej ze świadectw pochodzenia, które przedsiębiorstwo energetyczne sprzedające energię </w:t>
            </w:r>
            <w:r w:rsidR="00405A09" w:rsidRPr="00E8708F">
              <w:rPr>
                <w:rFonts w:ascii="Times New Roman" w:hAnsi="Times New Roman"/>
                <w:spacing w:val="-2"/>
              </w:rPr>
              <w:t xml:space="preserve">elektryczną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odbiorcom końcowym zobligowane jest pozyskać i przedstawić </w:t>
            </w:r>
            <w:r w:rsidR="00060F88" w:rsidRPr="00E8708F">
              <w:rPr>
                <w:rFonts w:ascii="Times New Roman" w:hAnsi="Times New Roman"/>
                <w:spacing w:val="-2"/>
              </w:rPr>
              <w:t xml:space="preserve">do umorzenia </w:t>
            </w:r>
            <w:r w:rsidR="009D54B3" w:rsidRPr="00E8708F">
              <w:rPr>
                <w:rFonts w:ascii="Times New Roman" w:hAnsi="Times New Roman"/>
                <w:spacing w:val="-2"/>
              </w:rPr>
              <w:t>Prezesowi U</w:t>
            </w:r>
            <w:r w:rsidR="005D23AD" w:rsidRPr="00E8708F">
              <w:rPr>
                <w:rFonts w:ascii="Times New Roman" w:hAnsi="Times New Roman"/>
                <w:spacing w:val="-2"/>
              </w:rPr>
              <w:t xml:space="preserve">rzędu </w:t>
            </w:r>
            <w:r w:rsidR="009D54B3" w:rsidRPr="00E8708F">
              <w:rPr>
                <w:rFonts w:ascii="Times New Roman" w:hAnsi="Times New Roman"/>
                <w:spacing w:val="-2"/>
              </w:rPr>
              <w:t>R</w:t>
            </w:r>
            <w:r w:rsidR="005D23AD" w:rsidRPr="00E8708F">
              <w:rPr>
                <w:rFonts w:ascii="Times New Roman" w:hAnsi="Times New Roman"/>
                <w:spacing w:val="-2"/>
              </w:rPr>
              <w:t>egulacji Energetyki (</w:t>
            </w:r>
            <w:r w:rsidR="00F849EE">
              <w:rPr>
                <w:rFonts w:ascii="Times New Roman" w:hAnsi="Times New Roman"/>
                <w:spacing w:val="-2"/>
              </w:rPr>
              <w:t xml:space="preserve">zwanemu </w:t>
            </w:r>
            <w:r w:rsidR="005D23AD" w:rsidRPr="00E8708F">
              <w:rPr>
                <w:rFonts w:ascii="Times New Roman" w:hAnsi="Times New Roman"/>
                <w:spacing w:val="-2"/>
              </w:rPr>
              <w:t>dalej „Prezes</w:t>
            </w:r>
            <w:r w:rsidR="00F849EE">
              <w:rPr>
                <w:rFonts w:ascii="Times New Roman" w:hAnsi="Times New Roman"/>
                <w:spacing w:val="-2"/>
              </w:rPr>
              <w:t>em</w:t>
            </w:r>
            <w:r w:rsidR="005D23AD" w:rsidRPr="00E8708F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5D23AD" w:rsidRPr="00E8708F">
              <w:rPr>
                <w:rFonts w:ascii="Times New Roman" w:hAnsi="Times New Roman"/>
                <w:spacing w:val="-2"/>
              </w:rPr>
              <w:t>URE</w:t>
            </w:r>
            <w:proofErr w:type="spellEnd"/>
            <w:r w:rsidR="005D23AD" w:rsidRPr="00E8708F">
              <w:rPr>
                <w:rFonts w:ascii="Times New Roman" w:hAnsi="Times New Roman"/>
                <w:spacing w:val="-2"/>
              </w:rPr>
              <w:t>”)</w:t>
            </w:r>
            <w:r w:rsidR="009D54B3" w:rsidRPr="00E8708F">
              <w:rPr>
                <w:rFonts w:ascii="Times New Roman" w:hAnsi="Times New Roman"/>
                <w:spacing w:val="-2"/>
              </w:rPr>
              <w:t>.</w:t>
            </w:r>
            <w:r w:rsidR="00405A09" w:rsidRPr="00E8708F">
              <w:rPr>
                <w:rFonts w:ascii="Times New Roman" w:hAnsi="Times New Roman"/>
                <w:spacing w:val="-2"/>
              </w:rPr>
              <w:t xml:space="preserve"> </w:t>
            </w:r>
            <w:r w:rsidR="009D54B3" w:rsidRPr="00E8708F">
              <w:rPr>
                <w:rFonts w:ascii="Times New Roman" w:hAnsi="Times New Roman"/>
                <w:spacing w:val="-2"/>
              </w:rPr>
              <w:t>Obowiązek ten wyrażany jest w udzi</w:t>
            </w:r>
            <w:r w:rsidR="00A13FE9" w:rsidRPr="00E8708F">
              <w:rPr>
                <w:rFonts w:ascii="Times New Roman" w:hAnsi="Times New Roman"/>
                <w:spacing w:val="-2"/>
              </w:rPr>
              <w:t>a</w:t>
            </w:r>
            <w:r w:rsidR="009D54B3" w:rsidRPr="00E8708F">
              <w:rPr>
                <w:rFonts w:ascii="Times New Roman" w:hAnsi="Times New Roman"/>
                <w:spacing w:val="-2"/>
              </w:rPr>
              <w:t>l</w:t>
            </w:r>
            <w:r w:rsidR="00A13FE9" w:rsidRPr="00E8708F">
              <w:rPr>
                <w:rFonts w:ascii="Times New Roman" w:hAnsi="Times New Roman"/>
                <w:spacing w:val="-2"/>
              </w:rPr>
              <w:t>e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 procentowym wolumenu wynikającego</w:t>
            </w:r>
            <w:r w:rsidR="005D23AD" w:rsidRPr="00E8708F">
              <w:rPr>
                <w:rFonts w:ascii="Times New Roman" w:hAnsi="Times New Roman"/>
                <w:spacing w:val="-2"/>
              </w:rPr>
              <w:t xml:space="preserve">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z umorzonych świadectw w </w:t>
            </w:r>
            <w:r w:rsidR="00A368C3" w:rsidRPr="00E8708F">
              <w:rPr>
                <w:rFonts w:ascii="Times New Roman" w:hAnsi="Times New Roman"/>
                <w:spacing w:val="-2"/>
              </w:rPr>
              <w:t xml:space="preserve">całkowitej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sprzedaży energii </w:t>
            </w:r>
            <w:r w:rsidR="00A368C3" w:rsidRPr="00E8708F">
              <w:rPr>
                <w:rFonts w:ascii="Times New Roman" w:hAnsi="Times New Roman"/>
                <w:spacing w:val="-2"/>
              </w:rPr>
              <w:t xml:space="preserve">tego przedsiębiorstwa </w:t>
            </w:r>
            <w:r w:rsidR="009D54B3" w:rsidRPr="00E8708F">
              <w:rPr>
                <w:rFonts w:ascii="Times New Roman" w:hAnsi="Times New Roman"/>
                <w:spacing w:val="-2"/>
              </w:rPr>
              <w:t>do odbiorców końcowych</w:t>
            </w:r>
            <w:r w:rsidR="00A368C3" w:rsidRPr="00E8708F">
              <w:rPr>
                <w:rFonts w:ascii="Times New Roman" w:hAnsi="Times New Roman"/>
                <w:spacing w:val="-2"/>
              </w:rPr>
              <w:t>, przy uwzględnieniu wyjątków określonych w ustawie</w:t>
            </w:r>
            <w:r w:rsidR="00060F88" w:rsidRPr="00E8708F">
              <w:rPr>
                <w:rFonts w:ascii="Times New Roman" w:hAnsi="Times New Roman"/>
                <w:spacing w:val="-2"/>
              </w:rPr>
              <w:t xml:space="preserve"> o </w:t>
            </w:r>
            <w:proofErr w:type="spellStart"/>
            <w:r w:rsidR="00060F88" w:rsidRPr="00E8708F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9D54B3" w:rsidRPr="00E8708F">
              <w:rPr>
                <w:rFonts w:ascii="Times New Roman" w:hAnsi="Times New Roman"/>
                <w:spacing w:val="-2"/>
              </w:rPr>
              <w:t>.</w:t>
            </w:r>
            <w:r w:rsidRPr="00E8708F">
              <w:rPr>
                <w:rFonts w:ascii="Times New Roman" w:hAnsi="Times New Roman"/>
                <w:spacing w:val="-2"/>
              </w:rPr>
              <w:t xml:space="preserve"> </w:t>
            </w:r>
          </w:p>
          <w:p w14:paraId="5827D0C0" w14:textId="34A67CCC" w:rsidR="007E0B30" w:rsidRPr="00A368C3" w:rsidRDefault="00495D03" w:rsidP="00E8708F">
            <w:pPr>
              <w:spacing w:after="120" w:line="240" w:lineRule="auto"/>
              <w:jc w:val="both"/>
              <w:rPr>
                <w:rFonts w:ascii="Times New Roman" w:hAnsi="Times New Roman"/>
                <w:color w:val="0070C0"/>
              </w:rPr>
            </w:pPr>
            <w:r w:rsidRPr="00E8708F">
              <w:rPr>
                <w:rFonts w:ascii="Times New Roman" w:hAnsi="Times New Roman"/>
                <w:spacing w:val="-2"/>
              </w:rPr>
              <w:t xml:space="preserve">Ustanowienie odpowiedniej wysokości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ww. </w:t>
            </w:r>
            <w:r w:rsidRPr="00E8708F">
              <w:rPr>
                <w:rFonts w:ascii="Times New Roman" w:hAnsi="Times New Roman"/>
                <w:spacing w:val="-2"/>
              </w:rPr>
              <w:t xml:space="preserve">obowiązku </w:t>
            </w:r>
            <w:r w:rsidR="009D54B3" w:rsidRPr="00E8708F">
              <w:rPr>
                <w:rFonts w:ascii="Times New Roman" w:hAnsi="Times New Roman"/>
                <w:spacing w:val="-2"/>
              </w:rPr>
              <w:t xml:space="preserve">powinno z jednej strony </w:t>
            </w:r>
            <w:r w:rsidRPr="00E8708F">
              <w:rPr>
                <w:rFonts w:ascii="Times New Roman" w:hAnsi="Times New Roman"/>
                <w:spacing w:val="-2"/>
              </w:rPr>
              <w:t xml:space="preserve">przyczynić się do </w:t>
            </w:r>
            <w:r w:rsidR="00A368C3" w:rsidRPr="00E8708F">
              <w:rPr>
                <w:rFonts w:ascii="Times New Roman" w:hAnsi="Times New Roman"/>
                <w:spacing w:val="-2"/>
              </w:rPr>
              <w:t>minimalizacji</w:t>
            </w:r>
            <w:r w:rsidRPr="00E8708F">
              <w:rPr>
                <w:rFonts w:ascii="Times New Roman" w:hAnsi="Times New Roman"/>
                <w:spacing w:val="-2"/>
              </w:rPr>
              <w:t xml:space="preserve"> obciążenia odbiorców</w:t>
            </w:r>
            <w:r w:rsidRPr="00C16956">
              <w:rPr>
                <w:rFonts w:ascii="Times New Roman" w:hAnsi="Times New Roman"/>
              </w:rPr>
              <w:t xml:space="preserve"> końcowych kosztami wynikającymi z funkcjonowania systemu świadectw pochodzenia, </w:t>
            </w:r>
            <w:r w:rsidR="00A368C3" w:rsidRPr="00C16956">
              <w:rPr>
                <w:rFonts w:ascii="Times New Roman" w:hAnsi="Times New Roman"/>
              </w:rPr>
              <w:t>a z drugiej strony</w:t>
            </w:r>
            <w:r w:rsidRPr="00C16956">
              <w:rPr>
                <w:rFonts w:ascii="Times New Roman" w:hAnsi="Times New Roman"/>
              </w:rPr>
              <w:t xml:space="preserve"> </w:t>
            </w:r>
            <w:r w:rsidR="00A368C3" w:rsidRPr="00C16956">
              <w:rPr>
                <w:rFonts w:ascii="Times New Roman" w:hAnsi="Times New Roman"/>
              </w:rPr>
              <w:t>zapewnić</w:t>
            </w:r>
            <w:r w:rsidRPr="00C16956">
              <w:rPr>
                <w:rFonts w:ascii="Times New Roman" w:hAnsi="Times New Roman"/>
              </w:rPr>
              <w:t xml:space="preserve"> rentowność </w:t>
            </w:r>
            <w:r w:rsidR="00060F88">
              <w:rPr>
                <w:rFonts w:ascii="Times New Roman" w:hAnsi="Times New Roman"/>
              </w:rPr>
              <w:t>projektów</w:t>
            </w:r>
            <w:r w:rsidRPr="00C16956">
              <w:rPr>
                <w:rFonts w:ascii="Times New Roman" w:hAnsi="Times New Roman"/>
              </w:rPr>
              <w:t xml:space="preserve"> partycypujących w</w:t>
            </w:r>
            <w:r w:rsidR="00A13FE9">
              <w:rPr>
                <w:rFonts w:ascii="Times New Roman" w:hAnsi="Times New Roman"/>
              </w:rPr>
              <w:t xml:space="preserve"> tym</w:t>
            </w:r>
            <w:r w:rsidRPr="00C16956">
              <w:rPr>
                <w:rFonts w:ascii="Times New Roman" w:hAnsi="Times New Roman"/>
              </w:rPr>
              <w:t xml:space="preserve"> </w:t>
            </w:r>
            <w:r w:rsidR="007C74B8" w:rsidRPr="00C16956">
              <w:rPr>
                <w:rFonts w:ascii="Times New Roman" w:hAnsi="Times New Roman"/>
              </w:rPr>
              <w:t>systemie wsparcia</w:t>
            </w:r>
            <w:r w:rsidRPr="00C16956">
              <w:rPr>
                <w:rFonts w:ascii="Times New Roman" w:hAnsi="Times New Roman"/>
              </w:rPr>
              <w:t xml:space="preserve"> </w:t>
            </w:r>
            <w:r w:rsidR="00A368C3" w:rsidRPr="00C16956">
              <w:rPr>
                <w:rFonts w:ascii="Times New Roman" w:hAnsi="Times New Roman"/>
              </w:rPr>
              <w:t xml:space="preserve">poprzez </w:t>
            </w:r>
            <w:r w:rsidR="00060F88">
              <w:rPr>
                <w:rFonts w:ascii="Times New Roman" w:hAnsi="Times New Roman"/>
              </w:rPr>
              <w:t xml:space="preserve">zapewnienie </w:t>
            </w:r>
            <w:r w:rsidR="00060F88" w:rsidRPr="00C16956">
              <w:rPr>
                <w:rFonts w:ascii="Times New Roman" w:hAnsi="Times New Roman"/>
              </w:rPr>
              <w:t>cen</w:t>
            </w:r>
            <w:r w:rsidR="00060F88">
              <w:rPr>
                <w:rFonts w:ascii="Times New Roman" w:hAnsi="Times New Roman"/>
              </w:rPr>
              <w:t>y</w:t>
            </w:r>
            <w:r w:rsidR="00060F88" w:rsidRPr="00C16956">
              <w:rPr>
                <w:rFonts w:ascii="Times New Roman" w:hAnsi="Times New Roman"/>
              </w:rPr>
              <w:t xml:space="preserve"> </w:t>
            </w:r>
            <w:r w:rsidR="00A368C3" w:rsidRPr="00C16956">
              <w:rPr>
                <w:rFonts w:ascii="Times New Roman" w:hAnsi="Times New Roman"/>
              </w:rPr>
              <w:t>praw majątkowych wynikających ze świadectw pochodzenia</w:t>
            </w:r>
            <w:r w:rsidR="00060F88">
              <w:rPr>
                <w:rFonts w:ascii="Times New Roman" w:hAnsi="Times New Roman"/>
              </w:rPr>
              <w:t xml:space="preserve"> na odpowiednim poziomie</w:t>
            </w:r>
            <w:r w:rsidRPr="00C16956">
              <w:rPr>
                <w:rFonts w:ascii="Times New Roman" w:hAnsi="Times New Roman"/>
              </w:rPr>
              <w:t>.</w:t>
            </w:r>
          </w:p>
        </w:tc>
      </w:tr>
      <w:tr w:rsidR="006A701A" w:rsidRPr="00A87B3A" w14:paraId="6E8429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6EFF483" w14:textId="77777777" w:rsidR="006A701A" w:rsidRPr="00A87B3A" w:rsidRDefault="0013216E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A87B3A" w14:paraId="1C6658FE" w14:textId="77777777" w:rsidTr="00934308">
        <w:tblPrEx>
          <w:tblCellMar>
            <w:left w:w="70" w:type="dxa"/>
            <w:right w:w="70" w:type="dxa"/>
          </w:tblCellMar>
        </w:tblPrEx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3E50F3E" w14:textId="699A942F" w:rsidR="004E2019" w:rsidRDefault="005F5169" w:rsidP="005D23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</w:t>
            </w:r>
            <w:r w:rsidR="00FB287D">
              <w:rPr>
                <w:rFonts w:ascii="Times New Roman" w:hAnsi="Times New Roman"/>
                <w:spacing w:val="-2"/>
              </w:rPr>
              <w:t xml:space="preserve"> latach poprzednich </w:t>
            </w:r>
            <w:r w:rsidR="00931F21" w:rsidRPr="00C16956">
              <w:rPr>
                <w:rFonts w:ascii="Times New Roman" w:hAnsi="Times New Roman"/>
                <w:spacing w:val="-2"/>
              </w:rPr>
              <w:t xml:space="preserve">obowiązek uzyskania i umorzenia świadectw pochodzenia dla </w:t>
            </w:r>
            <w:r w:rsidR="00405A09">
              <w:rPr>
                <w:rFonts w:ascii="Times New Roman" w:hAnsi="Times New Roman"/>
                <w:spacing w:val="-2"/>
              </w:rPr>
              <w:t>świadectw pochodzenia, o których mowa w art. 59 pkt 1</w:t>
            </w:r>
            <w:r w:rsidR="00263143">
              <w:rPr>
                <w:rFonts w:ascii="Times New Roman" w:hAnsi="Times New Roman"/>
                <w:spacing w:val="-2"/>
              </w:rPr>
              <w:t xml:space="preserve"> ustawy o </w:t>
            </w:r>
            <w:proofErr w:type="spellStart"/>
            <w:r w:rsidR="00263143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405A09">
              <w:rPr>
                <w:rFonts w:ascii="Times New Roman" w:hAnsi="Times New Roman"/>
                <w:spacing w:val="-2"/>
              </w:rPr>
              <w:t xml:space="preserve">, tzw. </w:t>
            </w:r>
            <w:r w:rsidR="00931F21" w:rsidRPr="00C16956">
              <w:rPr>
                <w:rFonts w:ascii="Times New Roman" w:hAnsi="Times New Roman"/>
                <w:spacing w:val="-2"/>
              </w:rPr>
              <w:t xml:space="preserve">zielonych certyfikatów </w:t>
            </w:r>
            <w:r w:rsidR="004B7CAF">
              <w:rPr>
                <w:rFonts w:ascii="Times New Roman" w:hAnsi="Times New Roman"/>
                <w:spacing w:val="-2"/>
              </w:rPr>
              <w:t>był określony tylko w ujęciu rocznym</w:t>
            </w:r>
            <w:r>
              <w:rPr>
                <w:rFonts w:ascii="Times New Roman" w:hAnsi="Times New Roman"/>
                <w:spacing w:val="-2"/>
              </w:rPr>
              <w:t xml:space="preserve"> i w</w:t>
            </w:r>
            <w:r w:rsidRPr="00C16956">
              <w:rPr>
                <w:rFonts w:ascii="Times New Roman" w:hAnsi="Times New Roman"/>
                <w:spacing w:val="-2"/>
              </w:rPr>
              <w:t xml:space="preserve"> 202</w:t>
            </w:r>
            <w:r>
              <w:rPr>
                <w:rFonts w:ascii="Times New Roman" w:hAnsi="Times New Roman"/>
                <w:spacing w:val="-2"/>
              </w:rPr>
              <w:t>4</w:t>
            </w:r>
            <w:r w:rsidRPr="00C16956">
              <w:rPr>
                <w:rFonts w:ascii="Times New Roman" w:hAnsi="Times New Roman"/>
                <w:spacing w:val="-2"/>
              </w:rPr>
              <w:t xml:space="preserve"> r.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42BE0">
              <w:rPr>
                <w:rFonts w:ascii="Times New Roman" w:hAnsi="Times New Roman"/>
                <w:spacing w:val="-2"/>
              </w:rPr>
              <w:t xml:space="preserve">wyniósł </w:t>
            </w:r>
            <w:r>
              <w:rPr>
                <w:rFonts w:ascii="Times New Roman" w:hAnsi="Times New Roman"/>
                <w:spacing w:val="-2"/>
              </w:rPr>
              <w:t>5</w:t>
            </w:r>
            <w:r w:rsidR="00405A09">
              <w:rPr>
                <w:rFonts w:ascii="Times New Roman" w:hAnsi="Times New Roman"/>
                <w:spacing w:val="-2"/>
              </w:rPr>
              <w:t>%, a dla świadectw pochodzenia, o których mowa w art. 59 pkt 2</w:t>
            </w:r>
            <w:r w:rsidR="00263143">
              <w:rPr>
                <w:rFonts w:ascii="Times New Roman" w:hAnsi="Times New Roman"/>
                <w:spacing w:val="-2"/>
              </w:rPr>
              <w:t xml:space="preserve"> tej ustawy</w:t>
            </w:r>
            <w:r w:rsidR="00405A09">
              <w:rPr>
                <w:rFonts w:ascii="Times New Roman" w:hAnsi="Times New Roman"/>
                <w:spacing w:val="-2"/>
              </w:rPr>
              <w:t xml:space="preserve">, tzw. błękitnych certyfikatów </w:t>
            </w:r>
            <w:r w:rsidR="00D42BE0">
              <w:rPr>
                <w:rFonts w:ascii="Times New Roman" w:hAnsi="Times New Roman"/>
                <w:spacing w:val="-2"/>
              </w:rPr>
              <w:t>wyniósł</w:t>
            </w:r>
            <w:r w:rsidR="00405A09">
              <w:rPr>
                <w:rFonts w:ascii="Times New Roman" w:hAnsi="Times New Roman"/>
                <w:spacing w:val="-2"/>
              </w:rPr>
              <w:t xml:space="preserve"> 0,5%.</w:t>
            </w:r>
            <w:r w:rsidR="00931F21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431372" w:rsidRPr="00C16956">
              <w:rPr>
                <w:rFonts w:ascii="Times New Roman" w:hAnsi="Times New Roman"/>
                <w:spacing w:val="-2"/>
              </w:rPr>
              <w:t>Projektodawca proponuje</w:t>
            </w:r>
            <w:r w:rsidR="00431372">
              <w:rPr>
                <w:rFonts w:ascii="Times New Roman" w:hAnsi="Times New Roman"/>
                <w:spacing w:val="-2"/>
              </w:rPr>
              <w:t>,</w:t>
            </w:r>
            <w:r w:rsidR="00431372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431372">
              <w:rPr>
                <w:rFonts w:ascii="Times New Roman" w:hAnsi="Times New Roman"/>
                <w:spacing w:val="-2"/>
              </w:rPr>
              <w:t xml:space="preserve">aby procedowany projekt rozporządzenia określał poziom obowiązku dla lat </w:t>
            </w:r>
            <w:r w:rsidR="00431372" w:rsidRPr="00C16956">
              <w:rPr>
                <w:rFonts w:ascii="Times New Roman" w:hAnsi="Times New Roman"/>
                <w:spacing w:val="-2"/>
              </w:rPr>
              <w:t>202</w:t>
            </w:r>
            <w:r w:rsidR="00431372">
              <w:rPr>
                <w:rFonts w:ascii="Times New Roman" w:hAnsi="Times New Roman"/>
                <w:spacing w:val="-2"/>
              </w:rPr>
              <w:t>5–</w:t>
            </w:r>
            <w:r w:rsidR="00431372" w:rsidRPr="00C16956">
              <w:rPr>
                <w:rFonts w:ascii="Times New Roman" w:hAnsi="Times New Roman"/>
                <w:spacing w:val="-2"/>
              </w:rPr>
              <w:t>202</w:t>
            </w:r>
            <w:r w:rsidR="00431372">
              <w:rPr>
                <w:rFonts w:ascii="Times New Roman" w:hAnsi="Times New Roman"/>
                <w:spacing w:val="-2"/>
              </w:rPr>
              <w:t xml:space="preserve">7, co ma na celu zbudowanie dłuższej niż jednoroczna perspektywa regulacji i tym samym </w:t>
            </w:r>
            <w:r w:rsidR="00431372" w:rsidRPr="0043150B">
              <w:rPr>
                <w:rFonts w:ascii="Times New Roman" w:hAnsi="Times New Roman"/>
                <w:spacing w:val="-2"/>
              </w:rPr>
              <w:t>zwiększ</w:t>
            </w:r>
            <w:r w:rsidR="00431372">
              <w:rPr>
                <w:rFonts w:ascii="Times New Roman" w:hAnsi="Times New Roman"/>
                <w:spacing w:val="-2"/>
              </w:rPr>
              <w:t>enie</w:t>
            </w:r>
            <w:r w:rsidR="00431372" w:rsidRPr="0043150B">
              <w:rPr>
                <w:rFonts w:ascii="Times New Roman" w:hAnsi="Times New Roman"/>
                <w:spacing w:val="-2"/>
              </w:rPr>
              <w:t xml:space="preserve"> poziom</w:t>
            </w:r>
            <w:r w:rsidR="00431372">
              <w:rPr>
                <w:rFonts w:ascii="Times New Roman" w:hAnsi="Times New Roman"/>
                <w:spacing w:val="-2"/>
              </w:rPr>
              <w:t>u</w:t>
            </w:r>
            <w:r w:rsidR="00431372" w:rsidRPr="0043150B">
              <w:rPr>
                <w:rFonts w:ascii="Times New Roman" w:hAnsi="Times New Roman"/>
                <w:spacing w:val="-2"/>
              </w:rPr>
              <w:t xml:space="preserve"> bezpieczeństwa prawnego uczestników rynku zielonych certyfikatów</w:t>
            </w:r>
            <w:r w:rsidR="006A3B9B">
              <w:rPr>
                <w:rFonts w:ascii="Times New Roman" w:hAnsi="Times New Roman"/>
                <w:spacing w:val="-2"/>
              </w:rPr>
              <w:t>.</w:t>
            </w:r>
          </w:p>
          <w:p w14:paraId="257D0434" w14:textId="17C64221" w:rsidR="004E2019" w:rsidRDefault="00060F88" w:rsidP="005D23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Zakłada się ustalenie obowiązku </w:t>
            </w:r>
            <w:r w:rsidR="00405A09">
              <w:rPr>
                <w:rFonts w:ascii="Times New Roman" w:hAnsi="Times New Roman"/>
                <w:spacing w:val="-2"/>
              </w:rPr>
              <w:t xml:space="preserve">dla zielonych certyfikatów </w:t>
            </w:r>
            <w:r>
              <w:rPr>
                <w:rFonts w:ascii="Times New Roman" w:hAnsi="Times New Roman"/>
                <w:spacing w:val="-2"/>
              </w:rPr>
              <w:t>na poziomie</w:t>
            </w:r>
            <w:r w:rsidR="004E2019">
              <w:rPr>
                <w:rFonts w:ascii="Times New Roman" w:hAnsi="Times New Roman"/>
                <w:spacing w:val="-2"/>
              </w:rPr>
              <w:t xml:space="preserve">: </w:t>
            </w:r>
            <w:r w:rsidR="0011620E" w:rsidRPr="00C16956">
              <w:rPr>
                <w:rFonts w:ascii="Times New Roman" w:hAnsi="Times New Roman"/>
                <w:spacing w:val="-2"/>
              </w:rPr>
              <w:t>1</w:t>
            </w:r>
            <w:r w:rsidR="0036051F">
              <w:rPr>
                <w:rFonts w:ascii="Times New Roman" w:hAnsi="Times New Roman"/>
                <w:spacing w:val="-2"/>
              </w:rPr>
              <w:t>2</w:t>
            </w:r>
            <w:r w:rsidR="00103AAB">
              <w:rPr>
                <w:rFonts w:ascii="Times New Roman" w:hAnsi="Times New Roman"/>
                <w:spacing w:val="-2"/>
              </w:rPr>
              <w:t>,5</w:t>
            </w:r>
            <w:r w:rsidR="00495D03" w:rsidRPr="00C16956">
              <w:rPr>
                <w:rFonts w:ascii="Times New Roman" w:hAnsi="Times New Roman"/>
                <w:spacing w:val="-2"/>
              </w:rPr>
              <w:t>%</w:t>
            </w:r>
            <w:r w:rsidR="0011620E" w:rsidRPr="00C16956">
              <w:rPr>
                <w:rFonts w:ascii="Times New Roman" w:hAnsi="Times New Roman"/>
                <w:spacing w:val="-2"/>
              </w:rPr>
              <w:t xml:space="preserve"> w 202</w:t>
            </w:r>
            <w:r w:rsidR="00103AAB">
              <w:rPr>
                <w:rFonts w:ascii="Times New Roman" w:hAnsi="Times New Roman"/>
                <w:spacing w:val="-2"/>
              </w:rPr>
              <w:t>5</w:t>
            </w:r>
            <w:r w:rsidR="00931F21" w:rsidRPr="00C16956">
              <w:rPr>
                <w:rFonts w:ascii="Times New Roman" w:hAnsi="Times New Roman"/>
                <w:spacing w:val="-2"/>
              </w:rPr>
              <w:t xml:space="preserve"> r.</w:t>
            </w:r>
            <w:r w:rsidR="0011620E" w:rsidRPr="00C16956">
              <w:rPr>
                <w:rFonts w:ascii="Times New Roman" w:hAnsi="Times New Roman"/>
                <w:spacing w:val="-2"/>
              </w:rPr>
              <w:t xml:space="preserve">, </w:t>
            </w:r>
            <w:r w:rsidR="00405EB3" w:rsidRPr="00C16956">
              <w:rPr>
                <w:rFonts w:ascii="Times New Roman" w:hAnsi="Times New Roman"/>
                <w:spacing w:val="-2"/>
              </w:rPr>
              <w:t>1</w:t>
            </w:r>
            <w:r w:rsidR="0036051F">
              <w:rPr>
                <w:rFonts w:ascii="Times New Roman" w:hAnsi="Times New Roman"/>
                <w:spacing w:val="-2"/>
              </w:rPr>
              <w:t>2</w:t>
            </w:r>
            <w:r w:rsidR="0011620E" w:rsidRPr="00C16956">
              <w:rPr>
                <w:rFonts w:ascii="Times New Roman" w:hAnsi="Times New Roman"/>
                <w:spacing w:val="-2"/>
              </w:rPr>
              <w:t>% w 202</w:t>
            </w:r>
            <w:r w:rsidR="00103AAB">
              <w:rPr>
                <w:rFonts w:ascii="Times New Roman" w:hAnsi="Times New Roman"/>
                <w:spacing w:val="-2"/>
              </w:rPr>
              <w:t>6</w:t>
            </w:r>
            <w:r w:rsidR="0011620E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931F21" w:rsidRPr="00C16956">
              <w:rPr>
                <w:rFonts w:ascii="Times New Roman" w:hAnsi="Times New Roman"/>
                <w:spacing w:val="-2"/>
              </w:rPr>
              <w:t xml:space="preserve">r. </w:t>
            </w:r>
            <w:r w:rsidR="004E2019">
              <w:rPr>
                <w:rFonts w:ascii="Times New Roman" w:hAnsi="Times New Roman"/>
                <w:spacing w:val="-2"/>
              </w:rPr>
              <w:t>oraz</w:t>
            </w:r>
            <w:r w:rsidR="0011620E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FB287D">
              <w:rPr>
                <w:rFonts w:ascii="Times New Roman" w:hAnsi="Times New Roman"/>
                <w:spacing w:val="-2"/>
              </w:rPr>
              <w:t>1</w:t>
            </w:r>
            <w:r w:rsidR="00103AAB">
              <w:rPr>
                <w:rFonts w:ascii="Times New Roman" w:hAnsi="Times New Roman"/>
                <w:spacing w:val="-2"/>
              </w:rPr>
              <w:t>1,5</w:t>
            </w:r>
            <w:r w:rsidR="0011620E" w:rsidRPr="00C16956">
              <w:rPr>
                <w:rFonts w:ascii="Times New Roman" w:hAnsi="Times New Roman"/>
                <w:spacing w:val="-2"/>
              </w:rPr>
              <w:t>% w 202</w:t>
            </w:r>
            <w:r w:rsidR="00103AAB">
              <w:rPr>
                <w:rFonts w:ascii="Times New Roman" w:hAnsi="Times New Roman"/>
                <w:spacing w:val="-2"/>
              </w:rPr>
              <w:t>7</w:t>
            </w:r>
            <w:r w:rsidR="00263143">
              <w:rPr>
                <w:rFonts w:ascii="Times New Roman" w:hAnsi="Times New Roman"/>
                <w:spacing w:val="-2"/>
              </w:rPr>
              <w:t> </w:t>
            </w:r>
            <w:r w:rsidR="00931F21" w:rsidRPr="00C16956">
              <w:rPr>
                <w:rFonts w:ascii="Times New Roman" w:hAnsi="Times New Roman"/>
                <w:spacing w:val="-2"/>
              </w:rPr>
              <w:t>r.</w:t>
            </w:r>
            <w:r w:rsidR="004E2019">
              <w:rPr>
                <w:rFonts w:ascii="Times New Roman" w:hAnsi="Times New Roman"/>
                <w:spacing w:val="-2"/>
              </w:rPr>
              <w:t>,</w:t>
            </w:r>
            <w:r w:rsidR="0011620E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4E2019">
              <w:rPr>
                <w:rFonts w:ascii="Times New Roman" w:hAnsi="Times New Roman"/>
                <w:spacing w:val="-2"/>
              </w:rPr>
              <w:t xml:space="preserve">a także </w:t>
            </w:r>
            <w:r w:rsidR="00495D03" w:rsidRPr="00C16956">
              <w:rPr>
                <w:rFonts w:ascii="Times New Roman" w:hAnsi="Times New Roman"/>
                <w:spacing w:val="-2"/>
              </w:rPr>
              <w:t xml:space="preserve">utrzymanie obowiązku dla błękitnych certyfikatów na dotychczasowym poziomie (0,5%). </w:t>
            </w:r>
            <w:r w:rsidR="00D70835" w:rsidRPr="00D70835">
              <w:rPr>
                <w:rFonts w:ascii="Times New Roman" w:hAnsi="Times New Roman"/>
                <w:spacing w:val="-2"/>
              </w:rPr>
              <w:t>Zaproponowany poziom obowiązku wynika</w:t>
            </w:r>
            <w:r w:rsidR="0036051F">
              <w:rPr>
                <w:rFonts w:ascii="Times New Roman" w:hAnsi="Times New Roman"/>
                <w:spacing w:val="-2"/>
              </w:rPr>
              <w:t xml:space="preserve"> z potrzeby</w:t>
            </w:r>
            <w:r w:rsidR="00D70835">
              <w:rPr>
                <w:rFonts w:ascii="Times New Roman" w:hAnsi="Times New Roman"/>
                <w:spacing w:val="-2"/>
              </w:rPr>
              <w:t xml:space="preserve"> zrównoważani</w:t>
            </w:r>
            <w:r w:rsidR="0036051F">
              <w:rPr>
                <w:rFonts w:ascii="Times New Roman" w:hAnsi="Times New Roman"/>
                <w:spacing w:val="-2"/>
              </w:rPr>
              <w:t>a</w:t>
            </w:r>
            <w:r w:rsidR="00D70835" w:rsidRPr="00D70835">
              <w:rPr>
                <w:rFonts w:ascii="Times New Roman" w:hAnsi="Times New Roman"/>
                <w:spacing w:val="-2"/>
              </w:rPr>
              <w:t xml:space="preserve"> popytu i podaży</w:t>
            </w:r>
            <w:r w:rsidR="0036051F">
              <w:rPr>
                <w:rFonts w:ascii="Times New Roman" w:hAnsi="Times New Roman"/>
                <w:spacing w:val="-2"/>
              </w:rPr>
              <w:t xml:space="preserve"> na przedmiotowe instrumenty</w:t>
            </w:r>
            <w:r w:rsidR="009A2D56">
              <w:rPr>
                <w:rFonts w:ascii="Times New Roman" w:hAnsi="Times New Roman"/>
                <w:spacing w:val="-2"/>
              </w:rPr>
              <w:t xml:space="preserve"> w latach 2025</w:t>
            </w:r>
            <w:r w:rsidR="00F849EE">
              <w:rPr>
                <w:rFonts w:ascii="Times New Roman" w:hAnsi="Times New Roman"/>
                <w:spacing w:val="-2"/>
              </w:rPr>
              <w:t>–</w:t>
            </w:r>
            <w:r w:rsidR="009A2D56">
              <w:rPr>
                <w:rFonts w:ascii="Times New Roman" w:hAnsi="Times New Roman"/>
                <w:spacing w:val="-2"/>
              </w:rPr>
              <w:t>2027</w:t>
            </w:r>
            <w:r w:rsidR="00D42BE0">
              <w:rPr>
                <w:rFonts w:ascii="Times New Roman" w:hAnsi="Times New Roman"/>
                <w:spacing w:val="-2"/>
              </w:rPr>
              <w:t>,</w:t>
            </w:r>
            <w:r w:rsidR="009A2D56">
              <w:rPr>
                <w:rFonts w:ascii="Times New Roman" w:hAnsi="Times New Roman"/>
                <w:spacing w:val="-2"/>
              </w:rPr>
              <w:t xml:space="preserve"> przy utrzymaniu ich nadwyżki, która gwarantuje płynność rynku na poziomie, który zapewnia możliwość zakupu odpowiednio dużych wolumenów przez sprzedawców realizujących obowiązek ustawowy wynikający z</w:t>
            </w:r>
            <w:r w:rsidR="007E263D">
              <w:rPr>
                <w:rFonts w:ascii="Times New Roman" w:hAnsi="Times New Roman"/>
                <w:spacing w:val="-2"/>
              </w:rPr>
              <w:t xml:space="preserve">e </w:t>
            </w:r>
            <w:r w:rsidR="009A2D56">
              <w:rPr>
                <w:rFonts w:ascii="Times New Roman" w:hAnsi="Times New Roman"/>
                <w:spacing w:val="-2"/>
              </w:rPr>
              <w:t xml:space="preserve">sprzedaży </w:t>
            </w:r>
            <w:r w:rsidR="007E263D">
              <w:rPr>
                <w:rFonts w:ascii="Times New Roman" w:hAnsi="Times New Roman"/>
                <w:spacing w:val="-2"/>
              </w:rPr>
              <w:t xml:space="preserve">energii </w:t>
            </w:r>
            <w:r w:rsidR="009A2D56">
              <w:rPr>
                <w:rFonts w:ascii="Times New Roman" w:hAnsi="Times New Roman"/>
                <w:spacing w:val="-2"/>
              </w:rPr>
              <w:t xml:space="preserve">odbiorcom końcowym. </w:t>
            </w:r>
          </w:p>
          <w:p w14:paraId="580F037D" w14:textId="7D2AE689" w:rsidR="00D722F6" w:rsidRPr="00C16956" w:rsidRDefault="00D722F6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u w:val="single"/>
              </w:rPr>
            </w:pPr>
            <w:r w:rsidRPr="00C16956">
              <w:rPr>
                <w:rFonts w:ascii="Times New Roman" w:hAnsi="Times New Roman"/>
                <w:spacing w:val="-2"/>
                <w:u w:val="single"/>
              </w:rPr>
              <w:t>Dodatkowe informacje:</w:t>
            </w:r>
          </w:p>
          <w:p w14:paraId="1A4A9D86" w14:textId="30A9A353" w:rsidR="00CA5C89" w:rsidRPr="00C16956" w:rsidRDefault="00EB451B" w:rsidP="00C1695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</w:rPr>
            </w:pPr>
            <w:r w:rsidRPr="00C16956">
              <w:rPr>
                <w:rFonts w:ascii="Times New Roman" w:hAnsi="Times New Roman"/>
                <w:b/>
                <w:bCs/>
                <w:spacing w:val="-2"/>
              </w:rPr>
              <w:t>Funkcjonowanie systemu</w:t>
            </w:r>
          </w:p>
          <w:p w14:paraId="5DF80184" w14:textId="2BE3A336" w:rsidR="00EB451B" w:rsidRDefault="00EB451B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16956">
              <w:rPr>
                <w:rFonts w:ascii="Times New Roman" w:hAnsi="Times New Roman"/>
                <w:spacing w:val="-2"/>
              </w:rPr>
              <w:t xml:space="preserve">Od </w:t>
            </w:r>
            <w:r w:rsidR="00405A09">
              <w:rPr>
                <w:rFonts w:ascii="Times New Roman" w:hAnsi="Times New Roman"/>
                <w:spacing w:val="-2"/>
              </w:rPr>
              <w:t xml:space="preserve">dnia </w:t>
            </w:r>
            <w:r w:rsidRPr="00C16956">
              <w:rPr>
                <w:rFonts w:ascii="Times New Roman" w:hAnsi="Times New Roman"/>
                <w:spacing w:val="-2"/>
              </w:rPr>
              <w:t xml:space="preserve">1 lipca 2016 r. wytwórcy energii w nowych instalacjach </w:t>
            </w:r>
            <w:proofErr w:type="spellStart"/>
            <w:r w:rsidRPr="00C16956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2E5A15" w:rsidRPr="00C16956">
              <w:rPr>
                <w:rFonts w:ascii="Times New Roman" w:hAnsi="Times New Roman"/>
                <w:spacing w:val="-2"/>
              </w:rPr>
              <w:t>utracili możliwość</w:t>
            </w:r>
            <w:r w:rsidRPr="00C16956">
              <w:rPr>
                <w:rFonts w:ascii="Times New Roman" w:hAnsi="Times New Roman"/>
                <w:spacing w:val="-2"/>
              </w:rPr>
              <w:t xml:space="preserve"> ubiega</w:t>
            </w:r>
            <w:r w:rsidR="002E5A15" w:rsidRPr="00C16956">
              <w:rPr>
                <w:rFonts w:ascii="Times New Roman" w:hAnsi="Times New Roman"/>
                <w:spacing w:val="-2"/>
              </w:rPr>
              <w:t xml:space="preserve">nia </w:t>
            </w:r>
            <w:r w:rsidRPr="00C16956">
              <w:rPr>
                <w:rFonts w:ascii="Times New Roman" w:hAnsi="Times New Roman"/>
                <w:spacing w:val="-2"/>
              </w:rPr>
              <w:t xml:space="preserve">się o </w:t>
            </w:r>
            <w:r w:rsidR="002E5A15" w:rsidRPr="00C16956">
              <w:rPr>
                <w:rFonts w:ascii="Times New Roman" w:hAnsi="Times New Roman"/>
                <w:spacing w:val="-2"/>
              </w:rPr>
              <w:t>zakwalifikowanie do</w:t>
            </w:r>
            <w:r w:rsidRPr="00C16956">
              <w:rPr>
                <w:rFonts w:ascii="Times New Roman" w:hAnsi="Times New Roman"/>
                <w:spacing w:val="-2"/>
              </w:rPr>
              <w:t xml:space="preserve"> systemu wsparcia opartego o świadectwa pochodzenia. Z kolei od 2020</w:t>
            </w:r>
            <w:r w:rsidR="000E7128" w:rsidRPr="00C16956">
              <w:rPr>
                <w:rFonts w:ascii="Times New Roman" w:hAnsi="Times New Roman"/>
                <w:spacing w:val="-2"/>
              </w:rPr>
              <w:t xml:space="preserve"> r.</w:t>
            </w:r>
            <w:r w:rsidRPr="00C16956">
              <w:rPr>
                <w:rFonts w:ascii="Times New Roman" w:hAnsi="Times New Roman"/>
                <w:spacing w:val="-2"/>
              </w:rPr>
              <w:t>, partycypację w systemie sukcesywnie kończą instalacje, którym upłynął 15-letni okres wsparcia. Jednocześnie funkcjonujące w nim instalacje</w:t>
            </w:r>
            <w:r w:rsidR="003D6EAF">
              <w:rPr>
                <w:rFonts w:ascii="Times New Roman" w:hAnsi="Times New Roman"/>
                <w:spacing w:val="-2"/>
              </w:rPr>
              <w:t xml:space="preserve">, zależnie od technologii </w:t>
            </w:r>
            <w:r w:rsidR="0098230D">
              <w:rPr>
                <w:rFonts w:ascii="Times New Roman" w:hAnsi="Times New Roman"/>
                <w:spacing w:val="-2"/>
              </w:rPr>
              <w:br/>
            </w:r>
            <w:r w:rsidR="003D6EAF">
              <w:rPr>
                <w:rFonts w:ascii="Times New Roman" w:hAnsi="Times New Roman"/>
                <w:spacing w:val="-2"/>
              </w:rPr>
              <w:t>i mocy zainstalowanej,</w:t>
            </w:r>
            <w:r w:rsidRPr="00C16956">
              <w:rPr>
                <w:rFonts w:ascii="Times New Roman" w:hAnsi="Times New Roman"/>
                <w:spacing w:val="-2"/>
              </w:rPr>
              <w:t xml:space="preserve"> mogą migrować do innych systemów wsparcia, tj. </w:t>
            </w:r>
            <w:r w:rsidR="00000C5E" w:rsidRPr="00C16956">
              <w:rPr>
                <w:rFonts w:ascii="Times New Roman" w:hAnsi="Times New Roman"/>
                <w:spacing w:val="-2"/>
              </w:rPr>
              <w:t xml:space="preserve">systemu FIT opartego na taryfach gwarantowanych, </w:t>
            </w:r>
            <w:r w:rsidR="0098230D" w:rsidRPr="00755F57">
              <w:rPr>
                <w:rFonts w:ascii="Times New Roman" w:hAnsi="Times New Roman"/>
                <w:spacing w:val="-2"/>
              </w:rPr>
              <w:lastRenderedPageBreak/>
              <w:t xml:space="preserve">systemu </w:t>
            </w:r>
            <w:proofErr w:type="spellStart"/>
            <w:r w:rsidR="0098230D" w:rsidRPr="00755F57">
              <w:rPr>
                <w:rFonts w:ascii="Times New Roman" w:hAnsi="Times New Roman"/>
                <w:spacing w:val="-2"/>
              </w:rPr>
              <w:t>FIP</w:t>
            </w:r>
            <w:proofErr w:type="spellEnd"/>
            <w:r w:rsidR="0098230D" w:rsidRPr="00755F57">
              <w:rPr>
                <w:rFonts w:ascii="Times New Roman" w:hAnsi="Times New Roman"/>
                <w:spacing w:val="-2"/>
              </w:rPr>
              <w:t xml:space="preserve"> opart</w:t>
            </w:r>
            <w:r w:rsidR="0098230D">
              <w:rPr>
                <w:rFonts w:ascii="Times New Roman" w:hAnsi="Times New Roman"/>
                <w:spacing w:val="-2"/>
              </w:rPr>
              <w:t>ego</w:t>
            </w:r>
            <w:r w:rsidR="0098230D" w:rsidRPr="00755F57">
              <w:rPr>
                <w:rFonts w:ascii="Times New Roman" w:hAnsi="Times New Roman"/>
                <w:spacing w:val="-2"/>
              </w:rPr>
              <w:t xml:space="preserve"> o dopłaty do cen rynkowych</w:t>
            </w:r>
            <w:r w:rsidR="0098230D" w:rsidRPr="0098230D">
              <w:rPr>
                <w:rFonts w:ascii="Times New Roman" w:hAnsi="Times New Roman"/>
                <w:spacing w:val="-2"/>
              </w:rPr>
              <w:t xml:space="preserve"> </w:t>
            </w:r>
            <w:r w:rsidR="00000C5E" w:rsidRPr="00C16956">
              <w:rPr>
                <w:rFonts w:ascii="Times New Roman" w:hAnsi="Times New Roman"/>
                <w:spacing w:val="-2"/>
              </w:rPr>
              <w:t xml:space="preserve">lub </w:t>
            </w:r>
            <w:r w:rsidRPr="00C16956">
              <w:rPr>
                <w:rFonts w:ascii="Times New Roman" w:hAnsi="Times New Roman"/>
                <w:spacing w:val="-2"/>
              </w:rPr>
              <w:t>systemu aukcyjnego</w:t>
            </w:r>
            <w:r w:rsidR="0098230D">
              <w:rPr>
                <w:rFonts w:ascii="Times New Roman" w:hAnsi="Times New Roman"/>
                <w:spacing w:val="-2"/>
              </w:rPr>
              <w:t>.</w:t>
            </w:r>
            <w:r w:rsidR="00C55D00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Pr="00C16956">
              <w:rPr>
                <w:rFonts w:ascii="Times New Roman" w:hAnsi="Times New Roman"/>
                <w:spacing w:val="-2"/>
              </w:rPr>
              <w:t>Z uwagi na powyższe, szacuje się, że w latach 202</w:t>
            </w:r>
            <w:r w:rsidR="000C6163">
              <w:rPr>
                <w:rFonts w:ascii="Times New Roman" w:hAnsi="Times New Roman"/>
                <w:spacing w:val="-2"/>
              </w:rPr>
              <w:t>5</w:t>
            </w:r>
            <w:r w:rsidR="00F849EE">
              <w:rPr>
                <w:rFonts w:ascii="Times New Roman" w:hAnsi="Times New Roman"/>
                <w:spacing w:val="-2"/>
              </w:rPr>
              <w:t>–</w:t>
            </w:r>
            <w:r w:rsidRPr="00C16956">
              <w:rPr>
                <w:rFonts w:ascii="Times New Roman" w:hAnsi="Times New Roman"/>
                <w:spacing w:val="-2"/>
              </w:rPr>
              <w:t>202</w:t>
            </w:r>
            <w:r w:rsidR="000C6163">
              <w:rPr>
                <w:rFonts w:ascii="Times New Roman" w:hAnsi="Times New Roman"/>
                <w:spacing w:val="-2"/>
              </w:rPr>
              <w:t>7</w:t>
            </w:r>
            <w:r w:rsidRPr="00C16956">
              <w:rPr>
                <w:rFonts w:ascii="Times New Roman" w:hAnsi="Times New Roman"/>
                <w:spacing w:val="-2"/>
              </w:rPr>
              <w:t xml:space="preserve"> z systemu </w:t>
            </w:r>
            <w:r w:rsidR="000E7128" w:rsidRPr="00C16956">
              <w:rPr>
                <w:rFonts w:ascii="Times New Roman" w:hAnsi="Times New Roman"/>
                <w:spacing w:val="-2"/>
              </w:rPr>
              <w:t xml:space="preserve">wsparcia świadectw pochodzenia </w:t>
            </w:r>
            <w:r w:rsidR="00D42BE0">
              <w:rPr>
                <w:rFonts w:ascii="Times New Roman" w:hAnsi="Times New Roman"/>
                <w:spacing w:val="-2"/>
              </w:rPr>
              <w:t>zostaną wycofane</w:t>
            </w:r>
            <w:r w:rsidR="00D42BE0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2873A0">
              <w:rPr>
                <w:rFonts w:ascii="Times New Roman" w:hAnsi="Times New Roman"/>
                <w:spacing w:val="-2"/>
              </w:rPr>
              <w:t xml:space="preserve">instalacje </w:t>
            </w:r>
            <w:proofErr w:type="spellStart"/>
            <w:r w:rsidR="002873A0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2873A0">
              <w:rPr>
                <w:rFonts w:ascii="Times New Roman" w:hAnsi="Times New Roman"/>
                <w:spacing w:val="-2"/>
              </w:rPr>
              <w:t xml:space="preserve"> odpowiadające za </w:t>
            </w:r>
            <w:r w:rsidR="006556C1">
              <w:rPr>
                <w:rFonts w:ascii="Times New Roman" w:hAnsi="Times New Roman"/>
                <w:spacing w:val="-2"/>
              </w:rPr>
              <w:t>ok</w:t>
            </w:r>
            <w:r w:rsidR="00DE12DE">
              <w:rPr>
                <w:rFonts w:ascii="Times New Roman" w:hAnsi="Times New Roman"/>
                <w:spacing w:val="-2"/>
              </w:rPr>
              <w:t>.</w:t>
            </w:r>
            <w:r w:rsidR="006556C1">
              <w:rPr>
                <w:rFonts w:ascii="Times New Roman" w:hAnsi="Times New Roman"/>
                <w:spacing w:val="-2"/>
              </w:rPr>
              <w:t xml:space="preserve"> </w:t>
            </w:r>
            <w:r w:rsidRPr="00C16956">
              <w:rPr>
                <w:rFonts w:ascii="Times New Roman" w:hAnsi="Times New Roman"/>
                <w:spacing w:val="-2"/>
              </w:rPr>
              <w:t>1 GW mocy</w:t>
            </w:r>
            <w:r w:rsidR="002873A0">
              <w:rPr>
                <w:rFonts w:ascii="Times New Roman" w:hAnsi="Times New Roman"/>
                <w:spacing w:val="-2"/>
              </w:rPr>
              <w:t xml:space="preserve"> zainstalowanej</w:t>
            </w:r>
            <w:r w:rsidRPr="00C16956">
              <w:rPr>
                <w:rFonts w:ascii="Times New Roman" w:hAnsi="Times New Roman"/>
                <w:spacing w:val="-2"/>
              </w:rPr>
              <w:t xml:space="preserve">. Należy zatem wskazać, że podaż certyfikatów w najbliższych latach zacznie sukcesywnie </w:t>
            </w:r>
            <w:r w:rsidR="00D42BE0">
              <w:rPr>
                <w:rFonts w:ascii="Times New Roman" w:hAnsi="Times New Roman"/>
                <w:spacing w:val="-2"/>
              </w:rPr>
              <w:t>spadać</w:t>
            </w:r>
            <w:r w:rsidRPr="00C16956">
              <w:rPr>
                <w:rFonts w:ascii="Times New Roman" w:hAnsi="Times New Roman"/>
                <w:spacing w:val="-2"/>
              </w:rPr>
              <w:t>.</w:t>
            </w:r>
          </w:p>
          <w:p w14:paraId="671A390E" w14:textId="77777777" w:rsidR="00CC2F3F" w:rsidRPr="00C16956" w:rsidRDefault="00CC2F3F" w:rsidP="00C16956">
            <w:pPr>
              <w:spacing w:after="120" w:line="240" w:lineRule="auto"/>
              <w:rPr>
                <w:rFonts w:ascii="Times New Roman" w:hAnsi="Times New Roman"/>
                <w:b/>
                <w:bCs/>
                <w:iCs/>
                <w:spacing w:val="-2"/>
              </w:rPr>
            </w:pPr>
            <w:r w:rsidRPr="00C16956">
              <w:rPr>
                <w:rFonts w:ascii="Times New Roman" w:hAnsi="Times New Roman"/>
                <w:b/>
                <w:bCs/>
                <w:iCs/>
                <w:spacing w:val="-2"/>
              </w:rPr>
              <w:t>Średnia cena roczna świadectw pochodzenia</w:t>
            </w:r>
          </w:p>
          <w:p w14:paraId="516FF64D" w14:textId="4950BC62" w:rsidR="00405A09" w:rsidRDefault="00431372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 okresie o</w:t>
            </w:r>
            <w:r w:rsidRPr="00C16956">
              <w:rPr>
                <w:rFonts w:ascii="Times New Roman" w:hAnsi="Times New Roman"/>
                <w:spacing w:val="-2"/>
              </w:rPr>
              <w:t>d końca 2018 r. do połowy 2021</w:t>
            </w:r>
            <w:r>
              <w:rPr>
                <w:rFonts w:ascii="Times New Roman" w:hAnsi="Times New Roman"/>
                <w:spacing w:val="-2"/>
              </w:rPr>
              <w:t> r.</w:t>
            </w:r>
            <w:r w:rsidRPr="00C16956">
              <w:rPr>
                <w:rFonts w:ascii="Times New Roman" w:hAnsi="Times New Roman"/>
                <w:spacing w:val="-2"/>
              </w:rPr>
              <w:t xml:space="preserve"> </w:t>
            </w:r>
            <w:r w:rsidRPr="0043150B">
              <w:rPr>
                <w:rFonts w:ascii="Times New Roman" w:hAnsi="Times New Roman"/>
                <w:spacing w:val="-2"/>
              </w:rPr>
              <w:t xml:space="preserve">cena zielonych certyfikatów na rynku świadectw pochodzenia </w:t>
            </w:r>
            <w:r>
              <w:rPr>
                <w:rFonts w:ascii="Times New Roman" w:hAnsi="Times New Roman"/>
                <w:spacing w:val="-2"/>
              </w:rPr>
              <w:t xml:space="preserve">utrzymywała się na poziomie </w:t>
            </w:r>
            <w:r w:rsidRPr="00C16956">
              <w:rPr>
                <w:rFonts w:ascii="Times New Roman" w:hAnsi="Times New Roman"/>
                <w:spacing w:val="-2"/>
              </w:rPr>
              <w:t>ok. 130</w:t>
            </w:r>
            <w:r>
              <w:rPr>
                <w:rFonts w:ascii="Times New Roman" w:hAnsi="Times New Roman"/>
                <w:spacing w:val="-2"/>
              </w:rPr>
              <w:t>–</w:t>
            </w:r>
            <w:r w:rsidRPr="00C16956">
              <w:rPr>
                <w:rFonts w:ascii="Times New Roman" w:hAnsi="Times New Roman"/>
                <w:spacing w:val="-2"/>
              </w:rPr>
              <w:t>160 zł/MWh</w:t>
            </w:r>
            <w:r>
              <w:rPr>
                <w:rFonts w:ascii="Times New Roman" w:hAnsi="Times New Roman"/>
                <w:spacing w:val="-2"/>
              </w:rPr>
              <w:t>. W</w:t>
            </w:r>
            <w:r w:rsidR="00CC2F3F" w:rsidRPr="00C16956">
              <w:rPr>
                <w:rFonts w:ascii="Times New Roman" w:hAnsi="Times New Roman"/>
                <w:spacing w:val="-2"/>
              </w:rPr>
              <w:t xml:space="preserve"> III kwartale 2021 r. rozpoczął się </w:t>
            </w:r>
            <w:r w:rsidR="0098230D">
              <w:rPr>
                <w:rFonts w:ascii="Times New Roman" w:hAnsi="Times New Roman"/>
                <w:spacing w:val="-2"/>
              </w:rPr>
              <w:t>silny</w:t>
            </w:r>
            <w:r w:rsidR="00CC2F3F" w:rsidRPr="00C16956">
              <w:rPr>
                <w:rFonts w:ascii="Times New Roman" w:hAnsi="Times New Roman"/>
                <w:spacing w:val="-2"/>
              </w:rPr>
              <w:t xml:space="preserve"> wzrost cen zielonych certyfikatów, </w:t>
            </w:r>
            <w:r w:rsidR="000E7128" w:rsidRPr="00C16956">
              <w:rPr>
                <w:rFonts w:ascii="Times New Roman" w:hAnsi="Times New Roman"/>
                <w:spacing w:val="-2"/>
              </w:rPr>
              <w:t xml:space="preserve">które </w:t>
            </w:r>
            <w:r w:rsidR="00CC2F3F" w:rsidRPr="00C16956">
              <w:rPr>
                <w:rFonts w:ascii="Times New Roman" w:hAnsi="Times New Roman"/>
                <w:spacing w:val="-2"/>
              </w:rPr>
              <w:t xml:space="preserve">w październiku 2021 r. jednostkowo (na pojedynczych sesjach) </w:t>
            </w:r>
            <w:r w:rsidR="000E7128" w:rsidRPr="00C16956">
              <w:rPr>
                <w:rFonts w:ascii="Times New Roman" w:hAnsi="Times New Roman"/>
                <w:spacing w:val="-2"/>
              </w:rPr>
              <w:t xml:space="preserve">osiągnęły </w:t>
            </w:r>
            <w:r w:rsidR="00CC2F3F" w:rsidRPr="00C16956">
              <w:rPr>
                <w:rFonts w:ascii="Times New Roman" w:hAnsi="Times New Roman"/>
                <w:spacing w:val="-2"/>
              </w:rPr>
              <w:t>pułap 300 zł/MWh</w:t>
            </w:r>
            <w:r w:rsidR="00D722F6">
              <w:rPr>
                <w:rFonts w:ascii="Times New Roman" w:hAnsi="Times New Roman"/>
                <w:spacing w:val="-2"/>
              </w:rPr>
              <w:t>, a więc maksymalny</w:t>
            </w:r>
            <w:r w:rsidR="008729C4">
              <w:rPr>
                <w:rFonts w:ascii="Times New Roman" w:hAnsi="Times New Roman"/>
                <w:spacing w:val="-2"/>
              </w:rPr>
              <w:t>,</w:t>
            </w:r>
            <w:r w:rsidR="00D722F6">
              <w:rPr>
                <w:rFonts w:ascii="Times New Roman" w:hAnsi="Times New Roman"/>
                <w:spacing w:val="-2"/>
              </w:rPr>
              <w:t xml:space="preserve"> biorąc pod uwagę wysokoś</w:t>
            </w:r>
            <w:r w:rsidR="008729C4">
              <w:rPr>
                <w:rFonts w:ascii="Times New Roman" w:hAnsi="Times New Roman"/>
                <w:spacing w:val="-2"/>
              </w:rPr>
              <w:t>ć</w:t>
            </w:r>
            <w:r w:rsidR="00D722F6">
              <w:rPr>
                <w:rFonts w:ascii="Times New Roman" w:hAnsi="Times New Roman"/>
                <w:spacing w:val="-2"/>
              </w:rPr>
              <w:t xml:space="preserve"> opłaty zastępczej przewidzianej w ustawie </w:t>
            </w:r>
            <w:r w:rsidR="003F7150">
              <w:rPr>
                <w:rFonts w:ascii="Times New Roman" w:hAnsi="Times New Roman"/>
                <w:spacing w:val="-2"/>
              </w:rPr>
              <w:t xml:space="preserve">o </w:t>
            </w:r>
            <w:proofErr w:type="spellStart"/>
            <w:r w:rsidR="00D722F6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CC2F3F" w:rsidRPr="00C16956">
              <w:rPr>
                <w:rFonts w:ascii="Times New Roman" w:hAnsi="Times New Roman"/>
                <w:spacing w:val="-2"/>
              </w:rPr>
              <w:t xml:space="preserve">. </w:t>
            </w:r>
          </w:p>
          <w:p w14:paraId="30095578" w14:textId="566BE104" w:rsidR="00EF4079" w:rsidRDefault="00CC2F3F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16956">
              <w:rPr>
                <w:rFonts w:ascii="Times New Roman" w:hAnsi="Times New Roman"/>
                <w:spacing w:val="-2"/>
              </w:rPr>
              <w:t>Pod koniec 2021</w:t>
            </w:r>
            <w:r w:rsidR="00405A09">
              <w:rPr>
                <w:rFonts w:ascii="Times New Roman" w:hAnsi="Times New Roman"/>
                <w:spacing w:val="-2"/>
              </w:rPr>
              <w:t xml:space="preserve"> r.</w:t>
            </w:r>
            <w:r w:rsidRPr="00C16956">
              <w:rPr>
                <w:rFonts w:ascii="Times New Roman" w:hAnsi="Times New Roman"/>
                <w:spacing w:val="-2"/>
              </w:rPr>
              <w:t xml:space="preserve"> nastąpiło stopniowe obniżenie </w:t>
            </w:r>
            <w:r w:rsidR="000E7128" w:rsidRPr="00C16956">
              <w:rPr>
                <w:rFonts w:ascii="Times New Roman" w:hAnsi="Times New Roman"/>
                <w:spacing w:val="-2"/>
              </w:rPr>
              <w:t>ich cen</w:t>
            </w:r>
            <w:r w:rsidRPr="00C16956">
              <w:rPr>
                <w:rFonts w:ascii="Times New Roman" w:hAnsi="Times New Roman"/>
                <w:spacing w:val="-2"/>
              </w:rPr>
              <w:t xml:space="preserve">, </w:t>
            </w:r>
            <w:r w:rsidR="000E7128" w:rsidRPr="00C16956">
              <w:rPr>
                <w:rFonts w:ascii="Times New Roman" w:hAnsi="Times New Roman"/>
                <w:spacing w:val="-2"/>
              </w:rPr>
              <w:t xml:space="preserve">a następnie ustabilizowanie </w:t>
            </w:r>
            <w:r w:rsidR="00E76D60">
              <w:rPr>
                <w:rFonts w:ascii="Times New Roman" w:hAnsi="Times New Roman"/>
                <w:spacing w:val="-2"/>
              </w:rPr>
              <w:t xml:space="preserve">tych cen </w:t>
            </w:r>
            <w:r w:rsidR="000E7128" w:rsidRPr="00C16956">
              <w:rPr>
                <w:rFonts w:ascii="Times New Roman" w:hAnsi="Times New Roman"/>
                <w:spacing w:val="-2"/>
              </w:rPr>
              <w:t>na wyraźnie wyższym niż wcześniej poziomie</w:t>
            </w:r>
            <w:r w:rsidRPr="00C16956">
              <w:rPr>
                <w:rFonts w:ascii="Times New Roman" w:hAnsi="Times New Roman"/>
                <w:spacing w:val="-2"/>
              </w:rPr>
              <w:t xml:space="preserve"> (230</w:t>
            </w:r>
            <w:r w:rsidR="00F849EE">
              <w:rPr>
                <w:rFonts w:ascii="Times New Roman" w:hAnsi="Times New Roman"/>
                <w:spacing w:val="-2"/>
              </w:rPr>
              <w:t>–</w:t>
            </w:r>
            <w:r w:rsidRPr="00C16956">
              <w:rPr>
                <w:rFonts w:ascii="Times New Roman" w:hAnsi="Times New Roman"/>
                <w:spacing w:val="-2"/>
              </w:rPr>
              <w:t>265 zł/MWh</w:t>
            </w:r>
            <w:r w:rsidR="000E7128" w:rsidRPr="00C16956">
              <w:rPr>
                <w:rFonts w:ascii="Times New Roman" w:hAnsi="Times New Roman"/>
                <w:spacing w:val="-2"/>
              </w:rPr>
              <w:t>)</w:t>
            </w:r>
            <w:r w:rsidR="00970BEF">
              <w:rPr>
                <w:rFonts w:ascii="Times New Roman" w:hAnsi="Times New Roman"/>
                <w:spacing w:val="-2"/>
              </w:rPr>
              <w:t>.</w:t>
            </w:r>
            <w:r w:rsidR="000E7128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D42BE0">
              <w:rPr>
                <w:rFonts w:ascii="Times New Roman" w:hAnsi="Times New Roman"/>
                <w:spacing w:val="-2"/>
              </w:rPr>
              <w:t>Po korekcie cen o ok 100 zł/MWh odnotowanej w 2022 r.</w:t>
            </w:r>
            <w:r w:rsidR="005C17D7">
              <w:rPr>
                <w:rFonts w:ascii="Times New Roman" w:hAnsi="Times New Roman"/>
                <w:spacing w:val="-2"/>
              </w:rPr>
              <w:t>,</w:t>
            </w:r>
            <w:r w:rsidR="00D42BE0">
              <w:rPr>
                <w:rFonts w:ascii="Times New Roman" w:hAnsi="Times New Roman"/>
                <w:spacing w:val="-2"/>
              </w:rPr>
              <w:t xml:space="preserve"> c</w:t>
            </w:r>
            <w:r w:rsidR="00786FBA">
              <w:rPr>
                <w:rFonts w:ascii="Times New Roman" w:hAnsi="Times New Roman"/>
                <w:spacing w:val="-2"/>
              </w:rPr>
              <w:t xml:space="preserve">eny </w:t>
            </w:r>
            <w:r w:rsidR="00D42BE0">
              <w:rPr>
                <w:rFonts w:ascii="Times New Roman" w:hAnsi="Times New Roman"/>
                <w:spacing w:val="-2"/>
              </w:rPr>
              <w:t xml:space="preserve">w 2023 r. </w:t>
            </w:r>
            <w:r w:rsidR="00786FBA">
              <w:rPr>
                <w:rFonts w:ascii="Times New Roman" w:hAnsi="Times New Roman"/>
                <w:spacing w:val="-2"/>
              </w:rPr>
              <w:t>na poziomie ok. 200 zł</w:t>
            </w:r>
            <w:r w:rsidR="00405A09">
              <w:rPr>
                <w:rFonts w:ascii="Times New Roman" w:hAnsi="Times New Roman"/>
                <w:spacing w:val="-2"/>
              </w:rPr>
              <w:t>/MWh</w:t>
            </w:r>
            <w:r w:rsidR="00786FBA">
              <w:rPr>
                <w:rFonts w:ascii="Times New Roman" w:hAnsi="Times New Roman"/>
                <w:spacing w:val="-2"/>
              </w:rPr>
              <w:t xml:space="preserve"> utrzymały się do lipca </w:t>
            </w:r>
            <w:r w:rsidR="00D42BE0">
              <w:rPr>
                <w:rFonts w:ascii="Times New Roman" w:hAnsi="Times New Roman"/>
                <w:spacing w:val="-2"/>
              </w:rPr>
              <w:t>tegoż roku</w:t>
            </w:r>
            <w:r w:rsidR="00786FBA">
              <w:rPr>
                <w:rFonts w:ascii="Times New Roman" w:hAnsi="Times New Roman"/>
                <w:spacing w:val="-2"/>
              </w:rPr>
              <w:t xml:space="preserve">. W sierpniu 2023 r. </w:t>
            </w:r>
            <w:r w:rsidR="0087343B">
              <w:rPr>
                <w:rFonts w:ascii="Times New Roman" w:hAnsi="Times New Roman"/>
                <w:spacing w:val="-2"/>
              </w:rPr>
              <w:t xml:space="preserve">ceny </w:t>
            </w:r>
            <w:r w:rsidR="00D42BE0">
              <w:rPr>
                <w:rFonts w:ascii="Times New Roman" w:hAnsi="Times New Roman"/>
                <w:spacing w:val="-2"/>
              </w:rPr>
              <w:t>spadły</w:t>
            </w:r>
            <w:r w:rsidR="00786FBA">
              <w:rPr>
                <w:rFonts w:ascii="Times New Roman" w:hAnsi="Times New Roman"/>
                <w:spacing w:val="-2"/>
              </w:rPr>
              <w:t xml:space="preserve"> do poziomu poniżej 50 zł/MWh.</w:t>
            </w:r>
          </w:p>
          <w:p w14:paraId="008EC5BF" w14:textId="593502F2" w:rsidR="00CC2F3F" w:rsidRPr="00C16956" w:rsidRDefault="0087343B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Ś</w:t>
            </w:r>
            <w:r w:rsidR="00124955" w:rsidRPr="00C16956">
              <w:rPr>
                <w:rFonts w:ascii="Times New Roman" w:hAnsi="Times New Roman"/>
                <w:spacing w:val="-2"/>
              </w:rPr>
              <w:t>rednioroczne c</w:t>
            </w:r>
            <w:r w:rsidR="00CC2F3F" w:rsidRPr="00C16956">
              <w:rPr>
                <w:rFonts w:ascii="Times New Roman" w:hAnsi="Times New Roman"/>
                <w:spacing w:val="-2"/>
              </w:rPr>
              <w:t>eny</w:t>
            </w:r>
            <w:r w:rsidR="00124955" w:rsidRPr="00E70FE3">
              <w:t xml:space="preserve"> </w:t>
            </w:r>
            <w:r w:rsidR="00124955" w:rsidRPr="00C16956">
              <w:rPr>
                <w:rFonts w:ascii="Times New Roman" w:hAnsi="Times New Roman"/>
                <w:spacing w:val="-2"/>
              </w:rPr>
              <w:t xml:space="preserve">praw majątkowych </w:t>
            </w:r>
            <w:r w:rsidR="00FE2909" w:rsidRPr="00C16956">
              <w:rPr>
                <w:rFonts w:ascii="Times New Roman" w:hAnsi="Times New Roman"/>
                <w:spacing w:val="-2"/>
              </w:rPr>
              <w:t>z lat ubiegłych</w:t>
            </w:r>
            <w:r w:rsidR="00CC2F3F" w:rsidRPr="00C16956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przedstawia</w:t>
            </w:r>
            <w:r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CC2F3F" w:rsidRPr="00C16956">
              <w:rPr>
                <w:rFonts w:ascii="Times New Roman" w:hAnsi="Times New Roman"/>
                <w:spacing w:val="-2"/>
              </w:rPr>
              <w:t>poniższa tabela:</w:t>
            </w:r>
          </w:p>
          <w:tbl>
            <w:tblPr>
              <w:tblW w:w="103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1"/>
              <w:gridCol w:w="3760"/>
              <w:gridCol w:w="3619"/>
            </w:tblGrid>
            <w:tr w:rsidR="008B324D" w:rsidRPr="008B324D" w14:paraId="692FD975" w14:textId="77777777" w:rsidTr="00C16956">
              <w:trPr>
                <w:trHeight w:val="550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B607F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Okres obowiązywania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DC80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 xml:space="preserve">Średnia cena </w:t>
                  </w:r>
                  <w:proofErr w:type="spellStart"/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PMOZE</w:t>
                  </w:r>
                  <w:proofErr w:type="spellEnd"/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 xml:space="preserve"> i </w:t>
                  </w:r>
                  <w:proofErr w:type="spellStart"/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PMOZE_A</w:t>
                  </w:r>
                  <w:proofErr w:type="spellEnd"/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* (PLN/MWh)</w:t>
                  </w:r>
                </w:p>
              </w:tc>
              <w:tc>
                <w:tcPr>
                  <w:tcW w:w="3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4F7B6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 xml:space="preserve">Średnia cena </w:t>
                  </w:r>
                  <w:proofErr w:type="spellStart"/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PMOZE-BIO</w:t>
                  </w:r>
                  <w:proofErr w:type="spellEnd"/>
                  <w:r w:rsidRPr="00DD37E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** (PLN/MWh)</w:t>
                  </w:r>
                </w:p>
              </w:tc>
            </w:tr>
            <w:tr w:rsidR="008B324D" w:rsidRPr="008B324D" w14:paraId="3C79DAB0" w14:textId="77777777" w:rsidTr="008B324D">
              <w:trPr>
                <w:trHeight w:val="275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63D43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2015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9126C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123,6</w:t>
                  </w:r>
                </w:p>
              </w:tc>
              <w:tc>
                <w:tcPr>
                  <w:tcW w:w="3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4A667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-</w:t>
                  </w:r>
                </w:p>
              </w:tc>
            </w:tr>
            <w:tr w:rsidR="008B324D" w:rsidRPr="008B324D" w14:paraId="21337F75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4C596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2016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CC749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73,63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6136A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295,52</w:t>
                  </w:r>
                </w:p>
              </w:tc>
            </w:tr>
            <w:tr w:rsidR="008B324D" w:rsidRPr="008B324D" w14:paraId="0AE27F9D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D7CF3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2017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F6120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38,83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DE336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333,97</w:t>
                  </w:r>
                </w:p>
              </w:tc>
            </w:tr>
            <w:tr w:rsidR="008B324D" w:rsidRPr="008B324D" w14:paraId="5C769E3C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65A37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2018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FC1F3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103,82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07C89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312,55</w:t>
                  </w:r>
                </w:p>
              </w:tc>
            </w:tr>
            <w:tr w:rsidR="008B324D" w:rsidRPr="008B324D" w14:paraId="325F8D89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15769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2019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33B66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132,19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A933E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300,11</w:t>
                  </w:r>
                </w:p>
              </w:tc>
            </w:tr>
            <w:tr w:rsidR="008B324D" w:rsidRPr="008B324D" w14:paraId="43BFE653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59CB6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2020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9A0B9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138,21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7B24D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300,15</w:t>
                  </w:r>
                </w:p>
              </w:tc>
            </w:tr>
            <w:tr w:rsidR="008B324D" w:rsidRPr="008B324D" w14:paraId="3292EA0D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3DA64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2021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DF8CF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191,89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EE5CF" w14:textId="77777777" w:rsidR="008B324D" w:rsidRPr="00DD37E0" w:rsidRDefault="008B324D" w:rsidP="00C16956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301,49</w:t>
                  </w:r>
                </w:p>
              </w:tc>
            </w:tr>
            <w:tr w:rsidR="009C0BDD" w:rsidRPr="008B324D" w14:paraId="0AD02673" w14:textId="77777777" w:rsidTr="00C16956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778EE" w14:textId="7F36E47C" w:rsidR="009C0BDD" w:rsidRPr="00DD37E0" w:rsidRDefault="009C0BDD" w:rsidP="009C0BD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2022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2725D1" w14:textId="77E85ED5" w:rsidR="009C0BDD" w:rsidRPr="00DD37E0" w:rsidRDefault="009C0BDD" w:rsidP="009C0BD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191,8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E29739" w14:textId="288AFFE6" w:rsidR="009C0BDD" w:rsidRPr="00DD37E0" w:rsidRDefault="009C0BDD" w:rsidP="009C0BD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301,55</w:t>
                  </w:r>
                </w:p>
              </w:tc>
            </w:tr>
            <w:tr w:rsidR="009C0BDD" w:rsidRPr="008B324D" w14:paraId="6B8DE4C7" w14:textId="77777777" w:rsidTr="00CB4B94">
              <w:trPr>
                <w:trHeight w:val="275"/>
              </w:trPr>
              <w:tc>
                <w:tcPr>
                  <w:tcW w:w="2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9C2DF" w14:textId="61BEDA60" w:rsidR="009C0BDD" w:rsidRPr="00DD37E0" w:rsidRDefault="009C0BDD" w:rsidP="009C0BD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2023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25D028" w14:textId="2AF83178" w:rsidR="009C0BDD" w:rsidRPr="00DD37E0" w:rsidRDefault="00786FBA" w:rsidP="009C0BD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158,18</w:t>
                  </w:r>
                </w:p>
              </w:tc>
              <w:tc>
                <w:tcPr>
                  <w:tcW w:w="3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AF84FE" w14:textId="0E8E8C2F" w:rsidR="009C0BDD" w:rsidRPr="00DD37E0" w:rsidRDefault="00786FBA" w:rsidP="009C0BD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DD37E0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300,85</w:t>
                  </w:r>
                </w:p>
              </w:tc>
            </w:tr>
          </w:tbl>
          <w:p w14:paraId="187FEBE6" w14:textId="77777777" w:rsidR="008B324D" w:rsidRPr="00FE2CFC" w:rsidRDefault="008B324D" w:rsidP="008B324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E2CFC">
              <w:rPr>
                <w:rFonts w:ascii="Times New Roman" w:hAnsi="Times New Roman"/>
                <w:spacing w:val="-2"/>
                <w:sz w:val="18"/>
                <w:szCs w:val="18"/>
              </w:rPr>
              <w:t>* Tzw. zielone certyfikaty</w:t>
            </w:r>
          </w:p>
          <w:p w14:paraId="7E8985E8" w14:textId="77777777" w:rsidR="008B324D" w:rsidRPr="00FE2CFC" w:rsidRDefault="008B324D" w:rsidP="008B324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E2CFC">
              <w:rPr>
                <w:rFonts w:ascii="Times New Roman" w:hAnsi="Times New Roman"/>
                <w:spacing w:val="-2"/>
                <w:sz w:val="18"/>
                <w:szCs w:val="18"/>
              </w:rPr>
              <w:t>** Tzw. błękitne certyfikaty</w:t>
            </w:r>
          </w:p>
          <w:p w14:paraId="7CE30DB0" w14:textId="77777777" w:rsidR="008B324D" w:rsidRPr="00FE2CFC" w:rsidRDefault="008B324D" w:rsidP="008B324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E2CFC">
              <w:rPr>
                <w:rFonts w:ascii="Times New Roman" w:hAnsi="Times New Roman"/>
                <w:spacing w:val="-2"/>
                <w:sz w:val="18"/>
                <w:szCs w:val="18"/>
              </w:rPr>
              <w:t>Źródło: Towarowa Giełda Energii S.A.</w:t>
            </w:r>
          </w:p>
          <w:p w14:paraId="3BD35498" w14:textId="77777777" w:rsidR="008B324D" w:rsidRPr="00C16956" w:rsidRDefault="008B324D" w:rsidP="00EB451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14:paraId="6AEA4A42" w14:textId="3F9930BA" w:rsidR="00F01E7C" w:rsidRPr="00C16956" w:rsidRDefault="00431372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Zakłada się, że w</w:t>
            </w:r>
            <w:r w:rsidRPr="00C16956">
              <w:rPr>
                <w:rFonts w:ascii="Times New Roman" w:hAnsi="Times New Roman"/>
                <w:spacing w:val="-2"/>
              </w:rPr>
              <w:t xml:space="preserve">ydanie proponowanej regulacji </w:t>
            </w:r>
            <w:r>
              <w:rPr>
                <w:rFonts w:ascii="Times New Roman" w:hAnsi="Times New Roman"/>
                <w:spacing w:val="-2"/>
              </w:rPr>
              <w:t xml:space="preserve">obejmującej perspektywę trzyletnią </w:t>
            </w:r>
            <w:r w:rsidRPr="0043150B">
              <w:rPr>
                <w:rFonts w:ascii="Times New Roman" w:hAnsi="Times New Roman"/>
                <w:spacing w:val="-2"/>
              </w:rPr>
              <w:t xml:space="preserve">zwiększy poziom bezpieczeństwa prawnego uczestników rynku zielonych certyfikatów, w tym zarówno wytwórców energii elektrycznej z </w:t>
            </w:r>
            <w:proofErr w:type="spellStart"/>
            <w:r w:rsidRPr="0043150B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Pr="0043150B">
              <w:rPr>
                <w:rFonts w:ascii="Times New Roman" w:hAnsi="Times New Roman"/>
                <w:spacing w:val="-2"/>
              </w:rPr>
              <w:t>, jak i podmiotów zobowiązanych do zakupu zielonych certyfikatów</w:t>
            </w:r>
            <w:r w:rsidRPr="00C16956">
              <w:rPr>
                <w:rFonts w:ascii="Times New Roman" w:hAnsi="Times New Roman"/>
                <w:spacing w:val="-2"/>
              </w:rPr>
              <w:t>.</w:t>
            </w:r>
            <w:r w:rsidR="00D35E66" w:rsidRPr="00C16956">
              <w:rPr>
                <w:rFonts w:ascii="Times New Roman" w:hAnsi="Times New Roman"/>
                <w:spacing w:val="-2"/>
              </w:rPr>
              <w:t xml:space="preserve"> </w:t>
            </w:r>
            <w:r w:rsidR="005E03AC" w:rsidRPr="00C16956">
              <w:rPr>
                <w:rFonts w:ascii="Times New Roman" w:hAnsi="Times New Roman"/>
                <w:spacing w:val="-2"/>
              </w:rPr>
              <w:t>Biorąc zaś pod uwagę</w:t>
            </w:r>
            <w:r w:rsidR="00CA5325">
              <w:rPr>
                <w:rFonts w:ascii="Times New Roman" w:hAnsi="Times New Roman"/>
                <w:spacing w:val="-2"/>
              </w:rPr>
              <w:t>, że ceny energii elektrycznej na rynkach hurtowych powróciły do poziomu z 2021 r</w:t>
            </w:r>
            <w:r w:rsidR="00DE12DE">
              <w:rPr>
                <w:rFonts w:ascii="Times New Roman" w:hAnsi="Times New Roman"/>
                <w:spacing w:val="-2"/>
              </w:rPr>
              <w:t>.</w:t>
            </w:r>
            <w:r w:rsidR="005E03AC" w:rsidRPr="00C16956">
              <w:rPr>
                <w:rFonts w:ascii="Times New Roman" w:hAnsi="Times New Roman"/>
                <w:spacing w:val="-2"/>
              </w:rPr>
              <w:t xml:space="preserve">, należy podkreślić, że </w:t>
            </w:r>
            <w:r w:rsidR="00CA5325">
              <w:rPr>
                <w:rFonts w:ascii="Times New Roman" w:hAnsi="Times New Roman"/>
                <w:spacing w:val="-2"/>
              </w:rPr>
              <w:t>możliwy wzrost ce</w:t>
            </w:r>
            <w:r w:rsidR="00E76D60">
              <w:rPr>
                <w:rFonts w:ascii="Times New Roman" w:hAnsi="Times New Roman"/>
                <w:spacing w:val="-2"/>
              </w:rPr>
              <w:t xml:space="preserve">n świadectw pochodzenia </w:t>
            </w:r>
            <w:r w:rsidR="00CA5325">
              <w:rPr>
                <w:rFonts w:ascii="Times New Roman" w:hAnsi="Times New Roman"/>
                <w:spacing w:val="-2"/>
              </w:rPr>
              <w:t xml:space="preserve">nie </w:t>
            </w:r>
            <w:r w:rsidR="00E552DA">
              <w:rPr>
                <w:rFonts w:ascii="Times New Roman" w:hAnsi="Times New Roman"/>
                <w:spacing w:val="-2"/>
              </w:rPr>
              <w:t>do</w:t>
            </w:r>
            <w:r w:rsidR="005E03AC" w:rsidRPr="00C16956">
              <w:rPr>
                <w:rFonts w:ascii="Times New Roman" w:hAnsi="Times New Roman"/>
                <w:spacing w:val="-2"/>
              </w:rPr>
              <w:t xml:space="preserve">prowadzi do nadmiernego obciążenia odbiorców </w:t>
            </w:r>
            <w:r w:rsidR="00652797" w:rsidRPr="00C16956">
              <w:rPr>
                <w:rFonts w:ascii="Times New Roman" w:hAnsi="Times New Roman"/>
                <w:spacing w:val="-2"/>
              </w:rPr>
              <w:t>końcowych</w:t>
            </w:r>
            <w:r w:rsidR="00D42BE0">
              <w:rPr>
                <w:rFonts w:ascii="Times New Roman" w:hAnsi="Times New Roman"/>
                <w:spacing w:val="-2"/>
              </w:rPr>
              <w:t xml:space="preserve"> ani nadmiernego wsparcia wytwórców </w:t>
            </w:r>
            <w:proofErr w:type="spellStart"/>
            <w:r w:rsidR="00D42BE0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CA5325">
              <w:rPr>
                <w:rFonts w:ascii="Times New Roman" w:hAnsi="Times New Roman"/>
                <w:spacing w:val="-2"/>
              </w:rPr>
              <w:t xml:space="preserve">. </w:t>
            </w:r>
          </w:p>
          <w:p w14:paraId="2C1AD4E6" w14:textId="017A2D94" w:rsidR="00AA51D3" w:rsidRPr="00C16956" w:rsidRDefault="002331F6" w:rsidP="00C1695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16956">
              <w:rPr>
                <w:rFonts w:ascii="Times New Roman" w:hAnsi="Times New Roman"/>
                <w:spacing w:val="-2"/>
              </w:rPr>
              <w:t xml:space="preserve">Projektowane rozporządzenie jest właściwą formą uregulowania systemu </w:t>
            </w:r>
            <w:r w:rsidR="00DE12DE">
              <w:rPr>
                <w:rFonts w:ascii="Times New Roman" w:hAnsi="Times New Roman"/>
                <w:spacing w:val="-2"/>
              </w:rPr>
              <w:t>świadectw pochodzenia</w:t>
            </w:r>
            <w:r w:rsidRPr="00C16956">
              <w:rPr>
                <w:rFonts w:ascii="Times New Roman" w:hAnsi="Times New Roman"/>
                <w:spacing w:val="-2"/>
              </w:rPr>
              <w:t xml:space="preserve">. Należy jednocześnie wskazać, że nie istnieje inna możliwość unormowania tej kwestii, co wynika z upoważnienia ustawowego zawartego w art. 60 ustawy </w:t>
            </w:r>
            <w:r w:rsidR="0087343B">
              <w:rPr>
                <w:rFonts w:ascii="Times New Roman" w:hAnsi="Times New Roman"/>
                <w:spacing w:val="-2"/>
              </w:rPr>
              <w:t xml:space="preserve">o </w:t>
            </w:r>
            <w:proofErr w:type="spellStart"/>
            <w:r w:rsidR="0087343B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="0087343B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6A701A" w:rsidRPr="00A87B3A" w14:paraId="0BC804EE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D70CF28" w14:textId="77777777" w:rsidR="006A701A" w:rsidRPr="00A87B3A" w:rsidRDefault="009E3C4B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A87B3A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A87B3A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A87B3A" w14:paraId="6643E08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C1755D0" w14:textId="07689F22" w:rsidR="006A701A" w:rsidRPr="00A87B3A" w:rsidRDefault="002331F6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color w:val="000000"/>
                <w:spacing w:val="-2"/>
              </w:rPr>
              <w:t>Brak analogicznych rozwiązań w innych krajach, w szczególności w krajach członkowskich OECD/UE.</w:t>
            </w:r>
          </w:p>
        </w:tc>
      </w:tr>
      <w:tr w:rsidR="006A701A" w:rsidRPr="00A87B3A" w14:paraId="12A33B47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50A992D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A87B3A" w14:paraId="05552CDB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B25C3CC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2D53B02" w14:textId="77777777" w:rsidR="00260F33" w:rsidRPr="00A87B3A" w:rsidRDefault="00563199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94583A9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A87B3A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1AD8AC42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A87B3A" w14:paraId="53AAC0AE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FA68EF9" w14:textId="14E86E8C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Przedsiębiorstwa obrotu energią elektryczną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23C7AFE4" w14:textId="00E6B882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color w:val="000000"/>
                <w:spacing w:val="-2"/>
              </w:rPr>
              <w:t xml:space="preserve">Ok. </w:t>
            </w:r>
            <w:r w:rsidR="00B03103">
              <w:rPr>
                <w:rFonts w:ascii="Times New Roman" w:hAnsi="Times New Roman"/>
                <w:color w:val="000000"/>
                <w:spacing w:val="-2"/>
              </w:rPr>
              <w:t>423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EB3719B" w14:textId="2E30FB10" w:rsidR="00260F33" w:rsidRPr="00A87B3A" w:rsidRDefault="00B03103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Raport z działalności Prezesa</w:t>
            </w:r>
            <w:r w:rsidR="002331F6" w:rsidRPr="000D3032">
              <w:rPr>
                <w:rFonts w:ascii="Times New Roman" w:hAnsi="Times New Roman"/>
                <w:color w:val="000000"/>
                <w:spacing w:val="-2"/>
              </w:rPr>
              <w:t xml:space="preserve"> Urzędu Regulacji Energetyki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za 2023 rok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51A0E7F" w14:textId="281C704D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  <w:spacing w:val="-2"/>
              </w:rPr>
              <w:t>Obowiązek pozyskania odpowiedniego udziału sprzedawanej energii</w:t>
            </w:r>
            <w:r w:rsidRPr="000D3032">
              <w:rPr>
                <w:rFonts w:ascii="Times New Roman" w:hAnsi="Times New Roman"/>
                <w:color w:val="000000"/>
                <w:spacing w:val="-2"/>
              </w:rPr>
              <w:br/>
              <w:t>z</w:t>
            </w:r>
            <w:r>
              <w:rPr>
                <w:rFonts w:ascii="Times New Roman" w:hAnsi="Times New Roman"/>
                <w:color w:val="000000"/>
                <w:spacing w:val="-2"/>
              </w:rPr>
              <w:t>e źródeł</w:t>
            </w:r>
            <w:r w:rsidRPr="000D3032">
              <w:rPr>
                <w:rFonts w:ascii="Times New Roman" w:hAnsi="Times New Roman"/>
                <w:color w:val="000000"/>
                <w:spacing w:val="-2"/>
              </w:rPr>
              <w:t xml:space="preserve"> odnawialnych</w:t>
            </w:r>
          </w:p>
        </w:tc>
      </w:tr>
      <w:tr w:rsidR="00260F33" w:rsidRPr="00A87B3A" w14:paraId="2FDE3E7F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8AEA2EF" w14:textId="4FF7FD51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color w:val="000000"/>
              </w:rPr>
              <w:t>Producenci energii</w:t>
            </w:r>
            <w:r w:rsidRPr="002331F6">
              <w:rPr>
                <w:rFonts w:ascii="Times New Roman" w:hAnsi="Times New Roman"/>
                <w:color w:val="000000"/>
              </w:rPr>
              <w:br/>
              <w:t>z odnawialnych źródeł energii</w:t>
            </w:r>
            <w:r w:rsidR="00E8708F">
              <w:rPr>
                <w:rFonts w:ascii="Times New Roman" w:hAnsi="Times New Roman"/>
                <w:color w:val="000000"/>
              </w:rPr>
              <w:t>, uczestniczący w systemie świadectw pochodzenia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EAD8EDB" w14:textId="11D5C01B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Ok. </w:t>
            </w:r>
            <w:r w:rsidR="00E8708F">
              <w:rPr>
                <w:rFonts w:ascii="Times New Roman" w:hAnsi="Times New Roman"/>
                <w:color w:val="000000"/>
                <w:spacing w:val="-2"/>
              </w:rPr>
              <w:t>1 100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34E2DD8" w14:textId="022F51CD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  <w:spacing w:val="-2"/>
              </w:rPr>
              <w:t>Urz</w:t>
            </w:r>
            <w:r w:rsidR="00E8708F">
              <w:rPr>
                <w:rFonts w:ascii="Times New Roman" w:hAnsi="Times New Roman"/>
                <w:color w:val="000000"/>
                <w:spacing w:val="-2"/>
              </w:rPr>
              <w:t>ą</w:t>
            </w:r>
            <w:r w:rsidRPr="000D3032">
              <w:rPr>
                <w:rFonts w:ascii="Times New Roman" w:hAnsi="Times New Roman"/>
                <w:color w:val="000000"/>
                <w:spacing w:val="-2"/>
              </w:rPr>
              <w:t>d Regulacji Energetyki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941797C" w14:textId="660D0B7E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  <w:spacing w:val="-2"/>
              </w:rPr>
              <w:t>Utrzymanie opłacalności finansowej instalacji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OZE</w:t>
            </w:r>
            <w:proofErr w:type="spellEnd"/>
          </w:p>
        </w:tc>
      </w:tr>
      <w:tr w:rsidR="00260F33" w:rsidRPr="00A87B3A" w14:paraId="441B8BA0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C106DAB" w14:textId="4020B4F6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</w:rPr>
              <w:t>Towarowa Giełda Energii S.A.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D4C29AA" w14:textId="35335A59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DE73202" w14:textId="47333525" w:rsidR="00260F33" w:rsidRPr="00A87B3A" w:rsidRDefault="00260F33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14:paraId="797622A2" w14:textId="1D7ED298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  <w:spacing w:val="-2"/>
              </w:rPr>
              <w:t>Obowiązki rozliczeniowe</w:t>
            </w:r>
          </w:p>
        </w:tc>
      </w:tr>
      <w:tr w:rsidR="00260F33" w:rsidRPr="00A87B3A" w14:paraId="5F1F4EF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FC84CD1" w14:textId="6FDDDBEA" w:rsidR="00260F33" w:rsidRPr="00A87B3A" w:rsidRDefault="002331F6" w:rsidP="009629CE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D3032">
              <w:rPr>
                <w:rFonts w:ascii="Times New Roman" w:hAnsi="Times New Roman"/>
                <w:color w:val="000000"/>
              </w:rPr>
              <w:t>Urząd Regulacji Energetyki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237EA01" w14:textId="2A9940B3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61920C5" w14:textId="128AB6FE" w:rsidR="00260F33" w:rsidRPr="00A87B3A" w:rsidRDefault="00260F33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14:paraId="6D0B21DF" w14:textId="2561C153" w:rsidR="00260F33" w:rsidRPr="00A87B3A" w:rsidRDefault="002331F6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D3032">
              <w:rPr>
                <w:rFonts w:ascii="Times New Roman" w:hAnsi="Times New Roman"/>
                <w:color w:val="000000"/>
                <w:spacing w:val="-2"/>
              </w:rPr>
              <w:t>Obowiązki rejestrowe</w:t>
            </w:r>
            <w:r w:rsidRPr="000D3032">
              <w:rPr>
                <w:rFonts w:ascii="Times New Roman" w:hAnsi="Times New Roman"/>
                <w:color w:val="000000"/>
                <w:spacing w:val="-2"/>
              </w:rPr>
              <w:br/>
              <w:t>i kontrolne</w:t>
            </w:r>
          </w:p>
        </w:tc>
      </w:tr>
      <w:tr w:rsidR="006A701A" w:rsidRPr="00A87B3A" w14:paraId="69B3A722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D9F7760" w14:textId="77777777" w:rsidR="006A701A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A87B3A">
              <w:rPr>
                <w:rFonts w:ascii="Times New Roman" w:hAnsi="Times New Roman"/>
                <w:b/>
                <w:color w:val="000000"/>
              </w:rPr>
              <w:t>,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A87B3A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A87B3A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A87B3A" w14:paraId="0A8C817F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2C1FAB6E" w14:textId="604DD6C0" w:rsidR="00CB6F96" w:rsidRDefault="00CB6F96" w:rsidP="00BC26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2BE0">
              <w:rPr>
                <w:rFonts w:ascii="Times New Roman" w:hAnsi="Times New Roman"/>
                <w:color w:val="000000"/>
                <w:spacing w:val="-2"/>
              </w:rPr>
              <w:t xml:space="preserve">Projekt nie był przedmiotem </w:t>
            </w:r>
            <w:proofErr w:type="spellStart"/>
            <w:r w:rsidRPr="00D42BE0">
              <w:rPr>
                <w:rFonts w:ascii="Times New Roman" w:hAnsi="Times New Roman"/>
                <w:color w:val="000000"/>
                <w:spacing w:val="-2"/>
              </w:rPr>
              <w:t>pre</w:t>
            </w:r>
            <w:proofErr w:type="spellEnd"/>
            <w:r w:rsidRPr="00D42BE0">
              <w:rPr>
                <w:rFonts w:ascii="Times New Roman" w:hAnsi="Times New Roman"/>
                <w:color w:val="000000"/>
                <w:spacing w:val="-2"/>
              </w:rPr>
              <w:t>-konsultacji.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60059E6" w14:textId="71BA517D" w:rsidR="00CB6F96" w:rsidRDefault="00CB6F96" w:rsidP="00BC26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B6F96">
              <w:rPr>
                <w:rFonts w:ascii="Times New Roman" w:hAnsi="Times New Roman"/>
                <w:color w:val="000000"/>
                <w:spacing w:val="-2"/>
              </w:rPr>
              <w:t>Projekt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zgodnie z art. 5 ustawy z dnia 7 lipca 2005 r. o działalności lobbingowej w procesie stanowienia prawa</w:t>
            </w:r>
            <w:r w:rsidR="00F849E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97C90">
              <w:rPr>
                <w:rFonts w:ascii="Times New Roman" w:hAnsi="Times New Roman"/>
                <w:color w:val="000000"/>
                <w:spacing w:val="-2"/>
              </w:rPr>
              <w:t>(</w:t>
            </w:r>
            <w:r w:rsidR="00F849EE" w:rsidRPr="002B0D35">
              <w:rPr>
                <w:rFonts w:ascii="Times New Roman" w:hAnsi="Times New Roman"/>
              </w:rPr>
              <w:t>Dz. U. z</w:t>
            </w:r>
            <w:r w:rsidR="00F849EE">
              <w:rPr>
                <w:rFonts w:ascii="Times New Roman" w:hAnsi="Times New Roman"/>
              </w:rPr>
              <w:t> </w:t>
            </w:r>
            <w:r w:rsidR="00F849EE" w:rsidRPr="002B0D35">
              <w:rPr>
                <w:rFonts w:ascii="Times New Roman" w:hAnsi="Times New Roman"/>
              </w:rPr>
              <w:t>2017</w:t>
            </w:r>
            <w:r w:rsidR="00F849EE">
              <w:rPr>
                <w:rFonts w:ascii="Times New Roman" w:hAnsi="Times New Roman"/>
              </w:rPr>
              <w:t> </w:t>
            </w:r>
            <w:r w:rsidR="00F849EE" w:rsidRPr="002B0D35">
              <w:rPr>
                <w:rFonts w:ascii="Times New Roman" w:hAnsi="Times New Roman"/>
              </w:rPr>
              <w:t>r. poz. 248)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i § 52 uchwały nr 190 Rady Ministrów z dnia 29 października 2013 r. – Regulamin pracy Rady Ministrów</w:t>
            </w:r>
            <w:r w:rsidR="00797F5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97F5C">
              <w:rPr>
                <w:rFonts w:ascii="Times New Roman" w:hAnsi="Times New Roman"/>
                <w:color w:val="000000"/>
                <w:spacing w:val="-2"/>
              </w:rPr>
              <w:lastRenderedPageBreak/>
              <w:t>(</w:t>
            </w:r>
            <w:proofErr w:type="spellStart"/>
            <w:r w:rsidR="00797F5C" w:rsidRPr="00797F5C">
              <w:rPr>
                <w:rFonts w:ascii="Times New Roman" w:hAnsi="Times New Roman"/>
                <w:color w:val="000000"/>
                <w:spacing w:val="-2"/>
              </w:rPr>
              <w:t>M.P</w:t>
            </w:r>
            <w:proofErr w:type="spellEnd"/>
            <w:r w:rsidR="00797F5C" w:rsidRPr="00797F5C">
              <w:rPr>
                <w:rFonts w:ascii="Times New Roman" w:hAnsi="Times New Roman"/>
                <w:color w:val="000000"/>
                <w:spacing w:val="-2"/>
              </w:rPr>
              <w:t>. z 2022 r. poz. 348)</w:t>
            </w:r>
            <w:r w:rsidR="00E37030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zosta</w:t>
            </w:r>
            <w:r w:rsidR="00122033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</w:t>
            </w:r>
            <w:r w:rsidR="00E37030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na stronie podmiotowej Rządowego Centrum Legislacji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w serwisie Rządowy Proces Legislacyjny. </w:t>
            </w:r>
          </w:p>
          <w:p w14:paraId="6685BC92" w14:textId="10FD144A" w:rsidR="00CB6F96" w:rsidRPr="00CB6F96" w:rsidRDefault="0028187D" w:rsidP="00BC26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bookmarkStart w:id="3" w:name="_Hlk129075506"/>
            <w:r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122033">
              <w:rPr>
                <w:rFonts w:ascii="Times New Roman" w:hAnsi="Times New Roman"/>
                <w:color w:val="000000"/>
                <w:spacing w:val="-2"/>
              </w:rPr>
              <w:t xml:space="preserve">ł 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przekazany do konsultacji </w:t>
            </w:r>
            <w:r w:rsidR="00F849EE">
              <w:rPr>
                <w:rFonts w:ascii="Times New Roman" w:hAnsi="Times New Roman"/>
                <w:color w:val="000000"/>
                <w:spacing w:val="-2"/>
              </w:rPr>
              <w:t xml:space="preserve">na </w:t>
            </w:r>
            <w:r w:rsidR="00BC2628">
              <w:rPr>
                <w:rFonts w:ascii="Times New Roman" w:hAnsi="Times New Roman"/>
                <w:color w:val="000000"/>
                <w:spacing w:val="-2"/>
              </w:rPr>
              <w:t>10</w:t>
            </w:r>
            <w:r w:rsidR="00EA200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B6F96">
              <w:rPr>
                <w:rFonts w:ascii="Times New Roman" w:hAnsi="Times New Roman"/>
                <w:color w:val="000000"/>
                <w:spacing w:val="-2"/>
              </w:rPr>
              <w:t xml:space="preserve">dni 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do następujących podmiotów: </w:t>
            </w:r>
          </w:p>
          <w:p w14:paraId="4D898547" w14:textId="1217636C" w:rsidR="00AF02B4" w:rsidRDefault="00AF02B4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bookmarkStart w:id="4" w:name="_Hlk171065118"/>
            <w:r w:rsidRPr="00AF02B4">
              <w:rPr>
                <w:rFonts w:ascii="Times New Roman" w:hAnsi="Times New Roman"/>
                <w:bCs/>
                <w:color w:val="000000"/>
                <w:spacing w:val="-2"/>
              </w:rPr>
              <w:t>CEZ Polska Sp. z o.o.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6E47F140" w14:textId="15B4A0CD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proofErr w:type="spellStart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EC</w:t>
            </w:r>
            <w:proofErr w:type="spellEnd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 </w:t>
            </w:r>
            <w:proofErr w:type="spellStart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BREC</w:t>
            </w:r>
            <w:proofErr w:type="spellEnd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 Instytut Energetyki Odnawialnej;</w:t>
            </w:r>
          </w:p>
          <w:p w14:paraId="5A826D43" w14:textId="54F3BCDC" w:rsidR="00AF02B4" w:rsidRPr="002331F6" w:rsidRDefault="00AF02B4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ENEA S.A.;</w:t>
            </w:r>
          </w:p>
          <w:p w14:paraId="3986444F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Fundacja na rzecz Energetyki Zrównoważonej;</w:t>
            </w:r>
          </w:p>
          <w:p w14:paraId="04B3C8CF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Inicjatywa dla Środowiska, Energii i </w:t>
            </w:r>
            <w:proofErr w:type="spellStart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Elektromobilności</w:t>
            </w:r>
            <w:proofErr w:type="spellEnd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46036372" w14:textId="70767F91" w:rsidR="00E8708F" w:rsidRPr="00CB4B94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Instytut Gospodarki Nieruchomościami;</w:t>
            </w:r>
          </w:p>
          <w:p w14:paraId="350E86BC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Instytut na Rzecz Ekorozwoju;</w:t>
            </w:r>
          </w:p>
          <w:p w14:paraId="2EBDA061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Izba Energetyki Przemysłowej i Odbiorców Energii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2823FB33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Izba Gospodarcza Ciepłownictwo Polskie;</w:t>
            </w:r>
          </w:p>
          <w:p w14:paraId="253F81E4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Izba Gospodarcza Energetyki i Ochrony Środowiska;</w:t>
            </w:r>
          </w:p>
          <w:p w14:paraId="07689132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Izba Gospodarcza Wodociągi Polskie;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 </w:t>
            </w:r>
          </w:p>
          <w:p w14:paraId="2713722E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Krajowa Izba Gospodarcza;</w:t>
            </w:r>
          </w:p>
          <w:p w14:paraId="3EB0E5C9" w14:textId="6BBDC424" w:rsidR="002331F6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8708F">
              <w:rPr>
                <w:rFonts w:ascii="Times New Roman" w:hAnsi="Times New Roman"/>
                <w:bCs/>
                <w:color w:val="000000"/>
                <w:spacing w:val="-2"/>
              </w:rPr>
              <w:t>Orlen S.A.;</w:t>
            </w:r>
          </w:p>
          <w:p w14:paraId="1AF9A04E" w14:textId="6FEFAB00" w:rsidR="00AF02B4" w:rsidRDefault="00AF02B4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PAK S.A.;</w:t>
            </w:r>
          </w:p>
          <w:p w14:paraId="5CB9CEDD" w14:textId="6F0B68C2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2"/>
              </w:rPr>
              <w:t>PGE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 S.A.;</w:t>
            </w:r>
          </w:p>
          <w:p w14:paraId="381EE6B9" w14:textId="705021CC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proofErr w:type="spellStart"/>
            <w:r w:rsidRPr="00EC1C89">
              <w:rPr>
                <w:rFonts w:ascii="Times New Roman" w:hAnsi="Times New Roman"/>
                <w:color w:val="000000"/>
                <w:spacing w:val="-2"/>
              </w:rPr>
              <w:t>Polenergia</w:t>
            </w:r>
            <w:proofErr w:type="spellEnd"/>
            <w:r w:rsidRPr="00EC1C8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EC1C89">
              <w:rPr>
                <w:rFonts w:ascii="Times New Roman" w:hAnsi="Times New Roman"/>
                <w:color w:val="000000"/>
                <w:spacing w:val="-2"/>
              </w:rPr>
              <w:t>S.A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5DE7D2E" w14:textId="40E77ED9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Polska Geotermalna Asocjacja;</w:t>
            </w:r>
          </w:p>
          <w:p w14:paraId="1E9B68C9" w14:textId="0C7777C0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364C35">
              <w:rPr>
                <w:rFonts w:ascii="Times New Roman" w:hAnsi="Times New Roman"/>
                <w:bCs/>
                <w:color w:val="000000"/>
                <w:spacing w:val="-2"/>
              </w:rPr>
              <w:t>Polska Izba Biomasy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15700CF1" w14:textId="77777777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Polska Izba Gospodarcza Energii Odnawialnej i Rozproszonej;</w:t>
            </w:r>
          </w:p>
          <w:p w14:paraId="7198322A" w14:textId="0E0EE3F4" w:rsidR="00DC6D3F" w:rsidRDefault="00DC6D3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Polska Organizacja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2"/>
              </w:rPr>
              <w:t>Biometanu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3F895E8D" w14:textId="7D62A5E1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Polska Organizacja Rozwoju Technologii Pomp Ciepła;</w:t>
            </w:r>
          </w:p>
          <w:p w14:paraId="5C2C87B3" w14:textId="77777777" w:rsidR="00364C35" w:rsidRPr="002331F6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 Komitet Energii Elektrycznej;</w:t>
            </w:r>
          </w:p>
          <w:p w14:paraId="236C26B7" w14:textId="6A1A8DE4" w:rsidR="002331F6" w:rsidRPr="002331F6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Polskie Sieci Elektroenergetyczne S.A.;</w:t>
            </w:r>
          </w:p>
          <w:p w14:paraId="36194720" w14:textId="77777777" w:rsidR="002331F6" w:rsidRPr="002331F6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Polskie Stowarzyszenie Producentów Biogazu Rolniczego;</w:t>
            </w:r>
          </w:p>
          <w:p w14:paraId="101D38E0" w14:textId="77777777" w:rsidR="002331F6" w:rsidRPr="002331F6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Polskie Stowarzyszenie Energetyki Wiatrowej;</w:t>
            </w:r>
          </w:p>
          <w:p w14:paraId="05B0DF08" w14:textId="77777777" w:rsidR="002331F6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Polskie Stowarzyszenie Geotermiczne;</w:t>
            </w:r>
          </w:p>
          <w:p w14:paraId="0F81AD0C" w14:textId="77777777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Polskie Stowarzyszenie Energetyki Słonecznej;</w:t>
            </w:r>
          </w:p>
          <w:p w14:paraId="7CD86ABD" w14:textId="77777777" w:rsidR="00364C35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Polskie Stowarzyszenie </w:t>
            </w:r>
            <w:proofErr w:type="spellStart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Fotowoltaiki</w:t>
            </w:r>
            <w:proofErr w:type="spellEnd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6BFF2F95" w14:textId="77777777" w:rsidR="002331F6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364C35">
              <w:rPr>
                <w:rFonts w:ascii="Times New Roman" w:hAnsi="Times New Roman"/>
                <w:bCs/>
                <w:color w:val="000000"/>
                <w:spacing w:val="-2"/>
              </w:rPr>
              <w:t xml:space="preserve">Polskie Towarzystwo </w:t>
            </w:r>
            <w:proofErr w:type="spellStart"/>
            <w:r w:rsidRPr="00364C35">
              <w:rPr>
                <w:rFonts w:ascii="Times New Roman" w:hAnsi="Times New Roman"/>
                <w:bCs/>
                <w:color w:val="000000"/>
                <w:spacing w:val="-2"/>
              </w:rPr>
              <w:t>Fotowoltaiki</w:t>
            </w:r>
            <w:proofErr w:type="spellEnd"/>
            <w:r w:rsidRPr="00364C35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0A702A30" w14:textId="77777777" w:rsidR="00364C35" w:rsidRPr="002331F6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Polskie Towarzystwo </w:t>
            </w:r>
            <w:proofErr w:type="spellStart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Przesyłu</w:t>
            </w:r>
            <w:proofErr w:type="spellEnd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 i Rozdziału Energii Elektrycznej;</w:t>
            </w:r>
          </w:p>
          <w:p w14:paraId="0C0F366D" w14:textId="77777777" w:rsidR="00364C35" w:rsidRPr="002331F6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Polskie Towarzystwo Elektrociepłowni Zawodowych;</w:t>
            </w:r>
          </w:p>
          <w:p w14:paraId="78BDF8F9" w14:textId="0DB2B7C2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 xml:space="preserve">Stowarzyszenie Branży Fotowoltaicznej – Polska </w:t>
            </w:r>
            <w:proofErr w:type="spellStart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PV</w:t>
            </w:r>
            <w:proofErr w:type="spellEnd"/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57879371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Stowarzyszenie Energii Odnawialnej;</w:t>
            </w:r>
          </w:p>
          <w:p w14:paraId="12BD6AA0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Stowarzyszenie Małej Energetyki Wiatrowej;</w:t>
            </w:r>
          </w:p>
          <w:p w14:paraId="0FF292FC" w14:textId="5F71EC21" w:rsidR="00364C35" w:rsidRPr="002331F6" w:rsidRDefault="00364C35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364C35">
              <w:rPr>
                <w:rFonts w:ascii="Times New Roman" w:hAnsi="Times New Roman"/>
                <w:bCs/>
                <w:color w:val="000000"/>
                <w:spacing w:val="-2"/>
              </w:rPr>
              <w:t>Stowarzyszenie Producentów Cementu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380148DA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Stowarzyszenie Producentów Energii z Odpadów;</w:t>
            </w:r>
          </w:p>
          <w:p w14:paraId="2454A5C5" w14:textId="77777777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Stowarzyszenie Papierników Polskich;</w:t>
            </w:r>
          </w:p>
          <w:p w14:paraId="15E1CFB1" w14:textId="3FDF6502" w:rsidR="00DC6D3F" w:rsidRPr="00DE12DE" w:rsidRDefault="00DC6D3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DE12DE">
              <w:rPr>
                <w:rFonts w:ascii="Times New Roman" w:hAnsi="Times New Roman"/>
                <w:bCs/>
                <w:color w:val="000000"/>
                <w:spacing w:val="-2"/>
              </w:rPr>
              <w:t>Tauron Polska Energia S.A.;</w:t>
            </w:r>
          </w:p>
          <w:p w14:paraId="06D96BD2" w14:textId="6B55BC4A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Towarzystwo Gospodarcze Polskie Elektrownie;</w:t>
            </w:r>
          </w:p>
          <w:p w14:paraId="60C1EE13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Towarzystwo Rozwoju Małych Elektrowni Wodnych;</w:t>
            </w:r>
          </w:p>
          <w:p w14:paraId="0AD72AEB" w14:textId="77777777" w:rsidR="00E8708F" w:rsidRPr="002331F6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Towarzystwo Elektrowni Wodnych;</w:t>
            </w:r>
          </w:p>
          <w:p w14:paraId="3A26D037" w14:textId="27CFDD4A" w:rsidR="00E8708F" w:rsidRDefault="00E8708F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6440B9">
              <w:rPr>
                <w:rFonts w:ascii="Times New Roman" w:hAnsi="Times New Roman"/>
                <w:bCs/>
                <w:color w:val="000000"/>
                <w:spacing w:val="-2"/>
              </w:rPr>
              <w:t>Unia Producentów i Pracodawców Przemysłu Biogazowego</w:t>
            </w:r>
            <w:r w:rsidR="00AF02B4">
              <w:rPr>
                <w:rFonts w:ascii="Times New Roman" w:hAnsi="Times New Roman"/>
                <w:bCs/>
                <w:color w:val="000000"/>
                <w:spacing w:val="-2"/>
              </w:rPr>
              <w:t xml:space="preserve"> i </w:t>
            </w:r>
            <w:proofErr w:type="spellStart"/>
            <w:r w:rsidR="00AF02B4">
              <w:rPr>
                <w:rFonts w:ascii="Times New Roman" w:hAnsi="Times New Roman"/>
                <w:bCs/>
                <w:color w:val="000000"/>
                <w:spacing w:val="-2"/>
              </w:rPr>
              <w:t>Biometanowego</w:t>
            </w:r>
            <w:proofErr w:type="spellEnd"/>
            <w:r w:rsidRPr="006440B9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619E706C" w14:textId="36973114" w:rsidR="00AF02B4" w:rsidRPr="006440B9" w:rsidRDefault="00AF02B4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proofErr w:type="spellStart"/>
            <w:r w:rsidRPr="00AF02B4">
              <w:rPr>
                <w:rFonts w:ascii="Times New Roman" w:hAnsi="Times New Roman"/>
                <w:bCs/>
                <w:color w:val="000000"/>
                <w:spacing w:val="-2"/>
              </w:rPr>
              <w:t>Veolia</w:t>
            </w:r>
            <w:proofErr w:type="spellEnd"/>
            <w:r w:rsidRPr="00AF02B4">
              <w:rPr>
                <w:rFonts w:ascii="Times New Roman" w:hAnsi="Times New Roman"/>
                <w:bCs/>
                <w:color w:val="000000"/>
                <w:spacing w:val="-2"/>
              </w:rPr>
              <w:t xml:space="preserve"> Energia Polska S.A.</w:t>
            </w:r>
            <w:r w:rsidR="006A45AA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24ADFF42" w14:textId="77777777" w:rsidR="00982ED8" w:rsidRDefault="002331F6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Związek Banków Polskich</w:t>
            </w:r>
            <w:r w:rsidR="00982ED8">
              <w:rPr>
                <w:rFonts w:ascii="Times New Roman" w:hAnsi="Times New Roman"/>
                <w:bCs/>
                <w:color w:val="000000"/>
                <w:spacing w:val="-2"/>
              </w:rPr>
              <w:t xml:space="preserve">; </w:t>
            </w:r>
          </w:p>
          <w:p w14:paraId="26FB8777" w14:textId="550D09F4" w:rsidR="002331F6" w:rsidRDefault="00982ED8" w:rsidP="00CB4B94">
            <w:pPr>
              <w:pStyle w:val="Akapitzlist"/>
              <w:numPr>
                <w:ilvl w:val="0"/>
                <w:numId w:val="22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Towarowa Giełda Energii S.A.</w:t>
            </w:r>
          </w:p>
          <w:bookmarkEnd w:id="3"/>
          <w:bookmarkEnd w:id="4"/>
          <w:p w14:paraId="3A7CCF61" w14:textId="5303449D" w:rsidR="00CB6F96" w:rsidRPr="00CB6F96" w:rsidRDefault="00E37030" w:rsidP="00BC2628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>rojekt zosta</w:t>
            </w:r>
            <w:r w:rsidR="00122033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 przekazany do zaopiniowania </w:t>
            </w:r>
            <w:r w:rsidR="00F849EE">
              <w:rPr>
                <w:rFonts w:ascii="Times New Roman" w:hAnsi="Times New Roman"/>
                <w:color w:val="000000"/>
                <w:spacing w:val="-2"/>
              </w:rPr>
              <w:t xml:space="preserve">na </w:t>
            </w:r>
            <w:r w:rsidR="00BC2628">
              <w:rPr>
                <w:rFonts w:ascii="Times New Roman" w:hAnsi="Times New Roman"/>
                <w:color w:val="000000"/>
                <w:spacing w:val="-2"/>
              </w:rPr>
              <w:t>10</w:t>
            </w:r>
            <w:r w:rsidR="00BC2628" w:rsidRPr="00CB6F9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>dni następującym podmiotom:</w:t>
            </w:r>
          </w:p>
          <w:p w14:paraId="79D8FA6F" w14:textId="43B9B927" w:rsidR="002331F6" w:rsidRPr="002331F6" w:rsidRDefault="00E8708F" w:rsidP="00CB4B94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 </w:t>
            </w:r>
            <w:r w:rsidR="002331F6" w:rsidRPr="002331F6">
              <w:rPr>
                <w:rFonts w:ascii="Times New Roman" w:hAnsi="Times New Roman"/>
                <w:bCs/>
                <w:color w:val="000000"/>
                <w:spacing w:val="-2"/>
              </w:rPr>
              <w:t>Prezes Urzędu Ochrony Konkurencji i Konsumentów;</w:t>
            </w:r>
          </w:p>
          <w:p w14:paraId="140C79ED" w14:textId="2A67FB87" w:rsidR="002331F6" w:rsidRPr="002331F6" w:rsidRDefault="002331F6" w:rsidP="00CB4B9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Prezes Urzędu Regulacji Energetyki;</w:t>
            </w:r>
          </w:p>
          <w:p w14:paraId="3DAE277B" w14:textId="03E7F3B3" w:rsidR="002331F6" w:rsidRPr="002331F6" w:rsidRDefault="002331F6" w:rsidP="00CB4B9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Prezes Prokuratorii Generalnej Rzeczypospolitej Polskiej;</w:t>
            </w:r>
          </w:p>
          <w:p w14:paraId="5D2D5DDE" w14:textId="064ECCD2" w:rsidR="002331F6" w:rsidRPr="002331F6" w:rsidRDefault="002331F6" w:rsidP="00CB4B9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769" w:hanging="425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2331F6">
              <w:rPr>
                <w:rFonts w:ascii="Times New Roman" w:hAnsi="Times New Roman"/>
                <w:bCs/>
                <w:color w:val="000000"/>
                <w:spacing w:val="-2"/>
              </w:rPr>
              <w:t>Rzecznik Małych i Średnich Przedsiębiorców.</w:t>
            </w:r>
          </w:p>
          <w:p w14:paraId="286AF334" w14:textId="2AF74A1F" w:rsidR="002D7FA9" w:rsidRDefault="002D7FA9" w:rsidP="00BC2628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2D7FA9">
              <w:rPr>
                <w:rFonts w:ascii="Times New Roman" w:hAnsi="Times New Roman"/>
                <w:color w:val="000000"/>
                <w:lang w:eastAsia="pl-PL"/>
              </w:rPr>
              <w:t xml:space="preserve">Z uwagi na zakres projektu, który nie dotyczy zadań związków zawodowych, projekt </w:t>
            </w:r>
            <w:r w:rsidR="006440B9">
              <w:rPr>
                <w:rFonts w:ascii="Times New Roman" w:hAnsi="Times New Roman"/>
                <w:color w:val="000000"/>
                <w:lang w:eastAsia="pl-PL"/>
              </w:rPr>
              <w:t xml:space="preserve">nie </w:t>
            </w:r>
            <w:r w:rsidRPr="002D7FA9">
              <w:rPr>
                <w:rFonts w:ascii="Times New Roman" w:hAnsi="Times New Roman"/>
                <w:color w:val="000000"/>
                <w:lang w:eastAsia="pl-PL"/>
              </w:rPr>
              <w:t>podlega opiniowaniu przez reprezentatywne związki zawodowe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. </w:t>
            </w:r>
          </w:p>
          <w:p w14:paraId="1017E83C" w14:textId="42BDCC7E" w:rsidR="002D7FA9" w:rsidRPr="002D7FA9" w:rsidRDefault="002D7FA9" w:rsidP="00BC2628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D7FA9">
              <w:rPr>
                <w:rFonts w:ascii="Times New Roman" w:hAnsi="Times New Roman"/>
                <w:color w:val="000000"/>
                <w:spacing w:val="-2"/>
              </w:rPr>
              <w:t>Z uwagi na zakres projektu, który dotyczy praw i interesów związków pracodawców, projekt podlega opiniowaniu przez reprezentatywne organizacje pracodawców</w:t>
            </w:r>
            <w:r w:rsidR="00E37030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E37030">
              <w:rPr>
                <w:rFonts w:ascii="Times New Roman" w:hAnsi="Times New Roman"/>
                <w:color w:val="000000"/>
                <w:lang w:eastAsia="pl-PL"/>
              </w:rPr>
              <w:t>Projekt zosta</w:t>
            </w:r>
            <w:r w:rsidR="00122033">
              <w:rPr>
                <w:rFonts w:ascii="Times New Roman" w:hAnsi="Times New Roman"/>
                <w:color w:val="000000"/>
                <w:lang w:eastAsia="pl-PL"/>
              </w:rPr>
              <w:t>ł</w:t>
            </w:r>
            <w:r w:rsidR="00E37030">
              <w:rPr>
                <w:rFonts w:ascii="Times New Roman" w:hAnsi="Times New Roman"/>
                <w:color w:val="000000"/>
                <w:lang w:eastAsia="pl-PL"/>
              </w:rPr>
              <w:t xml:space="preserve"> przekazany </w:t>
            </w:r>
            <w:r w:rsidR="00F849EE">
              <w:rPr>
                <w:rFonts w:ascii="Times New Roman" w:hAnsi="Times New Roman"/>
                <w:color w:val="000000"/>
                <w:lang w:eastAsia="pl-PL"/>
              </w:rPr>
              <w:t xml:space="preserve">na </w:t>
            </w:r>
            <w:r w:rsidR="00BC2628">
              <w:rPr>
                <w:rFonts w:ascii="Times New Roman" w:hAnsi="Times New Roman"/>
                <w:color w:val="000000"/>
                <w:lang w:eastAsia="pl-PL"/>
              </w:rPr>
              <w:t xml:space="preserve">21 </w:t>
            </w:r>
            <w:r w:rsidR="00E37030">
              <w:rPr>
                <w:rFonts w:ascii="Times New Roman" w:hAnsi="Times New Roman"/>
                <w:color w:val="000000"/>
                <w:lang w:eastAsia="pl-PL"/>
              </w:rPr>
              <w:t>dni do następujących reprezentatywnych organizacji pracodawców:</w:t>
            </w:r>
          </w:p>
          <w:p w14:paraId="5BCBCCE6" w14:textId="0081A1A0" w:rsidR="00E8708F" w:rsidRDefault="00E8708F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103238">
              <w:rPr>
                <w:rFonts w:ascii="Times New Roman" w:hAnsi="Times New Roman"/>
                <w:bCs/>
                <w:color w:val="000000"/>
                <w:spacing w:val="-2"/>
              </w:rPr>
              <w:t>Federacja Przedsiębiorców Polskich</w:t>
            </w:r>
            <w:r w:rsidR="00DC6D3F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0CFCE317" w14:textId="66C31AE3" w:rsidR="00E8708F" w:rsidRPr="00103238" w:rsidRDefault="00E8708F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103238">
              <w:rPr>
                <w:rFonts w:ascii="Times New Roman" w:hAnsi="Times New Roman"/>
                <w:bCs/>
                <w:color w:val="000000"/>
                <w:spacing w:val="-2"/>
              </w:rPr>
              <w:t>Konfederacja Lewiatan</w:t>
            </w:r>
            <w:r w:rsidR="00DC6D3F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79DFD1C9" w14:textId="5FF1DAC4" w:rsidR="002D7FA9" w:rsidRPr="00CB4B94" w:rsidRDefault="002D7FA9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lastRenderedPageBreak/>
              <w:t>Pracodawcy RP</w:t>
            </w:r>
            <w:r w:rsidR="00DC6D3F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3EEB86A9" w14:textId="497FF656" w:rsidR="002D7FA9" w:rsidRPr="00CB4B94" w:rsidRDefault="002D7FA9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>Związek Rzemiosła Polskiego</w:t>
            </w:r>
            <w:r w:rsidR="00DC6D3F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6C99E5A5" w14:textId="7E513D81" w:rsidR="002D7FA9" w:rsidRPr="00CB4B94" w:rsidRDefault="002D7FA9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 xml:space="preserve">Związek </w:t>
            </w:r>
            <w:r w:rsidR="00DC1D3C" w:rsidRPr="00CB4B94">
              <w:rPr>
                <w:rFonts w:ascii="Times New Roman" w:hAnsi="Times New Roman"/>
                <w:bCs/>
                <w:color w:val="000000"/>
                <w:spacing w:val="-2"/>
              </w:rPr>
              <w:t>Pracodawców Business</w:t>
            </w: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 xml:space="preserve"> Centre Club</w:t>
            </w:r>
            <w:r w:rsidR="00DC6D3F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340E8102" w14:textId="77777777" w:rsidR="00221969" w:rsidRDefault="002D7FA9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>Związek Przedsiębiorców i Pracodawców</w:t>
            </w:r>
            <w:r w:rsidR="00221969">
              <w:rPr>
                <w:rFonts w:ascii="Times New Roman" w:hAnsi="Times New Roman"/>
                <w:bCs/>
                <w:color w:val="000000"/>
                <w:spacing w:val="-2"/>
              </w:rPr>
              <w:t>;</w:t>
            </w:r>
          </w:p>
          <w:p w14:paraId="3CED22D7" w14:textId="6E9AF873" w:rsidR="00D84736" w:rsidRPr="00CB4B94" w:rsidRDefault="00221969" w:rsidP="00CB4B94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Polskie Towarzystwo Gospodarcze.</w:t>
            </w:r>
          </w:p>
          <w:p w14:paraId="16E8D13E" w14:textId="37C2E614" w:rsidR="00BC2628" w:rsidRPr="00CB4B94" w:rsidRDefault="00BC2628" w:rsidP="00CB4B94">
            <w:pPr>
              <w:spacing w:before="120" w:line="240" w:lineRule="auto"/>
              <w:jc w:val="both"/>
            </w:pPr>
            <w:r w:rsidRPr="00CB4B94">
              <w:rPr>
                <w:rFonts w:ascii="Times New Roman" w:hAnsi="Times New Roman"/>
                <w:color w:val="000000"/>
                <w:spacing w:val="-2"/>
              </w:rPr>
              <w:t xml:space="preserve">Skrócenie terminu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opiniowani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 xml:space="preserve"> przez reprezentatywne organizacje pracodawców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zgodnie z art. 16 ust. 2 ustawy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z dnia 23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maja 1991 r. o organizacjach pracodawców</w:t>
            </w:r>
            <w:r>
              <w:t xml:space="preserve">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(Dz.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U. z 2022 r. poz. 97)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związku z art. 19 ust. 2 ustawy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z dnia 23 maja 1991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r.</w:t>
            </w:r>
            <w:r>
              <w:t xml:space="preserve">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o związkach zawodowych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>(Dz.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C2628">
              <w:rPr>
                <w:rFonts w:ascii="Times New Roman" w:hAnsi="Times New Roman"/>
                <w:color w:val="000000"/>
                <w:spacing w:val="-2"/>
              </w:rPr>
              <w:t xml:space="preserve">U. z 2022 r. poz. 854) </w:t>
            </w:r>
            <w:r w:rsidRPr="00CB4B94">
              <w:rPr>
                <w:rFonts w:ascii="Times New Roman" w:hAnsi="Times New Roman"/>
                <w:color w:val="000000"/>
                <w:spacing w:val="-2"/>
              </w:rPr>
              <w:t>jest</w:t>
            </w: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 xml:space="preserve"> podyktowane </w:t>
            </w:r>
            <w:r w:rsidR="00F849EE">
              <w:rPr>
                <w:rFonts w:ascii="Times New Roman" w:hAnsi="Times New Roman"/>
                <w:bCs/>
                <w:color w:val="000000"/>
                <w:spacing w:val="-2"/>
              </w:rPr>
              <w:t>koniecznością</w:t>
            </w:r>
            <w:r w:rsidR="00F849EE" w:rsidRPr="00CB4B94">
              <w:rPr>
                <w:rFonts w:ascii="Times New Roman" w:hAnsi="Times New Roman"/>
                <w:bCs/>
                <w:color w:val="000000"/>
                <w:spacing w:val="-2"/>
              </w:rPr>
              <w:t xml:space="preserve"> </w:t>
            </w: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 xml:space="preserve">wydania przedmiotowego rozporządzenia do końca sierpnia, co przekłada się na duże ryzyko przekroczenia tego terminu przy utrzymaniu 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30</w:t>
            </w: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 xml:space="preserve">-dniowego 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podstawowego terminu</w:t>
            </w:r>
            <w:r w:rsidRPr="00CB4B94">
              <w:rPr>
                <w:rFonts w:ascii="Times New Roman" w:hAnsi="Times New Roman"/>
                <w:bCs/>
                <w:color w:val="000000"/>
                <w:spacing w:val="-2"/>
              </w:rPr>
              <w:t>.</w:t>
            </w:r>
          </w:p>
          <w:p w14:paraId="087B7296" w14:textId="19BAA745" w:rsidR="00E37030" w:rsidRPr="00533DB3" w:rsidRDefault="00E37030" w:rsidP="00BC2628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12649A">
              <w:rPr>
                <w:rFonts w:ascii="Times New Roman" w:hAnsi="Times New Roman"/>
                <w:color w:val="000000"/>
                <w:lang w:eastAsia="pl-PL"/>
              </w:rPr>
              <w:t>Projekt nie podlega opiniowaniu przez Komisję Wspólną Rządu i Samorządu Terytorialnego, gdyż nie dotyczy spraw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>związanych z samorządem terytorialnym, o których mowa w ustawie z dnia 6 maja 2005 r. o Komisji Wspólnej Rządu</w:t>
            </w:r>
            <w:r w:rsidR="00797F5C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>i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>Samorządu Terytorialnego oraz o przedstawicielach Rzeczypospolitej Polskiej w Komitecie Regionów Unii Europejskiej.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  <w:p w14:paraId="29567E86" w14:textId="6BE36418" w:rsidR="00DC330E" w:rsidRDefault="00E37030" w:rsidP="00BC2628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Projekt nie dotyczy spraw, o których mowa w art. 1 ustawy z dnia 24 lipca 2015 r. o Radzie Dialogu Społecznego i innych instytucji dialogu społecznego, wobec czego nie wymaga zaopiniowania przez </w:t>
            </w:r>
            <w:proofErr w:type="spellStart"/>
            <w:r w:rsidRPr="00533DB3">
              <w:rPr>
                <w:rFonts w:ascii="Times New Roman" w:hAnsi="Times New Roman"/>
                <w:color w:val="000000"/>
                <w:lang w:eastAsia="pl-PL"/>
              </w:rPr>
              <w:t>RDS</w:t>
            </w:r>
            <w:proofErr w:type="spellEnd"/>
            <w:r w:rsidRPr="00533DB3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  <w:p w14:paraId="5553CA80" w14:textId="4A3A4D3C" w:rsidR="002E7EB1" w:rsidRPr="0078673E" w:rsidRDefault="00C22409" w:rsidP="00982ED8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E20E9">
              <w:rPr>
                <w:rFonts w:ascii="Times New Roman" w:hAnsi="Times New Roman"/>
              </w:rPr>
              <w:t>Wyniki opiniowania i konsultacji publiczny</w:t>
            </w:r>
            <w:r>
              <w:rPr>
                <w:rFonts w:ascii="Times New Roman" w:hAnsi="Times New Roman"/>
              </w:rPr>
              <w:t xml:space="preserve">ch zostaną </w:t>
            </w:r>
            <w:r w:rsidRPr="008E20E9">
              <w:rPr>
                <w:rFonts w:ascii="Times New Roman" w:hAnsi="Times New Roman"/>
              </w:rPr>
              <w:t xml:space="preserve">omówione w raporcie z konsultacji, zawierającym zestawienie przedstawionych stanowisk lub opinii i odniesienie się do nich przez organ wnioskujący, </w:t>
            </w:r>
            <w:r w:rsidR="00DE12DE" w:rsidRPr="008E20E9">
              <w:rPr>
                <w:rFonts w:ascii="Times New Roman" w:hAnsi="Times New Roman"/>
              </w:rPr>
              <w:t>udostępnionym na</w:t>
            </w:r>
            <w:r w:rsidRPr="008E20E9">
              <w:rPr>
                <w:rFonts w:ascii="Times New Roman" w:hAnsi="Times New Roman"/>
              </w:rPr>
              <w:t xml:space="preserve"> stronie Rządowego Centrum Legislacji, w zakładce Rządowy Proces Legislacyjny,</w:t>
            </w:r>
            <w:r>
              <w:rPr>
                <w:rFonts w:ascii="Times New Roman" w:hAnsi="Times New Roman"/>
              </w:rPr>
              <w:t xml:space="preserve"> </w:t>
            </w:r>
            <w:r w:rsidRPr="008E20E9">
              <w:rPr>
                <w:rFonts w:ascii="Times New Roman" w:hAnsi="Times New Roman"/>
              </w:rPr>
              <w:t>najpóźniej z dniem przekazania projektu na kolejny etap prac legislacyjnych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A701A" w:rsidRPr="00A87B3A" w14:paraId="6D7D1665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B509551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A87B3A" w14:paraId="0105ED96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72D115F4" w14:textId="77777777" w:rsidR="00260F33" w:rsidRPr="00A87B3A" w:rsidRDefault="00821717" w:rsidP="009629C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(ceny </w:t>
            </w:r>
            <w:r w:rsidR="00CF5F4F" w:rsidRPr="00A87B3A">
              <w:rPr>
                <w:rFonts w:ascii="Times New Roman" w:hAnsi="Times New Roman"/>
                <w:color w:val="000000"/>
              </w:rPr>
              <w:t>stałe</w:t>
            </w:r>
            <w:r w:rsidRPr="00A87B3A">
              <w:rPr>
                <w:rFonts w:ascii="Times New Roman" w:hAnsi="Times New Roman"/>
                <w:color w:val="000000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A4415D2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t>Skutki w okresie 10 lat od wejścia w życie zmian [</w:t>
            </w:r>
            <w:r w:rsidR="00A056CB" w:rsidRPr="00A87B3A">
              <w:rPr>
                <w:rFonts w:ascii="Times New Roman" w:hAnsi="Times New Roman"/>
                <w:color w:val="000000"/>
              </w:rPr>
              <w:t xml:space="preserve">mln </w:t>
            </w:r>
            <w:r w:rsidRPr="00A87B3A">
              <w:rPr>
                <w:rFonts w:ascii="Times New Roman" w:hAnsi="Times New Roman"/>
                <w:color w:val="000000"/>
              </w:rPr>
              <w:t>zł]</w:t>
            </w:r>
          </w:p>
        </w:tc>
      </w:tr>
      <w:tr w:rsidR="0057668E" w:rsidRPr="00A87B3A" w14:paraId="703AD465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5B78543B" w14:textId="77777777" w:rsidR="0057668E" w:rsidRPr="00A87B3A" w:rsidRDefault="0057668E" w:rsidP="009629C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324432E1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609FB3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DB9E8B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A5E38E6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B9B9E1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3F1CBCE9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C881E1F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F85F2F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685255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2B72ED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7DE4C53C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C6F9884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="00CF5F4F" w:rsidRPr="00A87B3A">
              <w:rPr>
                <w:rFonts w:ascii="Times New Roman" w:hAnsi="Times New Roman"/>
                <w:i/>
                <w:color w:val="000000"/>
                <w:spacing w:val="-2"/>
              </w:rPr>
              <w:t xml:space="preserve"> (0-10)</w:t>
            </w:r>
          </w:p>
        </w:tc>
      </w:tr>
      <w:tr w:rsidR="00E44510" w:rsidRPr="00A87B3A" w14:paraId="48DDC944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BF31BBB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87BA448" w14:textId="6320577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5A45B6" w14:textId="6AC8788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310BA5" w14:textId="3BBC735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8987915" w14:textId="47A2BB6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69E0B0" w14:textId="48FC71F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4DD9369" w14:textId="17AC6A1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36CE3F6" w14:textId="4C6DF28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3720C6A" w14:textId="30FD210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531340" w14:textId="79E894B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1668CC" w14:textId="6A9DC010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DBF3F2F" w14:textId="40DE1DA0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CE7EF8D" w14:textId="682D916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52B39938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F7F15C2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72AE6F" w14:textId="2423479D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9AB503" w14:textId="787F064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1F0203" w14:textId="3C2002F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9D29B3" w14:textId="4DC160A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556E34" w14:textId="1767ED5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17180E2" w14:textId="0EA4D57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A6A163A" w14:textId="0908E05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2E3646B" w14:textId="3493839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90434D" w14:textId="133F19F0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72A022" w14:textId="649DC29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5763D46" w14:textId="5FE0CA6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4198943" w14:textId="37303BC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122514D3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F09D6EE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87B3A">
              <w:rPr>
                <w:rFonts w:ascii="Times New Roman" w:hAnsi="Times New Roman"/>
                <w:color w:val="000000"/>
              </w:rPr>
              <w:t>JST</w:t>
            </w:r>
            <w:proofErr w:type="spellEnd"/>
          </w:p>
        </w:tc>
        <w:tc>
          <w:tcPr>
            <w:tcW w:w="569" w:type="dxa"/>
            <w:gridSpan w:val="2"/>
            <w:shd w:val="clear" w:color="auto" w:fill="FFFFFF"/>
          </w:tcPr>
          <w:p w14:paraId="47873D48" w14:textId="006EECF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46BE50" w14:textId="345DD75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FFBDA7" w14:textId="517FDF7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C1BB185" w14:textId="735E940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760CE9" w14:textId="41B8C12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4DA3F6F" w14:textId="74DDC9C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3C0314F" w14:textId="5044A9D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F306F14" w14:textId="654C3D4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2221C5" w14:textId="1419F86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762B55" w14:textId="3BFC6B0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869082A" w14:textId="2C8A8C3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06AF426" w14:textId="50729BA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6D98B0A1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39C8CEA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7D6B192" w14:textId="3A854D9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66E93C" w14:textId="0F1ABEBD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0E694D" w14:textId="31AD336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EAAC42" w14:textId="0E6182D3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DF0810" w14:textId="67D7D62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452E79" w14:textId="7B91F283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114A309" w14:textId="75344C9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FBF6A41" w14:textId="38D8EC5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5C4595" w14:textId="435AC6F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E65CA5" w14:textId="5DA2F54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B7CCEA1" w14:textId="5A32314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E0FC22A" w14:textId="57C97B3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68C088A6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5BCF592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D2596DE" w14:textId="26FE8AD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19784B" w14:textId="1014231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28D78C" w14:textId="5C998EF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E1EAE8" w14:textId="4DE487A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FD7FFA" w14:textId="5E3F8B3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C236E6A" w14:textId="2911801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64FB51F" w14:textId="726BDCA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AE42D38" w14:textId="74EFD45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A797B5" w14:textId="0C905CE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73D6D7" w14:textId="4FA7DFA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D05D903" w14:textId="5298A6E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46318F1" w14:textId="6789570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3B80F11F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D4743DD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2033CEA" w14:textId="0E2188D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44CFBA" w14:textId="6F9204C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E1C9A4" w14:textId="0A0F964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C0185D3" w14:textId="5334276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77CE84" w14:textId="46CC3F7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C3A4FC9" w14:textId="1F6C50A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4137D7B" w14:textId="2EFCE6B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AC198A5" w14:textId="2FB20EC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09DE4A" w14:textId="1949F6D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A18963" w14:textId="763B30F3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1205FE7" w14:textId="4548351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20BD898" w14:textId="1ADD9F03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3769D6FE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CAF0B0D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87B3A">
              <w:rPr>
                <w:rFonts w:ascii="Times New Roman" w:hAnsi="Times New Roman"/>
                <w:color w:val="000000"/>
              </w:rPr>
              <w:t>JST</w:t>
            </w:r>
            <w:proofErr w:type="spellEnd"/>
          </w:p>
        </w:tc>
        <w:tc>
          <w:tcPr>
            <w:tcW w:w="569" w:type="dxa"/>
            <w:gridSpan w:val="2"/>
            <w:shd w:val="clear" w:color="auto" w:fill="FFFFFF"/>
          </w:tcPr>
          <w:p w14:paraId="4247D4EE" w14:textId="378B6A0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C074D1" w14:textId="4FCF7DE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4E6544" w14:textId="130583E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C8FDEC2" w14:textId="12D91E5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619863" w14:textId="24AB1EC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91FD49F" w14:textId="195F873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52CBC9E" w14:textId="372C7BB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04CBF9B" w14:textId="5CEDEE30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5F7EB7" w14:textId="458EA06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8D116B" w14:textId="57D1D81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3E1EEAB" w14:textId="7E29F4F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D8DE3D3" w14:textId="4329F14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47C3A97C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26990BB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6E25A8E" w14:textId="7A70A600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B8E6E8" w14:textId="661DAE6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7F2CA6" w14:textId="55A2FC4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E09208" w14:textId="2E6DF41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4EF973" w14:textId="53C7B53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FC481A0" w14:textId="00D218D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0ADB097" w14:textId="4092BE8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25C660D" w14:textId="2ED797F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C3C85A" w14:textId="0BAC0ED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EA176A" w14:textId="285B769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190F494" w14:textId="2AA7B5B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103BF03" w14:textId="3B1A440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2862AAE0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849DA41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446D226" w14:textId="4E9D450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F8A9D0" w14:textId="1BB89B0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975844" w14:textId="68B5202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222263" w14:textId="4B398280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8E0934" w14:textId="2F80F14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E03F68A" w14:textId="170F2F1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916067D" w14:textId="58A4DAF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D03DB13" w14:textId="1FEE4B4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F856DE" w14:textId="62C156B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29833B" w14:textId="57E089D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C9C1639" w14:textId="7EF335C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B0D4D7D" w14:textId="79B09775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651BF372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420D84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D0D7F5C" w14:textId="026F426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DBB062" w14:textId="142148A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0A6FC7" w14:textId="07A0969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6EE669" w14:textId="78503D2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89F7B3" w14:textId="00B4FDE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BF078A6" w14:textId="3C8D85E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351645A" w14:textId="4772562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483A7D6" w14:textId="13CACD7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CAA018" w14:textId="2E29A9A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6CB386" w14:textId="5C13FB6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E3010CA" w14:textId="5362D64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50111FE" w14:textId="06AF585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351D6B19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C5742C3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87B3A">
              <w:rPr>
                <w:rFonts w:ascii="Times New Roman" w:hAnsi="Times New Roman"/>
                <w:color w:val="000000"/>
              </w:rPr>
              <w:t>JST</w:t>
            </w:r>
            <w:proofErr w:type="spellEnd"/>
          </w:p>
        </w:tc>
        <w:tc>
          <w:tcPr>
            <w:tcW w:w="569" w:type="dxa"/>
            <w:gridSpan w:val="2"/>
            <w:shd w:val="clear" w:color="auto" w:fill="FFFFFF"/>
          </w:tcPr>
          <w:p w14:paraId="3AA937B0" w14:textId="0153C0EA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CA36BA" w14:textId="5BEDA721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A2449A" w14:textId="36BE382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C2EA946" w14:textId="39477E3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520E0C3" w14:textId="3A7D108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95B55E7" w14:textId="1C56D563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FFB808B" w14:textId="086111F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E7F37A1" w14:textId="663A276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85DAE0" w14:textId="0F5EB52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2AB6D6" w14:textId="05A08E8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CB52C6C" w14:textId="11C34A9F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D760EA9" w14:textId="0FDBFC2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44510" w:rsidRPr="00A87B3A" w14:paraId="7FC2FE31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4A261BE" w14:textId="77777777" w:rsidR="00E44510" w:rsidRPr="00A87B3A" w:rsidRDefault="00E44510" w:rsidP="00E4451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48C90B0" w14:textId="051C93C6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978189" w14:textId="4731831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2513731" w14:textId="3A7D48C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0BF2525" w14:textId="06C153CE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00EE2E" w14:textId="6AEF2EA8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EBE50B8" w14:textId="4A44E652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62BA659" w14:textId="0EFB99E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3994F6B" w14:textId="60075377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88805B" w14:textId="3F585D34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B0FDA5" w14:textId="7B88073C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6FF93EE" w14:textId="0C126DA9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111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5DB0E5E" w14:textId="0565777B" w:rsidR="00E44510" w:rsidRPr="00A87B3A" w:rsidRDefault="00E44510" w:rsidP="00E4451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28B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A701A" w:rsidRPr="00A87B3A" w14:paraId="37982841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769E9A07" w14:textId="77777777" w:rsidR="006A701A" w:rsidRPr="00A87B3A" w:rsidRDefault="006A701A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74D3287" w14:textId="7322DDBC" w:rsidR="006A701A" w:rsidRPr="00A87B3A" w:rsidRDefault="00815BC6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30AE0">
              <w:rPr>
                <w:rFonts w:ascii="Times New Roman" w:hAnsi="Times New Roman"/>
                <w:color w:val="000000"/>
              </w:rPr>
              <w:t>Rozporządzenie nie powoduje skutków finansowych dla budżetu państwa. Sprzedaż certyfikatów pochodzenia odbywa się na zasadach rynkowych pomiędzy wytwórcami energii z odnawialnych źródeł, a przedsiębiorstwami obrotu energią.</w:t>
            </w:r>
          </w:p>
        </w:tc>
      </w:tr>
      <w:tr w:rsidR="00E24BD7" w:rsidRPr="00A87B3A" w14:paraId="1AB60188" w14:textId="77777777" w:rsidTr="00E9355C">
        <w:trPr>
          <w:gridAfter w:val="1"/>
          <w:wAfter w:w="10" w:type="dxa"/>
          <w:trHeight w:val="1266"/>
        </w:trPr>
        <w:tc>
          <w:tcPr>
            <w:tcW w:w="2243" w:type="dxa"/>
            <w:gridSpan w:val="2"/>
            <w:shd w:val="clear" w:color="auto" w:fill="FFFFFF"/>
          </w:tcPr>
          <w:p w14:paraId="634D1CD4" w14:textId="77777777" w:rsidR="00E24BD7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56D3E99D" w14:textId="0C25D34A" w:rsidR="00E24BD7" w:rsidRPr="00A87B3A" w:rsidRDefault="00B74AE0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74AE0">
              <w:rPr>
                <w:rFonts w:ascii="Times New Roman" w:hAnsi="Times New Roman"/>
                <w:color w:val="000000"/>
              </w:rPr>
              <w:t>Projekt rozporządzenia nie powoduje skutków finansowych dla jednostek sektora finansów publicznych, w tym budżetu państwa i budżetów jednostek samorządu terytorialnego, polegających na zwiększeniu wydatków lub zmniejszeniu dochodów tych jednostek w stosunku do wielkości wynikających z obowiązujących przepisów.</w:t>
            </w:r>
            <w:r w:rsidR="00DE12DE">
              <w:rPr>
                <w:rFonts w:ascii="Times New Roman" w:hAnsi="Times New Roman"/>
                <w:color w:val="000000"/>
              </w:rPr>
              <w:t xml:space="preserve"> </w:t>
            </w:r>
            <w:r w:rsidR="00815BC6" w:rsidRPr="003149E3">
              <w:rPr>
                <w:rFonts w:ascii="Times New Roman" w:hAnsi="Times New Roman"/>
                <w:color w:val="000000"/>
              </w:rPr>
              <w:t xml:space="preserve">Sprzedaż </w:t>
            </w:r>
            <w:r w:rsidR="00DE12DE">
              <w:rPr>
                <w:rFonts w:ascii="Times New Roman" w:hAnsi="Times New Roman"/>
                <w:color w:val="000000"/>
              </w:rPr>
              <w:t>praw majątkowych wynikających ze świadectw</w:t>
            </w:r>
            <w:r w:rsidR="00DE12DE" w:rsidRPr="003149E3">
              <w:rPr>
                <w:rFonts w:ascii="Times New Roman" w:hAnsi="Times New Roman"/>
                <w:color w:val="000000"/>
              </w:rPr>
              <w:t xml:space="preserve"> </w:t>
            </w:r>
            <w:r w:rsidR="00815BC6" w:rsidRPr="003149E3">
              <w:rPr>
                <w:rFonts w:ascii="Times New Roman" w:hAnsi="Times New Roman"/>
                <w:color w:val="000000"/>
              </w:rPr>
              <w:t>pochodzenia odbywa się na zasadach rynkowych pomiędzy wytwórcami energii z odnawialnych źródeł</w:t>
            </w:r>
            <w:r w:rsidR="00815BC6">
              <w:rPr>
                <w:rFonts w:ascii="Times New Roman" w:hAnsi="Times New Roman"/>
                <w:color w:val="000000"/>
              </w:rPr>
              <w:t xml:space="preserve"> </w:t>
            </w:r>
            <w:r w:rsidR="00815BC6" w:rsidRPr="003149E3">
              <w:rPr>
                <w:rFonts w:ascii="Times New Roman" w:hAnsi="Times New Roman"/>
                <w:color w:val="000000"/>
              </w:rPr>
              <w:t>a przedsiębiorstwami obrotu energią.</w:t>
            </w:r>
          </w:p>
        </w:tc>
      </w:tr>
      <w:tr w:rsidR="006A701A" w:rsidRPr="00A87B3A" w14:paraId="77418C16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53657B8C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A87B3A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 w:rsidRPr="00A87B3A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 w:rsidRPr="00A87B3A">
              <w:rPr>
                <w:rFonts w:ascii="Times New Roman" w:hAnsi="Times New Roman"/>
                <w:b/>
                <w:color w:val="000000"/>
              </w:rPr>
              <w:t>i</w:t>
            </w:r>
            <w:r w:rsidR="00563199" w:rsidRPr="00A87B3A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 w:rsidRPr="00A87B3A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 w:rsidRPr="00A87B3A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 w:rsidRPr="00A87B3A">
              <w:rPr>
                <w:rFonts w:ascii="Times New Roman" w:hAnsi="Times New Roman"/>
                <w:b/>
                <w:color w:val="000000"/>
              </w:rPr>
              <w:t>orców</w:t>
            </w:r>
            <w:r w:rsidR="00472E45"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 w:rsidRPr="00A87B3A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 w:rsidRPr="00A87B3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 w:rsidRPr="00A87B3A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A87B3A" w14:paraId="56DB6F5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8A82D37" w14:textId="77777777" w:rsidR="005E7371" w:rsidRPr="00A87B3A" w:rsidRDefault="001B3460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2E6D63" w:rsidRPr="00A87B3A" w14:paraId="0C0C1E25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3B4A7C8C" w14:textId="77777777" w:rsidR="002E6D63" w:rsidRPr="00A87B3A" w:rsidRDefault="002E6D63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398E5F2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BBA3BA6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28F14C4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61C654A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A66A9AB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F87D12C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78706CD5" w14:textId="77777777" w:rsidR="002E6D63" w:rsidRPr="00A87B3A" w:rsidRDefault="002E6D63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A87B3A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="001B3460" w:rsidRPr="00A87B3A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815BC6" w:rsidRPr="00A87B3A" w14:paraId="39BC1B40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7ED212C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6F1E6382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A87B3A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7BDC59D9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spacing w:val="-2"/>
              </w:rPr>
              <w:lastRenderedPageBreak/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F6FE220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lastRenderedPageBreak/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242CF0D" w14:textId="0F192846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80DEF01" w14:textId="532AB59C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996C591" w14:textId="3A4E913D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8261B19" w14:textId="1C8CB50E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8EA7C9B" w14:textId="27BC4536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6BAF6B6" w14:textId="226E4E71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7D978AFE" w14:textId="53E47F12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15BC6" w:rsidRPr="00A87B3A" w14:paraId="3199E7B4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06E2C2A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DA0E66E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0B4D304" w14:textId="685DBA83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410299D" w14:textId="6BD1E84B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19566F" w14:textId="7326A9DF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615B778" w14:textId="5D0AA89C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A2C3397" w14:textId="7CB7F078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CC3D5C9" w14:textId="7CC40E41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FED671F" w14:textId="7FEBB89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15BC6" w:rsidRPr="00A87B3A" w14:paraId="4EB06198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85ABD41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C1B50C9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EF717B2" w14:textId="6EC916DE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854D7FC" w14:textId="6EC987FE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9EED3F5" w14:textId="2D4FD29D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A465020" w14:textId="7CF3504B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67C813D" w14:textId="3791333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176E20B" w14:textId="0863BF3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8CA9484" w14:textId="11157E02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15BC6" w:rsidRPr="00A87B3A" w14:paraId="094EC534" w14:textId="77777777" w:rsidTr="009253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11276E6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auto"/>
          </w:tcPr>
          <w:p w14:paraId="7C6824FA" w14:textId="0EEEA816" w:rsidR="00815BC6" w:rsidRPr="0092538D" w:rsidRDefault="0092538D" w:rsidP="00815BC6">
            <w:pPr>
              <w:spacing w:line="240" w:lineRule="auto"/>
              <w:rPr>
                <w:rFonts w:ascii="Times New Roman" w:hAnsi="Times New Roman"/>
              </w:rPr>
            </w:pPr>
            <w:r w:rsidRPr="0092538D">
              <w:rPr>
                <w:rFonts w:ascii="Times New Roman" w:hAnsi="Times New Roman"/>
              </w:rPr>
              <w:t>osoby niepełnosprawne oraz osoby starsze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25F7957" w14:textId="337F365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3BED572" w14:textId="44731A21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0F6443" w14:textId="6A4F9B96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8861CC2" w14:textId="1D5C5578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C09FDB8" w14:textId="58669620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6573B02" w14:textId="75AB4E29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1B7F9A4A" w14:textId="008FBDAA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15BC6" w:rsidRPr="00A87B3A" w14:paraId="0DE943C2" w14:textId="77777777" w:rsidTr="009253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F9CF5A9" w14:textId="777777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auto"/>
          </w:tcPr>
          <w:p w14:paraId="23892E63" w14:textId="42D1C87F" w:rsidR="00815BC6" w:rsidRPr="0092538D" w:rsidRDefault="0092538D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2538D">
              <w:rPr>
                <w:rFonts w:ascii="Times New Roman" w:hAnsi="Times New Roman"/>
                <w:color w:val="000000"/>
              </w:rPr>
              <w:t>(dodaj/usuń)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0C54535" w14:textId="32546C77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AFCF9C5" w14:textId="0EBE2B66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C450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606A32E" w14:textId="0B10BF6F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7AEE06B" w14:textId="7A4798C2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AE4585D" w14:textId="729A3EF6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51ECC69" w14:textId="47E2690A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6994D62C" w14:textId="256BD94F" w:rsidR="00815BC6" w:rsidRPr="00A87B3A" w:rsidRDefault="00815BC6" w:rsidP="00815BC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45F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A608F" w:rsidRPr="00A87B3A" w14:paraId="5CF2071C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8D920EC" w14:textId="77777777" w:rsidR="008A608F" w:rsidRPr="00A87B3A" w:rsidRDefault="008A608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W </w:t>
            </w:r>
            <w:r w:rsidR="0097181B" w:rsidRPr="00A87B3A">
              <w:rPr>
                <w:rFonts w:ascii="Times New Roman" w:hAnsi="Times New Roman"/>
                <w:color w:val="000000"/>
              </w:rPr>
              <w:t xml:space="preserve">ujęciu </w:t>
            </w:r>
            <w:r w:rsidRPr="00A87B3A">
              <w:rPr>
                <w:rFonts w:ascii="Times New Roman" w:hAnsi="Times New Roman"/>
                <w:color w:val="000000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CD0E775" w14:textId="77777777" w:rsidR="008A608F" w:rsidRPr="00A87B3A" w:rsidRDefault="009E3C4B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duże p</w:t>
            </w:r>
            <w:r w:rsidR="008A608F" w:rsidRPr="00A87B3A">
              <w:rPr>
                <w:rFonts w:ascii="Times New Roman" w:hAnsi="Times New Roman"/>
                <w:color w:val="000000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54C58A9" w14:textId="50DA9967" w:rsidR="008A608F" w:rsidRPr="00A87B3A" w:rsidRDefault="004970BC" w:rsidP="00815BC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Stopniowe zmniejszanie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wielkości udziału</w:t>
            </w:r>
            <w:r w:rsidR="006278F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proporcjonalne </w:t>
            </w:r>
            <w:r w:rsidR="006278F1">
              <w:rPr>
                <w:rFonts w:ascii="Times New Roman" w:hAnsi="Times New Roman"/>
                <w:color w:val="000000"/>
                <w:spacing w:val="-2"/>
              </w:rPr>
              <w:t xml:space="preserve">do </w:t>
            </w:r>
            <w:r w:rsidR="006278F1">
              <w:rPr>
                <w:rFonts w:ascii="Times New Roman" w:hAnsi="Times New Roman"/>
                <w:spacing w:val="-2"/>
              </w:rPr>
              <w:t xml:space="preserve">zmniejszającej się </w:t>
            </w:r>
            <w:r w:rsidR="006278F1" w:rsidRPr="00E03308">
              <w:rPr>
                <w:rFonts w:ascii="Times New Roman" w:hAnsi="Times New Roman"/>
                <w:spacing w:val="-2"/>
              </w:rPr>
              <w:t>podaży certyfikatów wynikającej z zakończenia przewidzianego dla uczestników systemu 15-letniego okresu wsparcia</w:t>
            </w:r>
            <w:r w:rsidR="006278F1">
              <w:rPr>
                <w:rFonts w:ascii="Times New Roman" w:hAnsi="Times New Roman"/>
                <w:spacing w:val="-2"/>
              </w:rPr>
              <w:t xml:space="preserve">,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powinno przełożyć się na </w:t>
            </w:r>
            <w:r w:rsidR="00815BC6">
              <w:rPr>
                <w:rFonts w:ascii="Times New Roman" w:hAnsi="Times New Roman"/>
                <w:color w:val="000000"/>
                <w:spacing w:val="-2"/>
              </w:rPr>
              <w:t xml:space="preserve">utrzymanie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ogranicz</w:t>
            </w:r>
            <w:r w:rsidR="00815BC6">
              <w:rPr>
                <w:rFonts w:ascii="Times New Roman" w:hAnsi="Times New Roman"/>
                <w:color w:val="000000"/>
                <w:spacing w:val="-2"/>
              </w:rPr>
              <w:t>onych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kosztów funkcjonowania systemu zielonych certyfikatów dla odbiorców przemysłowych, przy jednoczesnym utrzymaniu odpowiednich warunków funkcjonowania wytwórców energii z </w:t>
            </w:r>
            <w:proofErr w:type="spellStart"/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OZE</w:t>
            </w:r>
            <w:proofErr w:type="spellEnd"/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uczestniczących w tym systemie.</w:t>
            </w:r>
          </w:p>
        </w:tc>
      </w:tr>
      <w:tr w:rsidR="008A608F" w:rsidRPr="00A87B3A" w14:paraId="6BEDA658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C07B475" w14:textId="77777777" w:rsidR="008A608F" w:rsidRPr="00A87B3A" w:rsidRDefault="008A608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EA2CCEF" w14:textId="77777777" w:rsidR="008A608F" w:rsidRPr="00A87B3A" w:rsidRDefault="009E3C4B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s</w:t>
            </w:r>
            <w:r w:rsidR="008A608F" w:rsidRPr="00A87B3A">
              <w:rPr>
                <w:rFonts w:ascii="Times New Roman" w:hAnsi="Times New Roman"/>
                <w:color w:val="000000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69CE443" w14:textId="2399DCEF" w:rsidR="008A608F" w:rsidRPr="00A87B3A" w:rsidRDefault="006278F1" w:rsidP="00815BC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Stopniowe zmniejszanie</w:t>
            </w:r>
            <w:r w:rsidRPr="00815BC6">
              <w:rPr>
                <w:rFonts w:ascii="Times New Roman" w:hAnsi="Times New Roman"/>
                <w:color w:val="000000"/>
                <w:spacing w:val="-2"/>
              </w:rPr>
              <w:t xml:space="preserve"> wielkości udziału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815BC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proporcjonalne do </w:t>
            </w:r>
            <w:r>
              <w:rPr>
                <w:rFonts w:ascii="Times New Roman" w:hAnsi="Times New Roman"/>
                <w:spacing w:val="-2"/>
              </w:rPr>
              <w:t xml:space="preserve">zmniejszającej się </w:t>
            </w:r>
            <w:r w:rsidRPr="00E03308">
              <w:rPr>
                <w:rFonts w:ascii="Times New Roman" w:hAnsi="Times New Roman"/>
                <w:spacing w:val="-2"/>
              </w:rPr>
              <w:t>podaży certyfikatów wynikającej z zakończenia przewidzianego dla uczestników systemu 15-letniego okresu wsparcia</w:t>
            </w:r>
            <w:r>
              <w:rPr>
                <w:rFonts w:ascii="Times New Roman" w:hAnsi="Times New Roman"/>
                <w:spacing w:val="-2"/>
              </w:rPr>
              <w:t xml:space="preserve">,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powinno przełożyć się na </w:t>
            </w:r>
            <w:r w:rsidR="00815BC6">
              <w:rPr>
                <w:rFonts w:ascii="Times New Roman" w:hAnsi="Times New Roman"/>
                <w:color w:val="000000"/>
                <w:spacing w:val="-2"/>
              </w:rPr>
              <w:t xml:space="preserve">utrzymanie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ogranicz</w:t>
            </w:r>
            <w:r w:rsidR="006A66ED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n</w:t>
            </w:r>
            <w:r w:rsidR="00815BC6">
              <w:rPr>
                <w:rFonts w:ascii="Times New Roman" w:hAnsi="Times New Roman"/>
                <w:color w:val="000000"/>
                <w:spacing w:val="-2"/>
              </w:rPr>
              <w:t>ych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kosztów funkcjonowania systemu zielonych certyfikatów dla odbiorców przemysłowych i indywidualnych, przy jednoczesnym utrzymaniu odpowiednich warunków funkcjonowania wytwórców energii </w:t>
            </w:r>
            <w:r w:rsidR="00797F5C">
              <w:rPr>
                <w:rFonts w:ascii="Times New Roman" w:hAnsi="Times New Roman"/>
                <w:color w:val="000000"/>
                <w:spacing w:val="-2"/>
              </w:rPr>
              <w:t xml:space="preserve">elektrycznej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z </w:t>
            </w:r>
            <w:proofErr w:type="spellStart"/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OZE</w:t>
            </w:r>
            <w:proofErr w:type="spellEnd"/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uczestniczących w tym systemie.</w:t>
            </w:r>
          </w:p>
        </w:tc>
      </w:tr>
      <w:tr w:rsidR="009E3C4B" w:rsidRPr="00A87B3A" w14:paraId="25B9F46F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17136D2A" w14:textId="77777777" w:rsidR="009E3C4B" w:rsidRPr="00A87B3A" w:rsidRDefault="009E3C4B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F4FAD03" w14:textId="77777777" w:rsidR="009E3C4B" w:rsidRPr="00A87B3A" w:rsidRDefault="00A92BAF" w:rsidP="009629C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</w:rPr>
              <w:t xml:space="preserve">rodzina, </w:t>
            </w:r>
            <w:r w:rsidR="009E3C4B" w:rsidRPr="00A87B3A">
              <w:rPr>
                <w:rFonts w:ascii="Times New Roman" w:hAnsi="Times New Roman"/>
              </w:rPr>
              <w:t>obywatele oraz gospodarstwa domowe</w:t>
            </w:r>
            <w:r w:rsidR="009E3C4B" w:rsidRPr="00A87B3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EAD343E" w14:textId="028237A7" w:rsidR="009E3C4B" w:rsidRPr="00A87B3A" w:rsidRDefault="006278F1" w:rsidP="00815BC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Stopniowe zmniejszanie</w:t>
            </w:r>
            <w:r w:rsidRPr="00815BC6">
              <w:rPr>
                <w:rFonts w:ascii="Times New Roman" w:hAnsi="Times New Roman"/>
                <w:color w:val="000000"/>
                <w:spacing w:val="-2"/>
              </w:rPr>
              <w:t xml:space="preserve"> wielkości udziału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815BC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proporcjonalne do </w:t>
            </w:r>
            <w:r>
              <w:rPr>
                <w:rFonts w:ascii="Times New Roman" w:hAnsi="Times New Roman"/>
                <w:spacing w:val="-2"/>
              </w:rPr>
              <w:t xml:space="preserve">zmniejszającej się </w:t>
            </w:r>
            <w:r w:rsidRPr="00E03308">
              <w:rPr>
                <w:rFonts w:ascii="Times New Roman" w:hAnsi="Times New Roman"/>
                <w:spacing w:val="-2"/>
              </w:rPr>
              <w:t>podaży certyfikatów wynikającej z zakończenia przewidzianego dla uczestników systemu 15-letniego okresu wsparcia</w:t>
            </w:r>
            <w:r>
              <w:rPr>
                <w:rFonts w:ascii="Times New Roman" w:hAnsi="Times New Roman"/>
                <w:spacing w:val="-2"/>
              </w:rPr>
              <w:t xml:space="preserve">,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powinno przełożyć się na </w:t>
            </w:r>
            <w:r w:rsidR="00815BC6">
              <w:rPr>
                <w:rFonts w:ascii="Times New Roman" w:hAnsi="Times New Roman"/>
                <w:color w:val="000000"/>
                <w:spacing w:val="-2"/>
              </w:rPr>
              <w:t xml:space="preserve">utrzymanie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ogranicz</w:t>
            </w:r>
            <w:r w:rsidR="006A66ED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n</w:t>
            </w:r>
            <w:r w:rsidR="00815BC6">
              <w:rPr>
                <w:rFonts w:ascii="Times New Roman" w:hAnsi="Times New Roman"/>
                <w:color w:val="000000"/>
                <w:spacing w:val="-2"/>
              </w:rPr>
              <w:t>ych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kosztów funkcjonowania systemu zielonych certyfikatów dla odbiorców przemysłowych i indywidualnych, przy jednoczesnym utrzymaniu odpowiednich warunków funkcjonowania wytwórców energii </w:t>
            </w:r>
            <w:r w:rsidR="00797F5C">
              <w:rPr>
                <w:rFonts w:ascii="Times New Roman" w:hAnsi="Times New Roman"/>
                <w:color w:val="000000"/>
                <w:spacing w:val="-2"/>
              </w:rPr>
              <w:t xml:space="preserve">elektrycznej </w:t>
            </w:r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z </w:t>
            </w:r>
            <w:proofErr w:type="spellStart"/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>OZE</w:t>
            </w:r>
            <w:proofErr w:type="spellEnd"/>
            <w:r w:rsidR="00815BC6" w:rsidRPr="00815BC6">
              <w:rPr>
                <w:rFonts w:ascii="Times New Roman" w:hAnsi="Times New Roman"/>
                <w:color w:val="000000"/>
                <w:spacing w:val="-2"/>
              </w:rPr>
              <w:t xml:space="preserve"> uczestniczących w tym systemie.</w:t>
            </w:r>
          </w:p>
        </w:tc>
      </w:tr>
      <w:tr w:rsidR="008A608F" w:rsidRPr="00A87B3A" w14:paraId="5592C578" w14:textId="77777777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69E30BDB" w14:textId="77777777" w:rsidR="008A608F" w:rsidRPr="00A87B3A" w:rsidRDefault="008A608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64ABFFA" w14:textId="1506F772" w:rsidR="008A608F" w:rsidRPr="00A87B3A" w:rsidRDefault="0092538D" w:rsidP="009629C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 w:rsidRPr="0092538D">
              <w:rPr>
                <w:rFonts w:ascii="Times New Roman" w:hAnsi="Times New Roman"/>
              </w:rPr>
              <w:t>osoby niepełnosprawne oraz osoby starsze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CB3B77B" w14:textId="6E22AC7F" w:rsidR="008A608F" w:rsidRPr="00A87B3A" w:rsidRDefault="00815BC6" w:rsidP="009629CE">
            <w:pPr>
              <w:tabs>
                <w:tab w:val="left" w:pos="3000"/>
              </w:tabs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wpływu.</w:t>
            </w:r>
          </w:p>
        </w:tc>
      </w:tr>
      <w:tr w:rsidR="00E24BD7" w:rsidRPr="00A87B3A" w14:paraId="6678593F" w14:textId="77777777" w:rsidTr="00982ED8">
        <w:trPr>
          <w:gridAfter w:val="1"/>
          <w:wAfter w:w="10" w:type="dxa"/>
          <w:trHeight w:val="1221"/>
        </w:trPr>
        <w:tc>
          <w:tcPr>
            <w:tcW w:w="2243" w:type="dxa"/>
            <w:gridSpan w:val="2"/>
            <w:shd w:val="clear" w:color="auto" w:fill="FFFFFF"/>
          </w:tcPr>
          <w:p w14:paraId="2C16E090" w14:textId="77777777" w:rsidR="00E24BD7" w:rsidRPr="00A87B3A" w:rsidRDefault="00E24BD7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6AB58BF" w14:textId="7263E43C" w:rsidR="00E24BD7" w:rsidRPr="00A87B3A" w:rsidRDefault="00815BC6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 dodatkowych informacji.</w:t>
            </w:r>
          </w:p>
        </w:tc>
      </w:tr>
      <w:tr w:rsidR="006A701A" w:rsidRPr="00A87B3A" w14:paraId="7A3EE866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204B921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Zmiana o</w:t>
            </w:r>
            <w:r w:rsidRPr="00A87B3A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ń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ych</w:t>
            </w:r>
            <w:r w:rsidR="00653688" w:rsidRPr="00A87B3A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 w:rsidRPr="00A87B3A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ych</w:t>
            </w:r>
            <w:r w:rsidR="00653688" w:rsidRPr="00A87B3A">
              <w:rPr>
                <w:rFonts w:ascii="Times New Roman" w:hAnsi="Times New Roman"/>
                <w:b/>
                <w:color w:val="000000"/>
              </w:rPr>
              <w:t>)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ych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A87B3A" w14:paraId="2969DEF9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5A6680D9" w14:textId="06413413" w:rsidR="00D86AFF" w:rsidRPr="00A87B3A" w:rsidRDefault="00815BC6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="00D86AFF" w:rsidRPr="00A87B3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A87B3A" w14:paraId="1A6675DE" w14:textId="77777777" w:rsidTr="009629CE">
        <w:trPr>
          <w:gridAfter w:val="1"/>
          <w:wAfter w:w="10" w:type="dxa"/>
          <w:trHeight w:val="760"/>
        </w:trPr>
        <w:tc>
          <w:tcPr>
            <w:tcW w:w="5111" w:type="dxa"/>
            <w:gridSpan w:val="12"/>
            <w:shd w:val="clear" w:color="auto" w:fill="FFFFFF"/>
          </w:tcPr>
          <w:p w14:paraId="5D9BBDA3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A87B3A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AC7057C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02A35C6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E5DAA98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A87B3A" w14:paraId="39DA68D6" w14:textId="77777777" w:rsidTr="009629CE">
        <w:trPr>
          <w:gridAfter w:val="1"/>
          <w:wAfter w:w="10" w:type="dxa"/>
          <w:trHeight w:val="1125"/>
        </w:trPr>
        <w:tc>
          <w:tcPr>
            <w:tcW w:w="5111" w:type="dxa"/>
            <w:gridSpan w:val="12"/>
            <w:shd w:val="clear" w:color="auto" w:fill="FFFFFF"/>
          </w:tcPr>
          <w:p w14:paraId="67C4960B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7BBD2060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18FF0CC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 w:rsidRPr="00A87B3A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2A158792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6FEAE21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36AE368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6A2E831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 w:rsidRPr="00A87B3A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766B27D" w14:textId="52D26804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BF0DA2" w:rsidRPr="00A87B3A" w14:paraId="68905108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AF4A44D" w14:textId="77777777" w:rsidR="00BF0DA2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64FC72E" w14:textId="77777777" w:rsidR="00BF0DA2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D992C2B" w14:textId="77777777" w:rsidR="00BF0DA2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3503F10" w14:textId="6CED3884" w:rsidR="00117017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17017" w:rsidRPr="00A87B3A" w14:paraId="3ECA3FFA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15462370" w14:textId="3F38DD34" w:rsidR="00117017" w:rsidRPr="00A87B3A" w:rsidRDefault="00815BC6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5BC6">
              <w:rPr>
                <w:rFonts w:ascii="Times New Roman" w:hAnsi="Times New Roman"/>
                <w:color w:val="000000"/>
              </w:rPr>
              <w:t xml:space="preserve">Wprowadzane przepisy zmieniają wielkość udziału, o którym mowa w art. 59 pkt 1 lub 2 ustawy </w:t>
            </w:r>
            <w:r w:rsidR="00E550C1">
              <w:rPr>
                <w:rFonts w:ascii="Times New Roman" w:hAnsi="Times New Roman"/>
                <w:color w:val="000000"/>
              </w:rPr>
              <w:t xml:space="preserve">o </w:t>
            </w:r>
            <w:proofErr w:type="spellStart"/>
            <w:r w:rsidR="00E550C1">
              <w:rPr>
                <w:rFonts w:ascii="Times New Roman" w:hAnsi="Times New Roman"/>
                <w:color w:val="000000"/>
              </w:rPr>
              <w:t>OZE</w:t>
            </w:r>
            <w:proofErr w:type="spellEnd"/>
            <w:r w:rsidRPr="00815BC6">
              <w:rPr>
                <w:rFonts w:ascii="Times New Roman" w:hAnsi="Times New Roman"/>
                <w:color w:val="000000"/>
              </w:rPr>
              <w:t>. Przepisy nie wprowadzają nowych obciążeń regulacyjnych, realizują jedynie te wynikające z ustawy.</w:t>
            </w:r>
          </w:p>
        </w:tc>
      </w:tr>
      <w:tr w:rsidR="001B3460" w:rsidRPr="00A87B3A" w14:paraId="11BB762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0052DD0" w14:textId="77777777" w:rsidR="001B3460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A87B3A" w14:paraId="2C07E14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8C8D7B3" w14:textId="179A8069" w:rsidR="001B3460" w:rsidRPr="00A87B3A" w:rsidRDefault="007F2FEA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1B3460" w:rsidRPr="00A87B3A" w14:paraId="225F991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559D57B" w14:textId="77777777" w:rsidR="001B3460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A87B3A" w14:paraId="67EB953C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35D5FF08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DA59ECF" w14:textId="65EE73C0" w:rsidR="001B3460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5CA614A" w14:textId="04B10212" w:rsidR="001B3460" w:rsidRPr="00A87B3A" w:rsidRDefault="00211B6F" w:rsidP="00211B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0C51481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6EFF24BA" w14:textId="77777777" w:rsidR="001B3460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33B0813D" w14:textId="4D30D880" w:rsidR="00211B6F" w:rsidRPr="00A87B3A" w:rsidRDefault="00211B6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59B5BEFD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C6CE074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A87B3A" w14:paraId="08ACA5DC" w14:textId="77777777" w:rsidTr="009629CE">
        <w:trPr>
          <w:gridAfter w:val="1"/>
          <w:wAfter w:w="10" w:type="dxa"/>
          <w:trHeight w:val="57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3C9097E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4AE2ACB" w14:textId="655D74AF" w:rsidR="001B3460" w:rsidRPr="00A87B3A" w:rsidRDefault="00221969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1B3460" w:rsidRPr="00A87B3A" w14:paraId="236DDB7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263A2EA" w14:textId="77777777" w:rsidR="001B3460" w:rsidRPr="00A87B3A" w:rsidRDefault="00A767D2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  <w:spacing w:val="-2"/>
              </w:rPr>
              <w:t>Plan</w:t>
            </w:r>
            <w:r w:rsidR="00CF5F4F" w:rsidRPr="00A87B3A">
              <w:rPr>
                <w:rFonts w:ascii="Times New Roman" w:hAnsi="Times New Roman"/>
                <w:b/>
                <w:spacing w:val="-2"/>
              </w:rPr>
              <w:t>owane</w:t>
            </w:r>
            <w:r w:rsidRPr="00A87B3A">
              <w:rPr>
                <w:rFonts w:ascii="Times New Roman" w:hAnsi="Times New Roman"/>
                <w:b/>
                <w:spacing w:val="-2"/>
              </w:rPr>
              <w:t xml:space="preserve"> w</w:t>
            </w:r>
            <w:r w:rsidR="00627221" w:rsidRPr="00A87B3A">
              <w:rPr>
                <w:rFonts w:ascii="Times New Roman" w:hAnsi="Times New Roman"/>
                <w:b/>
                <w:spacing w:val="-2"/>
              </w:rPr>
              <w:t>ykonani</w:t>
            </w:r>
            <w:r w:rsidR="00CF5F4F" w:rsidRPr="00A87B3A">
              <w:rPr>
                <w:rFonts w:ascii="Times New Roman" w:hAnsi="Times New Roman"/>
                <w:b/>
                <w:spacing w:val="-2"/>
              </w:rPr>
              <w:t>e</w:t>
            </w:r>
            <w:r w:rsidR="00627221" w:rsidRPr="00A87B3A">
              <w:rPr>
                <w:rFonts w:ascii="Times New Roman" w:hAnsi="Times New Roman"/>
                <w:b/>
                <w:spacing w:val="-2"/>
              </w:rPr>
              <w:t xml:space="preserve"> przepisów aktu prawnego</w:t>
            </w:r>
          </w:p>
        </w:tc>
      </w:tr>
      <w:tr w:rsidR="001B3460" w:rsidRPr="00A87B3A" w14:paraId="34B3401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3AB7BA6" w14:textId="22278644" w:rsidR="009629CE" w:rsidRPr="00A87B3A" w:rsidRDefault="00815BC6" w:rsidP="009629CE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15BC6">
              <w:rPr>
                <w:rFonts w:ascii="Times New Roman" w:hAnsi="Times New Roman"/>
                <w:spacing w:val="-2"/>
              </w:rPr>
              <w:t xml:space="preserve">Przepisy dotyczą tzw. obowiązku </w:t>
            </w:r>
            <w:proofErr w:type="spellStart"/>
            <w:r w:rsidRPr="00815BC6">
              <w:rPr>
                <w:rFonts w:ascii="Times New Roman" w:hAnsi="Times New Roman"/>
                <w:spacing w:val="-2"/>
              </w:rPr>
              <w:t>OZE</w:t>
            </w:r>
            <w:proofErr w:type="spellEnd"/>
            <w:r w:rsidRPr="00815BC6">
              <w:rPr>
                <w:rFonts w:ascii="Times New Roman" w:hAnsi="Times New Roman"/>
                <w:spacing w:val="-2"/>
              </w:rPr>
              <w:t xml:space="preserve"> na </w:t>
            </w:r>
            <w:r w:rsidR="00F051F5">
              <w:rPr>
                <w:rFonts w:ascii="Times New Roman" w:hAnsi="Times New Roman"/>
                <w:spacing w:val="-2"/>
              </w:rPr>
              <w:t xml:space="preserve">lata </w:t>
            </w:r>
            <w:r w:rsidR="00797F5C" w:rsidRPr="00815BC6">
              <w:rPr>
                <w:rFonts w:ascii="Times New Roman" w:hAnsi="Times New Roman"/>
                <w:spacing w:val="-2"/>
              </w:rPr>
              <w:t>202</w:t>
            </w:r>
            <w:r w:rsidR="00797F5C">
              <w:rPr>
                <w:rFonts w:ascii="Times New Roman" w:hAnsi="Times New Roman"/>
                <w:spacing w:val="-2"/>
              </w:rPr>
              <w:t>5</w:t>
            </w:r>
            <w:r w:rsidR="00F849EE">
              <w:rPr>
                <w:rFonts w:ascii="Times New Roman" w:hAnsi="Times New Roman"/>
                <w:spacing w:val="-2"/>
              </w:rPr>
              <w:t>–</w:t>
            </w:r>
            <w:r w:rsidR="00F051F5">
              <w:rPr>
                <w:rFonts w:ascii="Times New Roman" w:hAnsi="Times New Roman"/>
                <w:spacing w:val="-2"/>
              </w:rPr>
              <w:t>202</w:t>
            </w:r>
            <w:r w:rsidR="00797F5C">
              <w:rPr>
                <w:rFonts w:ascii="Times New Roman" w:hAnsi="Times New Roman"/>
                <w:spacing w:val="-2"/>
              </w:rPr>
              <w:t>7</w:t>
            </w:r>
            <w:r w:rsidR="00F051F5">
              <w:rPr>
                <w:rFonts w:ascii="Times New Roman" w:hAnsi="Times New Roman"/>
                <w:spacing w:val="-2"/>
              </w:rPr>
              <w:t xml:space="preserve"> </w:t>
            </w:r>
            <w:r w:rsidRPr="00815BC6">
              <w:rPr>
                <w:rFonts w:ascii="Times New Roman" w:hAnsi="Times New Roman"/>
                <w:spacing w:val="-2"/>
              </w:rPr>
              <w:t>r.</w:t>
            </w:r>
          </w:p>
        </w:tc>
      </w:tr>
      <w:tr w:rsidR="001B3460" w:rsidRPr="00A87B3A" w14:paraId="4832BFD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BAE48FC" w14:textId="77777777" w:rsidR="001B3460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lastRenderedPageBreak/>
              <w:t xml:space="preserve"> </w:t>
            </w:r>
            <w:r w:rsidRPr="00A87B3A">
              <w:rPr>
                <w:rFonts w:ascii="Times New Roman" w:hAnsi="Times New Roman"/>
                <w:b/>
                <w:spacing w:val="-2"/>
              </w:rPr>
              <w:t xml:space="preserve">W jaki sposób i kiedy nastąpi ewaluacja efektów projektu </w:t>
            </w:r>
            <w:r w:rsidR="00A47BDF" w:rsidRPr="00A87B3A">
              <w:rPr>
                <w:rFonts w:ascii="Times New Roman" w:hAnsi="Times New Roman"/>
                <w:b/>
                <w:spacing w:val="-2"/>
              </w:rPr>
              <w:t>oraz</w:t>
            </w:r>
            <w:r w:rsidRPr="00A87B3A">
              <w:rPr>
                <w:rFonts w:ascii="Times New Roman" w:hAnsi="Times New Roman"/>
                <w:b/>
                <w:spacing w:val="-2"/>
              </w:rPr>
              <w:t xml:space="preserve"> jakie mierniki zostaną </w:t>
            </w:r>
            <w:r w:rsidR="00C33027" w:rsidRPr="00A87B3A">
              <w:rPr>
                <w:rFonts w:ascii="Times New Roman" w:hAnsi="Times New Roman"/>
                <w:b/>
                <w:spacing w:val="-2"/>
              </w:rPr>
              <w:t>zastosowane?</w:t>
            </w:r>
          </w:p>
        </w:tc>
      </w:tr>
      <w:tr w:rsidR="001B3460" w:rsidRPr="00A87B3A" w14:paraId="5598337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BCEFC76" w14:textId="6156A403" w:rsidR="00540C0A" w:rsidRPr="00CB4B94" w:rsidRDefault="00540C0A" w:rsidP="00CB4B9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B4B94">
              <w:rPr>
                <w:rFonts w:ascii="Times New Roman" w:hAnsi="Times New Roman"/>
                <w:color w:val="000000"/>
                <w:lang w:eastAsia="pl-PL"/>
              </w:rPr>
              <w:t>Ewaluacja</w:t>
            </w:r>
            <w:r w:rsidR="00822C85" w:rsidRPr="00CB4B94">
              <w:rPr>
                <w:rFonts w:ascii="Times New Roman" w:hAnsi="Times New Roman"/>
                <w:color w:val="000000"/>
                <w:lang w:eastAsia="pl-PL"/>
              </w:rPr>
              <w:t xml:space="preserve"> jest</w:t>
            </w:r>
            <w:r w:rsidRPr="00CB4B94">
              <w:rPr>
                <w:rFonts w:ascii="Times New Roman" w:hAnsi="Times New Roman"/>
                <w:color w:val="000000"/>
                <w:lang w:eastAsia="pl-PL"/>
              </w:rPr>
              <w:t xml:space="preserve"> dokonana </w:t>
            </w:r>
            <w:r w:rsidR="00822C85" w:rsidRPr="00CB4B94">
              <w:rPr>
                <w:rFonts w:ascii="Times New Roman" w:hAnsi="Times New Roman"/>
                <w:color w:val="000000"/>
                <w:lang w:eastAsia="pl-PL"/>
              </w:rPr>
              <w:t>w sposób ciągły na przestrzeni czasu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>,</w:t>
            </w:r>
            <w:r w:rsidR="00822C85" w:rsidRPr="00CB4B94">
              <w:rPr>
                <w:rFonts w:ascii="Times New Roman" w:hAnsi="Times New Roman"/>
                <w:color w:val="000000"/>
                <w:lang w:eastAsia="pl-PL"/>
              </w:rPr>
              <w:t xml:space="preserve"> w któr</w:t>
            </w:r>
            <w:r w:rsidR="009D63FA" w:rsidRPr="00CB4B94">
              <w:rPr>
                <w:rFonts w:ascii="Times New Roman" w:hAnsi="Times New Roman"/>
                <w:color w:val="000000"/>
                <w:lang w:eastAsia="pl-PL"/>
              </w:rPr>
              <w:t>ej</w:t>
            </w:r>
            <w:r w:rsidR="00822C85" w:rsidRPr="00CB4B94">
              <w:rPr>
                <w:rFonts w:ascii="Times New Roman" w:hAnsi="Times New Roman"/>
                <w:color w:val="000000"/>
                <w:lang w:eastAsia="pl-PL"/>
              </w:rPr>
              <w:t xml:space="preserve"> możliwa jest</w:t>
            </w:r>
            <w:r w:rsidRPr="00CB4B94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9D63FA" w:rsidRPr="00CB4B94">
              <w:rPr>
                <w:rFonts w:ascii="Times New Roman" w:hAnsi="Times New Roman"/>
                <w:color w:val="000000"/>
                <w:lang w:eastAsia="pl-PL"/>
              </w:rPr>
              <w:t xml:space="preserve">realizacja </w:t>
            </w:r>
            <w:r w:rsidRPr="00CB4B94">
              <w:rPr>
                <w:rFonts w:ascii="Times New Roman" w:hAnsi="Times New Roman"/>
                <w:color w:val="000000"/>
                <w:lang w:eastAsia="pl-PL"/>
              </w:rPr>
              <w:t xml:space="preserve">delegacji ustawowej zawartej w art. 60 ustawy o </w:t>
            </w:r>
            <w:proofErr w:type="spellStart"/>
            <w:r w:rsidR="00E550C1" w:rsidRPr="00CB4B94">
              <w:rPr>
                <w:rFonts w:ascii="Times New Roman" w:hAnsi="Times New Roman"/>
                <w:color w:val="000000"/>
                <w:lang w:eastAsia="pl-PL"/>
              </w:rPr>
              <w:t>OZE</w:t>
            </w:r>
            <w:proofErr w:type="spellEnd"/>
            <w:r w:rsidRPr="00CB4B94">
              <w:rPr>
                <w:rFonts w:ascii="Times New Roman" w:hAnsi="Times New Roman"/>
                <w:color w:val="000000"/>
                <w:lang w:eastAsia="pl-PL"/>
              </w:rPr>
              <w:t>.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 xml:space="preserve"> Możliwa jest zmiana wielkości udziału na lata 202</w:t>
            </w:r>
            <w:r w:rsidR="005E7EAE" w:rsidRPr="00CB4B94">
              <w:rPr>
                <w:rFonts w:ascii="Times New Roman" w:hAnsi="Times New Roman"/>
                <w:color w:val="000000"/>
                <w:lang w:eastAsia="pl-PL"/>
              </w:rPr>
              <w:t>6</w:t>
            </w:r>
            <w:r w:rsidR="00F849EE">
              <w:rPr>
                <w:rFonts w:ascii="Times New Roman" w:hAnsi="Times New Roman"/>
                <w:color w:val="000000"/>
                <w:lang w:eastAsia="pl-PL"/>
              </w:rPr>
              <w:t>–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>202</w:t>
            </w:r>
            <w:r w:rsidR="005E7EAE" w:rsidRPr="00CB4B94">
              <w:rPr>
                <w:rFonts w:ascii="Times New Roman" w:hAnsi="Times New Roman"/>
                <w:color w:val="000000"/>
                <w:lang w:eastAsia="pl-PL"/>
              </w:rPr>
              <w:t>7</w:t>
            </w:r>
            <w:r w:rsidR="00797F5C" w:rsidRPr="00CB4B94">
              <w:rPr>
                <w:rFonts w:ascii="Times New Roman" w:hAnsi="Times New Roman"/>
                <w:color w:val="000000"/>
                <w:lang w:eastAsia="pl-PL"/>
              </w:rPr>
              <w:t>,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 xml:space="preserve"> gdyby nastąpiły zdarzenia nieprzewidziane przy ustalaniu aktualnych wielkości udziału na te lata, np. </w:t>
            </w:r>
            <w:r w:rsidR="004B7CE2" w:rsidRPr="00CB4B94">
              <w:rPr>
                <w:rFonts w:ascii="Times New Roman" w:hAnsi="Times New Roman"/>
                <w:color w:val="000000"/>
                <w:lang w:eastAsia="pl-PL"/>
              </w:rPr>
              <w:t>istotna zmiana ilości energii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797F5C" w:rsidRPr="00CB4B94">
              <w:rPr>
                <w:rFonts w:ascii="Times New Roman" w:hAnsi="Times New Roman"/>
                <w:color w:val="000000"/>
                <w:lang w:eastAsia="pl-PL"/>
              </w:rPr>
              <w:t xml:space="preserve">elektrycznej 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>sprzeda</w:t>
            </w:r>
            <w:r w:rsidR="004B7CE2" w:rsidRPr="00CB4B94">
              <w:rPr>
                <w:rFonts w:ascii="Times New Roman" w:hAnsi="Times New Roman"/>
                <w:color w:val="000000"/>
                <w:lang w:eastAsia="pl-PL"/>
              </w:rPr>
              <w:t>wanej</w:t>
            </w:r>
            <w:r w:rsidR="0025613D" w:rsidRPr="00CB4B94">
              <w:rPr>
                <w:rFonts w:ascii="Times New Roman" w:hAnsi="Times New Roman"/>
                <w:color w:val="000000"/>
                <w:lang w:eastAsia="pl-PL"/>
              </w:rPr>
              <w:t xml:space="preserve"> do obiorców końcowych spowodowana</w:t>
            </w:r>
            <w:r w:rsidR="004B7CE2" w:rsidRPr="00CB4B94">
              <w:rPr>
                <w:rFonts w:ascii="Times New Roman" w:hAnsi="Times New Roman"/>
                <w:color w:val="000000"/>
                <w:lang w:eastAsia="pl-PL"/>
              </w:rPr>
              <w:t xml:space="preserve"> czynnikami zewnętrznymi.</w:t>
            </w:r>
          </w:p>
          <w:p w14:paraId="5C0C0E94" w14:textId="44263845" w:rsidR="009629CE" w:rsidRPr="00CB4B94" w:rsidRDefault="00540C0A" w:rsidP="00CB4B94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B4B94">
              <w:rPr>
                <w:rFonts w:ascii="Times New Roman" w:hAnsi="Times New Roman"/>
                <w:color w:val="000000"/>
                <w:lang w:eastAsia="pl-PL"/>
              </w:rPr>
              <w:t xml:space="preserve">Do ewaluacji wykorzystane zostaną mierniki wskazane w ww. ustawie, tj. rodzaj podmiotu zobowiązanego, ilość wytworzonej energii elektrycznej w </w:t>
            </w:r>
            <w:proofErr w:type="spellStart"/>
            <w:r w:rsidRPr="00CB4B94">
              <w:rPr>
                <w:rFonts w:ascii="Times New Roman" w:hAnsi="Times New Roman"/>
                <w:color w:val="000000"/>
                <w:lang w:eastAsia="pl-PL"/>
              </w:rPr>
              <w:t>mikroinstalacjach</w:t>
            </w:r>
            <w:proofErr w:type="spellEnd"/>
            <w:r w:rsidRPr="00CB4B94">
              <w:rPr>
                <w:rFonts w:ascii="Times New Roman" w:hAnsi="Times New Roman"/>
                <w:color w:val="000000"/>
                <w:lang w:eastAsia="pl-PL"/>
              </w:rPr>
              <w:t xml:space="preserve"> i w małych instalacjach, zobowiązania wynikające z umów międzynarodowych, dotychczasowa wielkość udziału energii elektrycznej i paliw pozyskiwanych z odnawialnych źródeł energii w ogólnej ilości energii i paliw zużywanych w energetyce oraz w transporcie, ilość wytworzonego biogazu rolniczego, a także wysokość ceny energii elektrycznej na rynku konkurencyjnym.</w:t>
            </w:r>
          </w:p>
        </w:tc>
      </w:tr>
      <w:tr w:rsidR="001B3460" w:rsidRPr="00A87B3A" w14:paraId="3E1502A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FBEF38" w14:textId="77777777" w:rsidR="001B3460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A87B3A">
              <w:rPr>
                <w:rFonts w:ascii="Times New Roman" w:hAnsi="Times New Roman"/>
                <w:b/>
                <w:spacing w:val="-2"/>
              </w:rPr>
              <w:t xml:space="preserve">(istotne dokumenty źródłowe, badania, analizy </w:t>
            </w:r>
            <w:r w:rsidR="00C33027" w:rsidRPr="00A87B3A">
              <w:rPr>
                <w:rFonts w:ascii="Times New Roman" w:hAnsi="Times New Roman"/>
                <w:b/>
                <w:spacing w:val="-2"/>
              </w:rPr>
              <w:t>itp.</w:t>
            </w: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B3460" w:rsidRPr="00A87B3A" w14:paraId="758947D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7BF4F4D" w14:textId="77777777" w:rsidR="001B3460" w:rsidRDefault="001B3460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0EEEADAC" w14:textId="2E4E9538" w:rsidR="009629CE" w:rsidRPr="00A87B3A" w:rsidRDefault="009629CE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14:paraId="45AC0404" w14:textId="675F4321" w:rsidR="006176ED" w:rsidRPr="00A87B3A" w:rsidRDefault="006176ED" w:rsidP="00CB4B94">
      <w:pPr>
        <w:pStyle w:val="Nagwek1"/>
        <w:spacing w:before="0" w:after="0"/>
        <w:rPr>
          <w:rFonts w:ascii="Times New Roman" w:hAnsi="Times New Roman"/>
        </w:rPr>
      </w:pPr>
    </w:p>
    <w:sectPr w:rsidR="006176ED" w:rsidRPr="00A87B3A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0F9C" w14:textId="77777777" w:rsidR="00407403" w:rsidRDefault="00407403" w:rsidP="00044739">
      <w:pPr>
        <w:spacing w:line="240" w:lineRule="auto"/>
      </w:pPr>
      <w:r>
        <w:separator/>
      </w:r>
    </w:p>
  </w:endnote>
  <w:endnote w:type="continuationSeparator" w:id="0">
    <w:p w14:paraId="27E79920" w14:textId="77777777" w:rsidR="00407403" w:rsidRDefault="00407403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3E93B" w14:textId="77777777" w:rsidR="00407403" w:rsidRDefault="00407403" w:rsidP="00044739">
      <w:pPr>
        <w:spacing w:line="240" w:lineRule="auto"/>
      </w:pPr>
      <w:r>
        <w:separator/>
      </w:r>
    </w:p>
  </w:footnote>
  <w:footnote w:type="continuationSeparator" w:id="0">
    <w:p w14:paraId="2A149458" w14:textId="77777777" w:rsidR="00407403" w:rsidRDefault="00407403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4FE"/>
    <w:multiLevelType w:val="hybridMultilevel"/>
    <w:tmpl w:val="AB043866"/>
    <w:lvl w:ilvl="0" w:tplc="04150011">
      <w:start w:val="1"/>
      <w:numFmt w:val="decimal"/>
      <w:lvlText w:val="%1)"/>
      <w:lvlJc w:val="left"/>
      <w:pPr>
        <w:ind w:left="1092" w:hanging="360"/>
      </w:pPr>
    </w:lvl>
    <w:lvl w:ilvl="1" w:tplc="04150019">
      <w:start w:val="1"/>
      <w:numFmt w:val="lowerLetter"/>
      <w:lvlText w:val="%2."/>
      <w:lvlJc w:val="left"/>
      <w:pPr>
        <w:ind w:left="1812" w:hanging="360"/>
      </w:pPr>
    </w:lvl>
    <w:lvl w:ilvl="2" w:tplc="0415001B">
      <w:start w:val="1"/>
      <w:numFmt w:val="lowerRoman"/>
      <w:lvlText w:val="%3."/>
      <w:lvlJc w:val="right"/>
      <w:pPr>
        <w:ind w:left="2532" w:hanging="180"/>
      </w:pPr>
    </w:lvl>
    <w:lvl w:ilvl="3" w:tplc="0415000F">
      <w:start w:val="1"/>
      <w:numFmt w:val="decimal"/>
      <w:lvlText w:val="%4."/>
      <w:lvlJc w:val="left"/>
      <w:pPr>
        <w:ind w:left="3252" w:hanging="360"/>
      </w:pPr>
    </w:lvl>
    <w:lvl w:ilvl="4" w:tplc="04150019">
      <w:start w:val="1"/>
      <w:numFmt w:val="lowerLetter"/>
      <w:lvlText w:val="%5."/>
      <w:lvlJc w:val="left"/>
      <w:pPr>
        <w:ind w:left="3972" w:hanging="360"/>
      </w:pPr>
    </w:lvl>
    <w:lvl w:ilvl="5" w:tplc="0415001B">
      <w:start w:val="1"/>
      <w:numFmt w:val="lowerRoman"/>
      <w:lvlText w:val="%6."/>
      <w:lvlJc w:val="right"/>
      <w:pPr>
        <w:ind w:left="4692" w:hanging="180"/>
      </w:pPr>
    </w:lvl>
    <w:lvl w:ilvl="6" w:tplc="0415000F">
      <w:start w:val="1"/>
      <w:numFmt w:val="decimal"/>
      <w:lvlText w:val="%7."/>
      <w:lvlJc w:val="left"/>
      <w:pPr>
        <w:ind w:left="5412" w:hanging="360"/>
      </w:pPr>
    </w:lvl>
    <w:lvl w:ilvl="7" w:tplc="04150019">
      <w:start w:val="1"/>
      <w:numFmt w:val="lowerLetter"/>
      <w:lvlText w:val="%8."/>
      <w:lvlJc w:val="left"/>
      <w:pPr>
        <w:ind w:left="6132" w:hanging="360"/>
      </w:pPr>
    </w:lvl>
    <w:lvl w:ilvl="8" w:tplc="0415001B">
      <w:start w:val="1"/>
      <w:numFmt w:val="lowerRoman"/>
      <w:lvlText w:val="%9."/>
      <w:lvlJc w:val="right"/>
      <w:pPr>
        <w:ind w:left="6852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BFC"/>
    <w:multiLevelType w:val="hybridMultilevel"/>
    <w:tmpl w:val="D93EB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7B2F"/>
    <w:multiLevelType w:val="hybridMultilevel"/>
    <w:tmpl w:val="24346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5B32558"/>
    <w:multiLevelType w:val="hybridMultilevel"/>
    <w:tmpl w:val="2430A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2E44"/>
    <w:multiLevelType w:val="hybridMultilevel"/>
    <w:tmpl w:val="5148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719"/>
    <w:multiLevelType w:val="hybridMultilevel"/>
    <w:tmpl w:val="D93EB2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32738"/>
    <w:multiLevelType w:val="hybridMultilevel"/>
    <w:tmpl w:val="DA14B67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7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E255169"/>
    <w:multiLevelType w:val="hybridMultilevel"/>
    <w:tmpl w:val="019E7FFA"/>
    <w:lvl w:ilvl="0" w:tplc="1774464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1" w15:restartNumberingAfterBreak="0">
    <w:nsid w:val="4FE2470D"/>
    <w:multiLevelType w:val="hybridMultilevel"/>
    <w:tmpl w:val="3CBA0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194569"/>
    <w:multiLevelType w:val="hybridMultilevel"/>
    <w:tmpl w:val="D93EB2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61D88"/>
    <w:multiLevelType w:val="hybridMultilevel"/>
    <w:tmpl w:val="E640B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9110A"/>
    <w:multiLevelType w:val="hybridMultilevel"/>
    <w:tmpl w:val="CBEE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69014">
    <w:abstractNumId w:val="7"/>
  </w:num>
  <w:num w:numId="2" w16cid:durableId="1504778082">
    <w:abstractNumId w:val="1"/>
  </w:num>
  <w:num w:numId="3" w16cid:durableId="1353915641">
    <w:abstractNumId w:val="15"/>
  </w:num>
  <w:num w:numId="4" w16cid:durableId="861941533">
    <w:abstractNumId w:val="26"/>
  </w:num>
  <w:num w:numId="5" w16cid:durableId="1834711021">
    <w:abstractNumId w:val="2"/>
  </w:num>
  <w:num w:numId="6" w16cid:durableId="803624328">
    <w:abstractNumId w:val="11"/>
  </w:num>
  <w:num w:numId="7" w16cid:durableId="57100086">
    <w:abstractNumId w:val="19"/>
  </w:num>
  <w:num w:numId="8" w16cid:durableId="296381479">
    <w:abstractNumId w:val="8"/>
  </w:num>
  <w:num w:numId="9" w16cid:durableId="808286832">
    <w:abstractNumId w:val="22"/>
  </w:num>
  <w:num w:numId="10" w16cid:durableId="1074351397">
    <w:abstractNumId w:val="17"/>
  </w:num>
  <w:num w:numId="11" w16cid:durableId="1654605903">
    <w:abstractNumId w:val="20"/>
  </w:num>
  <w:num w:numId="12" w16cid:durableId="1018655156">
    <w:abstractNumId w:val="5"/>
  </w:num>
  <w:num w:numId="13" w16cid:durableId="1629778509">
    <w:abstractNumId w:val="16"/>
  </w:num>
  <w:num w:numId="14" w16cid:durableId="606281200">
    <w:abstractNumId w:val="27"/>
  </w:num>
  <w:num w:numId="15" w16cid:durableId="395594809">
    <w:abstractNumId w:val="23"/>
  </w:num>
  <w:num w:numId="16" w16cid:durableId="1897620318">
    <w:abstractNumId w:val="25"/>
  </w:num>
  <w:num w:numId="17" w16cid:durableId="1005354035">
    <w:abstractNumId w:val="9"/>
  </w:num>
  <w:num w:numId="18" w16cid:durableId="1110277719">
    <w:abstractNumId w:val="28"/>
  </w:num>
  <w:num w:numId="19" w16cid:durableId="1560356703">
    <w:abstractNumId w:val="31"/>
  </w:num>
  <w:num w:numId="20" w16cid:durableId="1818763424">
    <w:abstractNumId w:val="24"/>
  </w:num>
  <w:num w:numId="21" w16cid:durableId="608588439">
    <w:abstractNumId w:val="10"/>
  </w:num>
  <w:num w:numId="22" w16cid:durableId="105657888">
    <w:abstractNumId w:val="3"/>
  </w:num>
  <w:num w:numId="23" w16cid:durableId="900333725">
    <w:abstractNumId w:val="32"/>
  </w:num>
  <w:num w:numId="24" w16cid:durableId="1903366034">
    <w:abstractNumId w:val="21"/>
  </w:num>
  <w:num w:numId="25" w16cid:durableId="169954683">
    <w:abstractNumId w:val="14"/>
  </w:num>
  <w:num w:numId="26" w16cid:durableId="2136020566">
    <w:abstractNumId w:val="6"/>
  </w:num>
  <w:num w:numId="27" w16cid:durableId="193539324">
    <w:abstractNumId w:val="4"/>
  </w:num>
  <w:num w:numId="28" w16cid:durableId="803078957">
    <w:abstractNumId w:val="18"/>
  </w:num>
  <w:num w:numId="29" w16cid:durableId="1060517499">
    <w:abstractNumId w:val="12"/>
  </w:num>
  <w:num w:numId="30" w16cid:durableId="1295330451">
    <w:abstractNumId w:val="30"/>
  </w:num>
  <w:num w:numId="31" w16cid:durableId="650018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2457786">
    <w:abstractNumId w:val="0"/>
  </w:num>
  <w:num w:numId="33" w16cid:durableId="290672944">
    <w:abstractNumId w:val="29"/>
  </w:num>
  <w:num w:numId="34" w16cid:durableId="20616623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0C5E"/>
    <w:rsid w:val="000015EE"/>
    <w:rsid w:val="000022D5"/>
    <w:rsid w:val="00004C6A"/>
    <w:rsid w:val="00012D11"/>
    <w:rsid w:val="00013206"/>
    <w:rsid w:val="00013EB5"/>
    <w:rsid w:val="00014AF9"/>
    <w:rsid w:val="00023836"/>
    <w:rsid w:val="00024448"/>
    <w:rsid w:val="0003213B"/>
    <w:rsid w:val="000356A9"/>
    <w:rsid w:val="00044138"/>
    <w:rsid w:val="00044739"/>
    <w:rsid w:val="00046C67"/>
    <w:rsid w:val="00051637"/>
    <w:rsid w:val="0005514F"/>
    <w:rsid w:val="00055834"/>
    <w:rsid w:val="00056681"/>
    <w:rsid w:val="00060F88"/>
    <w:rsid w:val="000648A7"/>
    <w:rsid w:val="0006618B"/>
    <w:rsid w:val="000670C0"/>
    <w:rsid w:val="00071A96"/>
    <w:rsid w:val="00071B99"/>
    <w:rsid w:val="000756E5"/>
    <w:rsid w:val="0007704E"/>
    <w:rsid w:val="00080EC8"/>
    <w:rsid w:val="0009445A"/>
    <w:rsid w:val="000944AC"/>
    <w:rsid w:val="00094CB9"/>
    <w:rsid w:val="000956B2"/>
    <w:rsid w:val="000969E7"/>
    <w:rsid w:val="000A23DE"/>
    <w:rsid w:val="000A4020"/>
    <w:rsid w:val="000B0B21"/>
    <w:rsid w:val="000B54FB"/>
    <w:rsid w:val="000B5AFD"/>
    <w:rsid w:val="000B6692"/>
    <w:rsid w:val="000C184E"/>
    <w:rsid w:val="000C29B0"/>
    <w:rsid w:val="000C3064"/>
    <w:rsid w:val="000C6163"/>
    <w:rsid w:val="000C76FC"/>
    <w:rsid w:val="000D33AE"/>
    <w:rsid w:val="000D38FC"/>
    <w:rsid w:val="000D4D90"/>
    <w:rsid w:val="000E2D10"/>
    <w:rsid w:val="000E7128"/>
    <w:rsid w:val="000F3204"/>
    <w:rsid w:val="00103AAB"/>
    <w:rsid w:val="0010548B"/>
    <w:rsid w:val="001072D1"/>
    <w:rsid w:val="0011620E"/>
    <w:rsid w:val="00117017"/>
    <w:rsid w:val="00121C17"/>
    <w:rsid w:val="00122033"/>
    <w:rsid w:val="00124955"/>
    <w:rsid w:val="00130E8E"/>
    <w:rsid w:val="0013208E"/>
    <w:rsid w:val="0013216E"/>
    <w:rsid w:val="00133DED"/>
    <w:rsid w:val="00135A5A"/>
    <w:rsid w:val="001401B5"/>
    <w:rsid w:val="00141364"/>
    <w:rsid w:val="00141964"/>
    <w:rsid w:val="001422B9"/>
    <w:rsid w:val="0014665F"/>
    <w:rsid w:val="001476BA"/>
    <w:rsid w:val="00147947"/>
    <w:rsid w:val="00150588"/>
    <w:rsid w:val="001519E2"/>
    <w:rsid w:val="00153464"/>
    <w:rsid w:val="001541B3"/>
    <w:rsid w:val="00155B15"/>
    <w:rsid w:val="001625BE"/>
    <w:rsid w:val="001643A4"/>
    <w:rsid w:val="00170482"/>
    <w:rsid w:val="001727BB"/>
    <w:rsid w:val="00173A42"/>
    <w:rsid w:val="00180D25"/>
    <w:rsid w:val="0018318D"/>
    <w:rsid w:val="00183B4D"/>
    <w:rsid w:val="0018572C"/>
    <w:rsid w:val="00187E79"/>
    <w:rsid w:val="00187F0D"/>
    <w:rsid w:val="00191B9C"/>
    <w:rsid w:val="00192CC5"/>
    <w:rsid w:val="0019391D"/>
    <w:rsid w:val="00193E59"/>
    <w:rsid w:val="001956A7"/>
    <w:rsid w:val="00196B81"/>
    <w:rsid w:val="001A118A"/>
    <w:rsid w:val="001A27F4"/>
    <w:rsid w:val="001A2D95"/>
    <w:rsid w:val="001B0F17"/>
    <w:rsid w:val="001B3460"/>
    <w:rsid w:val="001B4CA1"/>
    <w:rsid w:val="001B5BD6"/>
    <w:rsid w:val="001B75D8"/>
    <w:rsid w:val="001C1060"/>
    <w:rsid w:val="001C3C63"/>
    <w:rsid w:val="001C673D"/>
    <w:rsid w:val="001C6D82"/>
    <w:rsid w:val="001C70E3"/>
    <w:rsid w:val="001D4732"/>
    <w:rsid w:val="001D56F6"/>
    <w:rsid w:val="001D6A3C"/>
    <w:rsid w:val="001D6D51"/>
    <w:rsid w:val="001E1D0D"/>
    <w:rsid w:val="001E5E58"/>
    <w:rsid w:val="001E5F67"/>
    <w:rsid w:val="001E61EC"/>
    <w:rsid w:val="001E74AA"/>
    <w:rsid w:val="001F653A"/>
    <w:rsid w:val="001F6979"/>
    <w:rsid w:val="00202BC6"/>
    <w:rsid w:val="00205141"/>
    <w:rsid w:val="0020516B"/>
    <w:rsid w:val="002073E8"/>
    <w:rsid w:val="00211B6F"/>
    <w:rsid w:val="002123CB"/>
    <w:rsid w:val="00213559"/>
    <w:rsid w:val="00213EFD"/>
    <w:rsid w:val="002172F1"/>
    <w:rsid w:val="00221969"/>
    <w:rsid w:val="00223C7B"/>
    <w:rsid w:val="00224AB1"/>
    <w:rsid w:val="00226683"/>
    <w:rsid w:val="0022687A"/>
    <w:rsid w:val="002302E2"/>
    <w:rsid w:val="00230728"/>
    <w:rsid w:val="002331F6"/>
    <w:rsid w:val="00234040"/>
    <w:rsid w:val="00235490"/>
    <w:rsid w:val="00235CD2"/>
    <w:rsid w:val="00237874"/>
    <w:rsid w:val="00244A6D"/>
    <w:rsid w:val="00254DED"/>
    <w:rsid w:val="00255619"/>
    <w:rsid w:val="00255DAD"/>
    <w:rsid w:val="00256108"/>
    <w:rsid w:val="0025613D"/>
    <w:rsid w:val="00257222"/>
    <w:rsid w:val="00260F33"/>
    <w:rsid w:val="002613BD"/>
    <w:rsid w:val="002624F1"/>
    <w:rsid w:val="00263143"/>
    <w:rsid w:val="00270C81"/>
    <w:rsid w:val="00271558"/>
    <w:rsid w:val="00274862"/>
    <w:rsid w:val="0027690F"/>
    <w:rsid w:val="0028187D"/>
    <w:rsid w:val="00282D72"/>
    <w:rsid w:val="00283402"/>
    <w:rsid w:val="002873A0"/>
    <w:rsid w:val="00290FD6"/>
    <w:rsid w:val="00294259"/>
    <w:rsid w:val="00294D7B"/>
    <w:rsid w:val="00295A1B"/>
    <w:rsid w:val="00297C90"/>
    <w:rsid w:val="002A2C81"/>
    <w:rsid w:val="002A43A1"/>
    <w:rsid w:val="002B3D1A"/>
    <w:rsid w:val="002C27D0"/>
    <w:rsid w:val="002C2C9B"/>
    <w:rsid w:val="002C6177"/>
    <w:rsid w:val="002C61A2"/>
    <w:rsid w:val="002D17D6"/>
    <w:rsid w:val="002D18D7"/>
    <w:rsid w:val="002D21CE"/>
    <w:rsid w:val="002D7FA9"/>
    <w:rsid w:val="002E3DA3"/>
    <w:rsid w:val="002E450F"/>
    <w:rsid w:val="002E5A15"/>
    <w:rsid w:val="002E6B38"/>
    <w:rsid w:val="002E6D63"/>
    <w:rsid w:val="002E6E2B"/>
    <w:rsid w:val="002E7EB1"/>
    <w:rsid w:val="002F4613"/>
    <w:rsid w:val="002F500B"/>
    <w:rsid w:val="00300991"/>
    <w:rsid w:val="00301959"/>
    <w:rsid w:val="003025CC"/>
    <w:rsid w:val="00303DB7"/>
    <w:rsid w:val="00305B8A"/>
    <w:rsid w:val="00325814"/>
    <w:rsid w:val="00325C05"/>
    <w:rsid w:val="00327751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051F"/>
    <w:rsid w:val="00362C7E"/>
    <w:rsid w:val="00363309"/>
    <w:rsid w:val="00363601"/>
    <w:rsid w:val="00364C35"/>
    <w:rsid w:val="00376AC9"/>
    <w:rsid w:val="003849BA"/>
    <w:rsid w:val="00385342"/>
    <w:rsid w:val="003907DB"/>
    <w:rsid w:val="00391898"/>
    <w:rsid w:val="00393032"/>
    <w:rsid w:val="00394B69"/>
    <w:rsid w:val="00394FB6"/>
    <w:rsid w:val="00397078"/>
    <w:rsid w:val="003A48F4"/>
    <w:rsid w:val="003A6953"/>
    <w:rsid w:val="003B0930"/>
    <w:rsid w:val="003B6083"/>
    <w:rsid w:val="003C3838"/>
    <w:rsid w:val="003C3C62"/>
    <w:rsid w:val="003C5847"/>
    <w:rsid w:val="003D0681"/>
    <w:rsid w:val="003D12F6"/>
    <w:rsid w:val="003D1426"/>
    <w:rsid w:val="003D2ECF"/>
    <w:rsid w:val="003D6EAF"/>
    <w:rsid w:val="003D771D"/>
    <w:rsid w:val="003E05CD"/>
    <w:rsid w:val="003E24F8"/>
    <w:rsid w:val="003E2F4E"/>
    <w:rsid w:val="003E4DF8"/>
    <w:rsid w:val="003E720A"/>
    <w:rsid w:val="003F32FA"/>
    <w:rsid w:val="003F5A32"/>
    <w:rsid w:val="003F7150"/>
    <w:rsid w:val="003F7BDC"/>
    <w:rsid w:val="00403CF1"/>
    <w:rsid w:val="00403E6E"/>
    <w:rsid w:val="00405A09"/>
    <w:rsid w:val="00405EB3"/>
    <w:rsid w:val="00407144"/>
    <w:rsid w:val="00407403"/>
    <w:rsid w:val="004129B4"/>
    <w:rsid w:val="004159B9"/>
    <w:rsid w:val="004170B4"/>
    <w:rsid w:val="00417EF0"/>
    <w:rsid w:val="004208C8"/>
    <w:rsid w:val="00422181"/>
    <w:rsid w:val="004244A8"/>
    <w:rsid w:val="00425F72"/>
    <w:rsid w:val="00427736"/>
    <w:rsid w:val="00427FB3"/>
    <w:rsid w:val="00431372"/>
    <w:rsid w:val="004328C6"/>
    <w:rsid w:val="00440CC5"/>
    <w:rsid w:val="004416A9"/>
    <w:rsid w:val="00441787"/>
    <w:rsid w:val="00442343"/>
    <w:rsid w:val="00444F2D"/>
    <w:rsid w:val="00452034"/>
    <w:rsid w:val="00455501"/>
    <w:rsid w:val="00455FA6"/>
    <w:rsid w:val="00460C65"/>
    <w:rsid w:val="00461419"/>
    <w:rsid w:val="00463E6F"/>
    <w:rsid w:val="00466C70"/>
    <w:rsid w:val="00466E60"/>
    <w:rsid w:val="004702C9"/>
    <w:rsid w:val="00472E45"/>
    <w:rsid w:val="00473FEA"/>
    <w:rsid w:val="0047579D"/>
    <w:rsid w:val="00481D25"/>
    <w:rsid w:val="00483262"/>
    <w:rsid w:val="00484107"/>
    <w:rsid w:val="00485CC5"/>
    <w:rsid w:val="0048771B"/>
    <w:rsid w:val="0049343F"/>
    <w:rsid w:val="00495D03"/>
    <w:rsid w:val="004964FC"/>
    <w:rsid w:val="00496996"/>
    <w:rsid w:val="004970BC"/>
    <w:rsid w:val="004A145E"/>
    <w:rsid w:val="004A1F15"/>
    <w:rsid w:val="004A27B6"/>
    <w:rsid w:val="004A2A81"/>
    <w:rsid w:val="004A7BD7"/>
    <w:rsid w:val="004B7CAF"/>
    <w:rsid w:val="004B7CE2"/>
    <w:rsid w:val="004C15C2"/>
    <w:rsid w:val="004C36D8"/>
    <w:rsid w:val="004C62B4"/>
    <w:rsid w:val="004C6A0C"/>
    <w:rsid w:val="004D1248"/>
    <w:rsid w:val="004D1E3C"/>
    <w:rsid w:val="004D4169"/>
    <w:rsid w:val="004D6E14"/>
    <w:rsid w:val="004E2019"/>
    <w:rsid w:val="004E7E44"/>
    <w:rsid w:val="004F4E17"/>
    <w:rsid w:val="004F7E96"/>
    <w:rsid w:val="0050082F"/>
    <w:rsid w:val="00500C56"/>
    <w:rsid w:val="00501713"/>
    <w:rsid w:val="00506568"/>
    <w:rsid w:val="0051551B"/>
    <w:rsid w:val="00520C57"/>
    <w:rsid w:val="00521E4C"/>
    <w:rsid w:val="00522D94"/>
    <w:rsid w:val="00525F03"/>
    <w:rsid w:val="00533D89"/>
    <w:rsid w:val="00536165"/>
    <w:rsid w:val="00536564"/>
    <w:rsid w:val="00540C0A"/>
    <w:rsid w:val="00544597"/>
    <w:rsid w:val="00544FFE"/>
    <w:rsid w:val="00546EA1"/>
    <w:rsid w:val="005473F5"/>
    <w:rsid w:val="005477E7"/>
    <w:rsid w:val="0054789D"/>
    <w:rsid w:val="00552794"/>
    <w:rsid w:val="00553BA4"/>
    <w:rsid w:val="00560857"/>
    <w:rsid w:val="00563199"/>
    <w:rsid w:val="00564874"/>
    <w:rsid w:val="00565BC1"/>
    <w:rsid w:val="00567963"/>
    <w:rsid w:val="0057009A"/>
    <w:rsid w:val="005711DD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A7359"/>
    <w:rsid w:val="005A7583"/>
    <w:rsid w:val="005B1206"/>
    <w:rsid w:val="005B37E8"/>
    <w:rsid w:val="005B5959"/>
    <w:rsid w:val="005C0056"/>
    <w:rsid w:val="005C11C1"/>
    <w:rsid w:val="005C17D7"/>
    <w:rsid w:val="005C3CD2"/>
    <w:rsid w:val="005C7751"/>
    <w:rsid w:val="005D1A7F"/>
    <w:rsid w:val="005D23AD"/>
    <w:rsid w:val="005D3037"/>
    <w:rsid w:val="005D61D6"/>
    <w:rsid w:val="005E03AC"/>
    <w:rsid w:val="005E0D13"/>
    <w:rsid w:val="005E5047"/>
    <w:rsid w:val="005E58F9"/>
    <w:rsid w:val="005E7205"/>
    <w:rsid w:val="005E7371"/>
    <w:rsid w:val="005E7EAE"/>
    <w:rsid w:val="005F116C"/>
    <w:rsid w:val="005F2131"/>
    <w:rsid w:val="005F5169"/>
    <w:rsid w:val="00605EF6"/>
    <w:rsid w:val="00606455"/>
    <w:rsid w:val="00612823"/>
    <w:rsid w:val="00614929"/>
    <w:rsid w:val="00616511"/>
    <w:rsid w:val="006176ED"/>
    <w:rsid w:val="006202F3"/>
    <w:rsid w:val="0062097A"/>
    <w:rsid w:val="00621DA6"/>
    <w:rsid w:val="00621F37"/>
    <w:rsid w:val="00623CFE"/>
    <w:rsid w:val="00626BD1"/>
    <w:rsid w:val="00627221"/>
    <w:rsid w:val="006278F1"/>
    <w:rsid w:val="00627EE8"/>
    <w:rsid w:val="006316FA"/>
    <w:rsid w:val="006370D2"/>
    <w:rsid w:val="0064074F"/>
    <w:rsid w:val="00641F55"/>
    <w:rsid w:val="00642462"/>
    <w:rsid w:val="006424AB"/>
    <w:rsid w:val="006440B9"/>
    <w:rsid w:val="00645E4A"/>
    <w:rsid w:val="00646EC3"/>
    <w:rsid w:val="006502EC"/>
    <w:rsid w:val="006522F0"/>
    <w:rsid w:val="00652797"/>
    <w:rsid w:val="00653688"/>
    <w:rsid w:val="006555BE"/>
    <w:rsid w:val="006556C1"/>
    <w:rsid w:val="0066091B"/>
    <w:rsid w:val="00662D9D"/>
    <w:rsid w:val="006660E9"/>
    <w:rsid w:val="00667249"/>
    <w:rsid w:val="00667558"/>
    <w:rsid w:val="00670966"/>
    <w:rsid w:val="00671523"/>
    <w:rsid w:val="006729C5"/>
    <w:rsid w:val="006754EF"/>
    <w:rsid w:val="00676C8D"/>
    <w:rsid w:val="00676F1F"/>
    <w:rsid w:val="00677381"/>
    <w:rsid w:val="00677414"/>
    <w:rsid w:val="006832CF"/>
    <w:rsid w:val="0068601E"/>
    <w:rsid w:val="0069486B"/>
    <w:rsid w:val="006A3B9B"/>
    <w:rsid w:val="006A45AA"/>
    <w:rsid w:val="006A4904"/>
    <w:rsid w:val="006A548F"/>
    <w:rsid w:val="006A66ED"/>
    <w:rsid w:val="006A701A"/>
    <w:rsid w:val="006B3A85"/>
    <w:rsid w:val="006B4C91"/>
    <w:rsid w:val="006B52A4"/>
    <w:rsid w:val="006B63DD"/>
    <w:rsid w:val="006B64DC"/>
    <w:rsid w:val="006B7A91"/>
    <w:rsid w:val="006D3627"/>
    <w:rsid w:val="006D4704"/>
    <w:rsid w:val="006D6A2D"/>
    <w:rsid w:val="006D7F64"/>
    <w:rsid w:val="006E1E18"/>
    <w:rsid w:val="006E31CE"/>
    <w:rsid w:val="006E34D3"/>
    <w:rsid w:val="006F1435"/>
    <w:rsid w:val="006F6840"/>
    <w:rsid w:val="006F78C4"/>
    <w:rsid w:val="007024B3"/>
    <w:rsid w:val="007031A0"/>
    <w:rsid w:val="00705A29"/>
    <w:rsid w:val="00707498"/>
    <w:rsid w:val="00711820"/>
    <w:rsid w:val="00711A65"/>
    <w:rsid w:val="00714133"/>
    <w:rsid w:val="00714DA4"/>
    <w:rsid w:val="007158B2"/>
    <w:rsid w:val="00716081"/>
    <w:rsid w:val="007179CD"/>
    <w:rsid w:val="00722B48"/>
    <w:rsid w:val="00723811"/>
    <w:rsid w:val="00724164"/>
    <w:rsid w:val="00725DE7"/>
    <w:rsid w:val="00725FE3"/>
    <w:rsid w:val="0072636A"/>
    <w:rsid w:val="00726B44"/>
    <w:rsid w:val="007318DD"/>
    <w:rsid w:val="00732B42"/>
    <w:rsid w:val="00733167"/>
    <w:rsid w:val="00740D2C"/>
    <w:rsid w:val="007422A5"/>
    <w:rsid w:val="00744BF9"/>
    <w:rsid w:val="00752623"/>
    <w:rsid w:val="007563D5"/>
    <w:rsid w:val="00757713"/>
    <w:rsid w:val="00760F1F"/>
    <w:rsid w:val="0076423E"/>
    <w:rsid w:val="007646CB"/>
    <w:rsid w:val="0076658F"/>
    <w:rsid w:val="0077040A"/>
    <w:rsid w:val="00772D64"/>
    <w:rsid w:val="00785E47"/>
    <w:rsid w:val="0078673E"/>
    <w:rsid w:val="00786FBA"/>
    <w:rsid w:val="00792609"/>
    <w:rsid w:val="00792887"/>
    <w:rsid w:val="007943E2"/>
    <w:rsid w:val="0079446A"/>
    <w:rsid w:val="00794F2C"/>
    <w:rsid w:val="0079645E"/>
    <w:rsid w:val="00797F5C"/>
    <w:rsid w:val="007A3BC7"/>
    <w:rsid w:val="007A407A"/>
    <w:rsid w:val="007A5AC4"/>
    <w:rsid w:val="007A7617"/>
    <w:rsid w:val="007B0FDD"/>
    <w:rsid w:val="007B4802"/>
    <w:rsid w:val="007B6668"/>
    <w:rsid w:val="007B6B33"/>
    <w:rsid w:val="007C0CD3"/>
    <w:rsid w:val="007C18AF"/>
    <w:rsid w:val="007C2701"/>
    <w:rsid w:val="007C2910"/>
    <w:rsid w:val="007C74B8"/>
    <w:rsid w:val="007C76BC"/>
    <w:rsid w:val="007D2192"/>
    <w:rsid w:val="007D4F9D"/>
    <w:rsid w:val="007D7ADA"/>
    <w:rsid w:val="007E0B30"/>
    <w:rsid w:val="007E263D"/>
    <w:rsid w:val="007E553A"/>
    <w:rsid w:val="007F0021"/>
    <w:rsid w:val="007F2F52"/>
    <w:rsid w:val="007F2FEA"/>
    <w:rsid w:val="00801F71"/>
    <w:rsid w:val="00805F28"/>
    <w:rsid w:val="0080749F"/>
    <w:rsid w:val="00811D46"/>
    <w:rsid w:val="008125B0"/>
    <w:rsid w:val="008144CB"/>
    <w:rsid w:val="00815BC6"/>
    <w:rsid w:val="00821717"/>
    <w:rsid w:val="00822C85"/>
    <w:rsid w:val="00824210"/>
    <w:rsid w:val="00824669"/>
    <w:rsid w:val="008263C0"/>
    <w:rsid w:val="00834812"/>
    <w:rsid w:val="00835DA3"/>
    <w:rsid w:val="00841422"/>
    <w:rsid w:val="00841D3B"/>
    <w:rsid w:val="0084314C"/>
    <w:rsid w:val="00843171"/>
    <w:rsid w:val="0085047F"/>
    <w:rsid w:val="008575C3"/>
    <w:rsid w:val="008614B2"/>
    <w:rsid w:val="00863D28"/>
    <w:rsid w:val="008648C3"/>
    <w:rsid w:val="00867B95"/>
    <w:rsid w:val="008729C4"/>
    <w:rsid w:val="0087343B"/>
    <w:rsid w:val="008741B5"/>
    <w:rsid w:val="00880F26"/>
    <w:rsid w:val="00884900"/>
    <w:rsid w:val="00896C2E"/>
    <w:rsid w:val="008A5095"/>
    <w:rsid w:val="008A608F"/>
    <w:rsid w:val="008B1A9A"/>
    <w:rsid w:val="008B1F45"/>
    <w:rsid w:val="008B324D"/>
    <w:rsid w:val="008B4FE6"/>
    <w:rsid w:val="008B6C37"/>
    <w:rsid w:val="008C7FC6"/>
    <w:rsid w:val="008D0C22"/>
    <w:rsid w:val="008E07C1"/>
    <w:rsid w:val="008E18F7"/>
    <w:rsid w:val="008E1E10"/>
    <w:rsid w:val="008E291B"/>
    <w:rsid w:val="008E4F2F"/>
    <w:rsid w:val="008E74B0"/>
    <w:rsid w:val="008F1739"/>
    <w:rsid w:val="008F18A8"/>
    <w:rsid w:val="008F2297"/>
    <w:rsid w:val="008F4268"/>
    <w:rsid w:val="009008A8"/>
    <w:rsid w:val="009063B0"/>
    <w:rsid w:val="00907106"/>
    <w:rsid w:val="009107FD"/>
    <w:rsid w:val="0091137C"/>
    <w:rsid w:val="00911567"/>
    <w:rsid w:val="0091560E"/>
    <w:rsid w:val="00917AAE"/>
    <w:rsid w:val="0092226C"/>
    <w:rsid w:val="009251A9"/>
    <w:rsid w:val="0092538D"/>
    <w:rsid w:val="00930699"/>
    <w:rsid w:val="00931F21"/>
    <w:rsid w:val="00931F69"/>
    <w:rsid w:val="00934123"/>
    <w:rsid w:val="00934308"/>
    <w:rsid w:val="009365B5"/>
    <w:rsid w:val="00941B9A"/>
    <w:rsid w:val="00951DA4"/>
    <w:rsid w:val="00955774"/>
    <w:rsid w:val="009560B5"/>
    <w:rsid w:val="00956911"/>
    <w:rsid w:val="0096020B"/>
    <w:rsid w:val="00961B43"/>
    <w:rsid w:val="009629CE"/>
    <w:rsid w:val="009672FC"/>
    <w:rsid w:val="009703D6"/>
    <w:rsid w:val="00970BEF"/>
    <w:rsid w:val="0097181B"/>
    <w:rsid w:val="00975065"/>
    <w:rsid w:val="00976DC5"/>
    <w:rsid w:val="009818C7"/>
    <w:rsid w:val="0098230D"/>
    <w:rsid w:val="00982DD4"/>
    <w:rsid w:val="00982ED8"/>
    <w:rsid w:val="009841E5"/>
    <w:rsid w:val="0098479F"/>
    <w:rsid w:val="00984A8A"/>
    <w:rsid w:val="009857B6"/>
    <w:rsid w:val="00985A8D"/>
    <w:rsid w:val="00986610"/>
    <w:rsid w:val="009877DC"/>
    <w:rsid w:val="00987C22"/>
    <w:rsid w:val="009913E5"/>
    <w:rsid w:val="00991F96"/>
    <w:rsid w:val="00993B0F"/>
    <w:rsid w:val="00996F0A"/>
    <w:rsid w:val="009A1D86"/>
    <w:rsid w:val="009A2D56"/>
    <w:rsid w:val="009B049C"/>
    <w:rsid w:val="009B11C8"/>
    <w:rsid w:val="009B2BCF"/>
    <w:rsid w:val="009B2FF8"/>
    <w:rsid w:val="009B53F1"/>
    <w:rsid w:val="009B5BA3"/>
    <w:rsid w:val="009B7AA8"/>
    <w:rsid w:val="009C0BDD"/>
    <w:rsid w:val="009C7E24"/>
    <w:rsid w:val="009D0027"/>
    <w:rsid w:val="009D0655"/>
    <w:rsid w:val="009D4F04"/>
    <w:rsid w:val="009D54B3"/>
    <w:rsid w:val="009D57B9"/>
    <w:rsid w:val="009D63FA"/>
    <w:rsid w:val="009E1E98"/>
    <w:rsid w:val="009E2273"/>
    <w:rsid w:val="009E33B5"/>
    <w:rsid w:val="009E3ABE"/>
    <w:rsid w:val="009E3C4B"/>
    <w:rsid w:val="009F0637"/>
    <w:rsid w:val="009F62A6"/>
    <w:rsid w:val="009F674F"/>
    <w:rsid w:val="009F799E"/>
    <w:rsid w:val="00A00C8A"/>
    <w:rsid w:val="00A02020"/>
    <w:rsid w:val="00A056CB"/>
    <w:rsid w:val="00A07A29"/>
    <w:rsid w:val="00A10FF1"/>
    <w:rsid w:val="00A11518"/>
    <w:rsid w:val="00A13FE9"/>
    <w:rsid w:val="00A1506B"/>
    <w:rsid w:val="00A17AB4"/>
    <w:rsid w:val="00A17AE9"/>
    <w:rsid w:val="00A17CB2"/>
    <w:rsid w:val="00A2076D"/>
    <w:rsid w:val="00A2110A"/>
    <w:rsid w:val="00A23191"/>
    <w:rsid w:val="00A319C0"/>
    <w:rsid w:val="00A33560"/>
    <w:rsid w:val="00A364E4"/>
    <w:rsid w:val="00A368C3"/>
    <w:rsid w:val="00A371A5"/>
    <w:rsid w:val="00A41A01"/>
    <w:rsid w:val="00A41F33"/>
    <w:rsid w:val="00A43B6D"/>
    <w:rsid w:val="00A43CF6"/>
    <w:rsid w:val="00A44EDE"/>
    <w:rsid w:val="00A476B4"/>
    <w:rsid w:val="00A47BDF"/>
    <w:rsid w:val="00A51CD7"/>
    <w:rsid w:val="00A52ADB"/>
    <w:rsid w:val="00A533E8"/>
    <w:rsid w:val="00A542D9"/>
    <w:rsid w:val="00A552EB"/>
    <w:rsid w:val="00A56E64"/>
    <w:rsid w:val="00A624C3"/>
    <w:rsid w:val="00A644CD"/>
    <w:rsid w:val="00A6641C"/>
    <w:rsid w:val="00A71902"/>
    <w:rsid w:val="00A767D2"/>
    <w:rsid w:val="00A77616"/>
    <w:rsid w:val="00A805DA"/>
    <w:rsid w:val="00A811B4"/>
    <w:rsid w:val="00A87B3A"/>
    <w:rsid w:val="00A87CDE"/>
    <w:rsid w:val="00A92BAF"/>
    <w:rsid w:val="00A938F3"/>
    <w:rsid w:val="00A94737"/>
    <w:rsid w:val="00A94BA3"/>
    <w:rsid w:val="00A96CBA"/>
    <w:rsid w:val="00AA232E"/>
    <w:rsid w:val="00AA51D3"/>
    <w:rsid w:val="00AB1ACD"/>
    <w:rsid w:val="00AB277F"/>
    <w:rsid w:val="00AB4099"/>
    <w:rsid w:val="00AB449A"/>
    <w:rsid w:val="00AC7969"/>
    <w:rsid w:val="00AD07C1"/>
    <w:rsid w:val="00AD14F9"/>
    <w:rsid w:val="00AD35D6"/>
    <w:rsid w:val="00AD58C5"/>
    <w:rsid w:val="00AE36C4"/>
    <w:rsid w:val="00AE472C"/>
    <w:rsid w:val="00AE5375"/>
    <w:rsid w:val="00AE6CF8"/>
    <w:rsid w:val="00AF02B4"/>
    <w:rsid w:val="00AF472B"/>
    <w:rsid w:val="00AF4CAC"/>
    <w:rsid w:val="00B01C55"/>
    <w:rsid w:val="00B03103"/>
    <w:rsid w:val="00B03E0D"/>
    <w:rsid w:val="00B054F8"/>
    <w:rsid w:val="00B06CF4"/>
    <w:rsid w:val="00B07350"/>
    <w:rsid w:val="00B21CB7"/>
    <w:rsid w:val="00B2219A"/>
    <w:rsid w:val="00B32976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776"/>
    <w:rsid w:val="00B57E5E"/>
    <w:rsid w:val="00B61F37"/>
    <w:rsid w:val="00B637CC"/>
    <w:rsid w:val="00B65478"/>
    <w:rsid w:val="00B65CB8"/>
    <w:rsid w:val="00B74AE0"/>
    <w:rsid w:val="00B7770F"/>
    <w:rsid w:val="00B77A89"/>
    <w:rsid w:val="00B77B27"/>
    <w:rsid w:val="00B80EBA"/>
    <w:rsid w:val="00B8134E"/>
    <w:rsid w:val="00B81AD8"/>
    <w:rsid w:val="00B81B55"/>
    <w:rsid w:val="00B84613"/>
    <w:rsid w:val="00B8646F"/>
    <w:rsid w:val="00B87A43"/>
    <w:rsid w:val="00B87AF0"/>
    <w:rsid w:val="00B9037B"/>
    <w:rsid w:val="00B910BD"/>
    <w:rsid w:val="00B9308D"/>
    <w:rsid w:val="00B93834"/>
    <w:rsid w:val="00B96469"/>
    <w:rsid w:val="00BA02D0"/>
    <w:rsid w:val="00BA0DA2"/>
    <w:rsid w:val="00BA2981"/>
    <w:rsid w:val="00BA42EE"/>
    <w:rsid w:val="00BA48F9"/>
    <w:rsid w:val="00BB0DCA"/>
    <w:rsid w:val="00BB2666"/>
    <w:rsid w:val="00BB6B80"/>
    <w:rsid w:val="00BB7F26"/>
    <w:rsid w:val="00BC2628"/>
    <w:rsid w:val="00BC284E"/>
    <w:rsid w:val="00BC3773"/>
    <w:rsid w:val="00BC381A"/>
    <w:rsid w:val="00BD0962"/>
    <w:rsid w:val="00BD0D2F"/>
    <w:rsid w:val="00BD0EC9"/>
    <w:rsid w:val="00BD1EED"/>
    <w:rsid w:val="00BE45F1"/>
    <w:rsid w:val="00BE5363"/>
    <w:rsid w:val="00BF0DA2"/>
    <w:rsid w:val="00BF109C"/>
    <w:rsid w:val="00BF34FA"/>
    <w:rsid w:val="00BF3D64"/>
    <w:rsid w:val="00C004B6"/>
    <w:rsid w:val="00C0250D"/>
    <w:rsid w:val="00C047A7"/>
    <w:rsid w:val="00C05DE5"/>
    <w:rsid w:val="00C129ED"/>
    <w:rsid w:val="00C16956"/>
    <w:rsid w:val="00C21B89"/>
    <w:rsid w:val="00C22409"/>
    <w:rsid w:val="00C33027"/>
    <w:rsid w:val="00C37667"/>
    <w:rsid w:val="00C41808"/>
    <w:rsid w:val="00C435DB"/>
    <w:rsid w:val="00C44D73"/>
    <w:rsid w:val="00C50B42"/>
    <w:rsid w:val="00C516FF"/>
    <w:rsid w:val="00C52BFA"/>
    <w:rsid w:val="00C53D1D"/>
    <w:rsid w:val="00C53F26"/>
    <w:rsid w:val="00C540BC"/>
    <w:rsid w:val="00C55D00"/>
    <w:rsid w:val="00C64F7D"/>
    <w:rsid w:val="00C67309"/>
    <w:rsid w:val="00C720EB"/>
    <w:rsid w:val="00C72C31"/>
    <w:rsid w:val="00C7614E"/>
    <w:rsid w:val="00C765AB"/>
    <w:rsid w:val="00C77BF1"/>
    <w:rsid w:val="00C80D60"/>
    <w:rsid w:val="00C82FBD"/>
    <w:rsid w:val="00C85267"/>
    <w:rsid w:val="00C8721B"/>
    <w:rsid w:val="00C90D80"/>
    <w:rsid w:val="00C9372C"/>
    <w:rsid w:val="00C9470E"/>
    <w:rsid w:val="00C9473D"/>
    <w:rsid w:val="00C95CEB"/>
    <w:rsid w:val="00C96569"/>
    <w:rsid w:val="00CA1054"/>
    <w:rsid w:val="00CA4A4D"/>
    <w:rsid w:val="00CA5325"/>
    <w:rsid w:val="00CA5C89"/>
    <w:rsid w:val="00CA63EB"/>
    <w:rsid w:val="00CA69F1"/>
    <w:rsid w:val="00CA7701"/>
    <w:rsid w:val="00CB4B94"/>
    <w:rsid w:val="00CB6991"/>
    <w:rsid w:val="00CB6F96"/>
    <w:rsid w:val="00CC2F3F"/>
    <w:rsid w:val="00CC6194"/>
    <w:rsid w:val="00CC6305"/>
    <w:rsid w:val="00CC78A5"/>
    <w:rsid w:val="00CD0516"/>
    <w:rsid w:val="00CD756B"/>
    <w:rsid w:val="00CE339B"/>
    <w:rsid w:val="00CE734F"/>
    <w:rsid w:val="00CF112E"/>
    <w:rsid w:val="00CF413E"/>
    <w:rsid w:val="00CF45C8"/>
    <w:rsid w:val="00CF5F4F"/>
    <w:rsid w:val="00D218DC"/>
    <w:rsid w:val="00D21D58"/>
    <w:rsid w:val="00D23391"/>
    <w:rsid w:val="00D24E56"/>
    <w:rsid w:val="00D27F82"/>
    <w:rsid w:val="00D31643"/>
    <w:rsid w:val="00D31AEB"/>
    <w:rsid w:val="00D32ECD"/>
    <w:rsid w:val="00D35E66"/>
    <w:rsid w:val="00D361E4"/>
    <w:rsid w:val="00D42A8F"/>
    <w:rsid w:val="00D42BE0"/>
    <w:rsid w:val="00D439F6"/>
    <w:rsid w:val="00D45271"/>
    <w:rsid w:val="00D459C6"/>
    <w:rsid w:val="00D50729"/>
    <w:rsid w:val="00D50C19"/>
    <w:rsid w:val="00D5379E"/>
    <w:rsid w:val="00D6154D"/>
    <w:rsid w:val="00D62643"/>
    <w:rsid w:val="00D64C0F"/>
    <w:rsid w:val="00D70835"/>
    <w:rsid w:val="00D722F6"/>
    <w:rsid w:val="00D72EFE"/>
    <w:rsid w:val="00D76227"/>
    <w:rsid w:val="00D77DF1"/>
    <w:rsid w:val="00D80E7B"/>
    <w:rsid w:val="00D84736"/>
    <w:rsid w:val="00D86AFF"/>
    <w:rsid w:val="00D95A44"/>
    <w:rsid w:val="00D95D16"/>
    <w:rsid w:val="00D97C76"/>
    <w:rsid w:val="00DA6A7F"/>
    <w:rsid w:val="00DB02B4"/>
    <w:rsid w:val="00DB538D"/>
    <w:rsid w:val="00DC1D3C"/>
    <w:rsid w:val="00DC275C"/>
    <w:rsid w:val="00DC330E"/>
    <w:rsid w:val="00DC4B0D"/>
    <w:rsid w:val="00DC6D3F"/>
    <w:rsid w:val="00DC7FE1"/>
    <w:rsid w:val="00DD37E0"/>
    <w:rsid w:val="00DD3F3F"/>
    <w:rsid w:val="00DD5572"/>
    <w:rsid w:val="00DE12DE"/>
    <w:rsid w:val="00DE5D80"/>
    <w:rsid w:val="00DE6FE0"/>
    <w:rsid w:val="00DF58CD"/>
    <w:rsid w:val="00DF65DE"/>
    <w:rsid w:val="00DF6946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35A3F"/>
    <w:rsid w:val="00E37030"/>
    <w:rsid w:val="00E419F1"/>
    <w:rsid w:val="00E44510"/>
    <w:rsid w:val="00E550C1"/>
    <w:rsid w:val="00E552DA"/>
    <w:rsid w:val="00E57322"/>
    <w:rsid w:val="00E628CB"/>
    <w:rsid w:val="00E62AD9"/>
    <w:rsid w:val="00E638C8"/>
    <w:rsid w:val="00E70FE3"/>
    <w:rsid w:val="00E74A9F"/>
    <w:rsid w:val="00E7509B"/>
    <w:rsid w:val="00E76D60"/>
    <w:rsid w:val="00E77227"/>
    <w:rsid w:val="00E834C7"/>
    <w:rsid w:val="00E84682"/>
    <w:rsid w:val="00E86590"/>
    <w:rsid w:val="00E8708F"/>
    <w:rsid w:val="00E907FF"/>
    <w:rsid w:val="00E9355C"/>
    <w:rsid w:val="00E97D8A"/>
    <w:rsid w:val="00EA200B"/>
    <w:rsid w:val="00EA42D1"/>
    <w:rsid w:val="00EA42EF"/>
    <w:rsid w:val="00EA6629"/>
    <w:rsid w:val="00EB205E"/>
    <w:rsid w:val="00EB2DD1"/>
    <w:rsid w:val="00EB451B"/>
    <w:rsid w:val="00EB6B37"/>
    <w:rsid w:val="00EC29FE"/>
    <w:rsid w:val="00EC3C70"/>
    <w:rsid w:val="00ED3A3D"/>
    <w:rsid w:val="00ED538A"/>
    <w:rsid w:val="00ED6FBC"/>
    <w:rsid w:val="00EE2F16"/>
    <w:rsid w:val="00EE3861"/>
    <w:rsid w:val="00EE401C"/>
    <w:rsid w:val="00EF2E73"/>
    <w:rsid w:val="00EF4079"/>
    <w:rsid w:val="00EF7683"/>
    <w:rsid w:val="00EF7A2D"/>
    <w:rsid w:val="00F01E7C"/>
    <w:rsid w:val="00F02277"/>
    <w:rsid w:val="00F04F8D"/>
    <w:rsid w:val="00F051F5"/>
    <w:rsid w:val="00F10AD0"/>
    <w:rsid w:val="00F116CC"/>
    <w:rsid w:val="00F11A09"/>
    <w:rsid w:val="00F12BD1"/>
    <w:rsid w:val="00F15327"/>
    <w:rsid w:val="00F168CF"/>
    <w:rsid w:val="00F2555C"/>
    <w:rsid w:val="00F3113B"/>
    <w:rsid w:val="00F31AED"/>
    <w:rsid w:val="00F31DF3"/>
    <w:rsid w:val="00F3393D"/>
    <w:rsid w:val="00F33AE5"/>
    <w:rsid w:val="00F3597D"/>
    <w:rsid w:val="00F4376D"/>
    <w:rsid w:val="00F45399"/>
    <w:rsid w:val="00F465EA"/>
    <w:rsid w:val="00F5215C"/>
    <w:rsid w:val="00F535DD"/>
    <w:rsid w:val="00F54E7B"/>
    <w:rsid w:val="00F55A88"/>
    <w:rsid w:val="00F5661C"/>
    <w:rsid w:val="00F644F5"/>
    <w:rsid w:val="00F74005"/>
    <w:rsid w:val="00F75127"/>
    <w:rsid w:val="00F76884"/>
    <w:rsid w:val="00F83285"/>
    <w:rsid w:val="00F83D24"/>
    <w:rsid w:val="00F83DD9"/>
    <w:rsid w:val="00F83F40"/>
    <w:rsid w:val="00F849EE"/>
    <w:rsid w:val="00F84FC2"/>
    <w:rsid w:val="00F908A1"/>
    <w:rsid w:val="00F94409"/>
    <w:rsid w:val="00FA117A"/>
    <w:rsid w:val="00FA5F81"/>
    <w:rsid w:val="00FB287D"/>
    <w:rsid w:val="00FB386A"/>
    <w:rsid w:val="00FC0786"/>
    <w:rsid w:val="00FC49EF"/>
    <w:rsid w:val="00FE2909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D6E4F"/>
  <w15:chartTrackingRefBased/>
  <w15:docId w15:val="{903BA435-646B-4988-A1C5-FA8CAD4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B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2D7FA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icletitle">
    <w:name w:val="articletitle"/>
    <w:basedOn w:val="Domylnaczcionkaakapitu"/>
    <w:rsid w:val="00325814"/>
  </w:style>
  <w:style w:type="character" w:customStyle="1" w:styleId="footnote">
    <w:name w:val="footnote"/>
    <w:basedOn w:val="Domylnaczcionkaakapitu"/>
    <w:rsid w:val="00325814"/>
  </w:style>
  <w:style w:type="paragraph" w:customStyle="1" w:styleId="Default">
    <w:name w:val="Default"/>
    <w:rsid w:val="004328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328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E7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77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0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6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7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4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6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szyndler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03C6-F090-4F63-8491-F316D607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2691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Szyndler Marcin</dc:creator>
  <cp:keywords/>
  <cp:lastModifiedBy>Żylińska Julita</cp:lastModifiedBy>
  <cp:revision>2</cp:revision>
  <dcterms:created xsi:type="dcterms:W3CDTF">2024-07-24T13:25:00Z</dcterms:created>
  <dcterms:modified xsi:type="dcterms:W3CDTF">2024-07-24T13:25:00Z</dcterms:modified>
</cp:coreProperties>
</file>