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354A5" w14:textId="09085973" w:rsidR="00EA2B9B" w:rsidRPr="00364C58" w:rsidRDefault="00364C58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>Wstępna koncepcja p</w:t>
      </w:r>
      <w:r w:rsidR="00DF2D15" w:rsidRPr="00364C58">
        <w:rPr>
          <w:rFonts w:ascii="Arial Nova" w:hAnsi="Arial Nova"/>
          <w:b/>
          <w:bCs/>
          <w:sz w:val="28"/>
          <w:szCs w:val="28"/>
        </w:rPr>
        <w:t>rogram</w:t>
      </w:r>
      <w:r>
        <w:rPr>
          <w:rFonts w:ascii="Arial Nova" w:hAnsi="Arial Nova"/>
          <w:b/>
          <w:bCs/>
          <w:sz w:val="28"/>
          <w:szCs w:val="28"/>
        </w:rPr>
        <w:t>u</w:t>
      </w:r>
      <w:r w:rsidR="00DF2D15" w:rsidRPr="00364C58">
        <w:rPr>
          <w:rFonts w:ascii="Arial Nova" w:hAnsi="Arial Nova"/>
          <w:b/>
          <w:bCs/>
          <w:sz w:val="28"/>
          <w:szCs w:val="28"/>
        </w:rPr>
        <w:t xml:space="preserve"> Ministra na rok 2022 pn. „Pomoc dla sektorów energochłonnych związana z nagłymi wzrostami cen gazu ziemnego i energii elektrycznej”</w:t>
      </w:r>
    </w:p>
    <w:p w14:paraId="063FB3D4" w14:textId="6E6683C8" w:rsidR="00DF2D15" w:rsidRPr="00364C58" w:rsidRDefault="00DF2D15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  <w:r w:rsidRPr="00364C58">
        <w:rPr>
          <w:rFonts w:ascii="Arial Nova" w:hAnsi="Arial Nova"/>
          <w:b/>
          <w:bCs/>
          <w:sz w:val="24"/>
          <w:szCs w:val="24"/>
        </w:rPr>
        <w:t>Podstawa prawna</w:t>
      </w:r>
    </w:p>
    <w:p w14:paraId="1FDA024C" w14:textId="58E3071F" w:rsidR="00DF2D15" w:rsidRPr="00364C58" w:rsidRDefault="00DF2D15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sz w:val="24"/>
          <w:szCs w:val="24"/>
        </w:rPr>
      </w:pPr>
      <w:r w:rsidRPr="00364C58">
        <w:rPr>
          <w:rFonts w:ascii="Arial Nova" w:hAnsi="Arial Nova"/>
          <w:sz w:val="24"/>
          <w:szCs w:val="24"/>
        </w:rPr>
        <w:t xml:space="preserve">Program Ministra na rok 2022 pn. „Pomoc dla sektorów energochłonnych związana z nagłymi wzrostami cen gazu ziemnego i energii elektrycznej” zostaje ustanowiony na podstawie art. 3 ustawy z dnia … 2022 r. o zasadach realizacji programów wsparcia przedsiębiorców w związku z sytuacją na rynku energii w latach 2022 – 2024 (…). </w:t>
      </w:r>
    </w:p>
    <w:p w14:paraId="189512A5" w14:textId="66B0518E" w:rsidR="00DF2D15" w:rsidRPr="00364C58" w:rsidRDefault="00DF2D15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  <w:r w:rsidRPr="00364C58">
        <w:rPr>
          <w:rFonts w:ascii="Arial Nova" w:hAnsi="Arial Nova"/>
          <w:b/>
          <w:bCs/>
          <w:sz w:val="24"/>
          <w:szCs w:val="24"/>
        </w:rPr>
        <w:t>Cel programu</w:t>
      </w:r>
    </w:p>
    <w:p w14:paraId="15359326" w14:textId="558B5364" w:rsidR="00DF2D15" w:rsidRPr="00364C58" w:rsidRDefault="00DF2D15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sz w:val="24"/>
          <w:szCs w:val="24"/>
        </w:rPr>
      </w:pPr>
      <w:r w:rsidRPr="00364C58">
        <w:rPr>
          <w:rFonts w:ascii="Arial Nova" w:hAnsi="Arial Nova"/>
          <w:sz w:val="24"/>
          <w:szCs w:val="24"/>
        </w:rPr>
        <w:t>Celem programu jest łagodzenie negatywnych skutków nagłego wzrostu cen energii elektrycznej i gazu ziemnego. Wzrost tych ce</w:t>
      </w:r>
      <w:bookmarkStart w:id="0" w:name="_GoBack"/>
      <w:bookmarkEnd w:id="0"/>
      <w:r w:rsidRPr="00364C58">
        <w:rPr>
          <w:rFonts w:ascii="Arial Nova" w:hAnsi="Arial Nova"/>
          <w:sz w:val="24"/>
          <w:szCs w:val="24"/>
        </w:rPr>
        <w:t xml:space="preserve">n stanowi zagrożenie dla dalszej działalności przedsiębiorstw, szczególnie </w:t>
      </w:r>
      <w:r w:rsidR="00D62807" w:rsidRPr="00364C58">
        <w:rPr>
          <w:rFonts w:ascii="Arial Nova" w:hAnsi="Arial Nova"/>
          <w:sz w:val="24"/>
          <w:szCs w:val="24"/>
        </w:rPr>
        <w:t>przemysłowych przedsiębiorstw energochłonnych, a więc takich, dla których koszty energii stanowią dużą część wszystkich kosztów operacyjnych. Program ma na celu poprawić sytuację finansową tych firm, wspierając je w kontynuowaniu produkcji.</w:t>
      </w:r>
    </w:p>
    <w:p w14:paraId="5D0B14EB" w14:textId="0AB7B896" w:rsidR="00D62807" w:rsidRPr="00364C58" w:rsidRDefault="00D62807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  <w:r w:rsidRPr="00364C58">
        <w:rPr>
          <w:rFonts w:ascii="Arial Nova" w:hAnsi="Arial Nova"/>
          <w:b/>
          <w:bCs/>
          <w:sz w:val="24"/>
          <w:szCs w:val="24"/>
        </w:rPr>
        <w:t>Beneficjenci</w:t>
      </w:r>
    </w:p>
    <w:p w14:paraId="45310EF6" w14:textId="116E3162" w:rsidR="00D62807" w:rsidRPr="00364C58" w:rsidRDefault="00D62807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 xml:space="preserve">O Pomoc mogą ubiegać się przedsiębiorcy, będący zakładem energochłonnym, tzn. </w:t>
      </w:r>
      <w:r w:rsidR="009B0A3D" w:rsidRPr="00364C58">
        <w:rPr>
          <w:rFonts w:ascii="Arial Nova" w:eastAsiaTheme="minorEastAsia" w:hAnsi="Arial Nova" w:cstheme="majorBidi"/>
          <w:sz w:val="24"/>
          <w:szCs w:val="24"/>
        </w:rPr>
        <w:t>potra</w:t>
      </w:r>
      <w:r w:rsidR="00E449C4" w:rsidRPr="00364C58">
        <w:rPr>
          <w:rFonts w:ascii="Arial Nova" w:eastAsiaTheme="minorEastAsia" w:hAnsi="Arial Nova" w:cstheme="majorBidi"/>
          <w:sz w:val="24"/>
          <w:szCs w:val="24"/>
        </w:rPr>
        <w:t>fiący wykazać, że w 2021 r. ponieśli koszty zakupu energii elektrycznej i gazu ziemnego, stanowiące nie mniej niż 3% wartości ich produkcji</w:t>
      </w:r>
      <w:r w:rsidR="007C4001" w:rsidRPr="00364C58">
        <w:rPr>
          <w:rFonts w:ascii="Arial Nova" w:eastAsiaTheme="minorEastAsia" w:hAnsi="Arial Nova" w:cstheme="majorBidi"/>
          <w:sz w:val="24"/>
          <w:szCs w:val="24"/>
        </w:rPr>
        <w:t xml:space="preserve">, </w:t>
      </w:r>
      <w:r w:rsidRPr="00364C58">
        <w:rPr>
          <w:rFonts w:ascii="Arial Nova" w:eastAsiaTheme="minorEastAsia" w:hAnsi="Arial Nova" w:cstheme="majorBidi"/>
          <w:sz w:val="24"/>
          <w:szCs w:val="24"/>
        </w:rPr>
        <w:t>których przeważająca działalność odbywa się w jednej z grup PKD wymienionych w Załączniku.</w:t>
      </w:r>
    </w:p>
    <w:p w14:paraId="129AD091" w14:textId="52978E59" w:rsidR="00AE09F4" w:rsidRPr="00364C58" w:rsidRDefault="00AE09F4" w:rsidP="00320CA0">
      <w:pPr>
        <w:pStyle w:val="AODocTxt"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W Programie mogą wziąć udział </w:t>
      </w:r>
      <w:r w:rsidR="007C4001"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>przedsiębiorc</w:t>
      </w:r>
      <w:r w:rsidR="007C1F1A">
        <w:rPr>
          <w:rFonts w:ascii="Arial Nova" w:eastAsiaTheme="minorEastAsia" w:hAnsi="Arial Nova" w:cstheme="majorBidi"/>
          <w:sz w:val="24"/>
          <w:szCs w:val="24"/>
          <w:lang w:val="pl-PL"/>
        </w:rPr>
        <w:t>a</w:t>
      </w: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, który: </w:t>
      </w:r>
    </w:p>
    <w:p w14:paraId="21B4BC71" w14:textId="3521491A" w:rsidR="007C1F1A" w:rsidRPr="007C1F1A" w:rsidRDefault="007C1F1A" w:rsidP="007C1F1A">
      <w:pPr>
        <w:pStyle w:val="AODocTxt"/>
        <w:numPr>
          <w:ilvl w:val="0"/>
          <w:numId w:val="2"/>
        </w:numPr>
        <w:spacing w:before="100" w:beforeAutospacing="1" w:after="100" w:afterAutospacing="1" w:line="24" w:lineRule="atLeast"/>
        <w:ind w:left="708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7C1F1A">
        <w:rPr>
          <w:rFonts w:ascii="Arial Nova" w:eastAsiaTheme="minorEastAsia" w:hAnsi="Arial Nova" w:cstheme="majorBidi"/>
          <w:sz w:val="24"/>
          <w:szCs w:val="24"/>
          <w:lang w:val="pl-PL"/>
        </w:rPr>
        <w:t>P</w:t>
      </w:r>
      <w:r w:rsidR="00AE09F4" w:rsidRPr="007C1F1A">
        <w:rPr>
          <w:rFonts w:ascii="Arial Nova" w:eastAsiaTheme="minorEastAsia" w:hAnsi="Arial Nova" w:cstheme="majorBidi"/>
          <w:sz w:val="24"/>
          <w:szCs w:val="24"/>
          <w:lang w:val="pl-PL"/>
        </w:rPr>
        <w:t>rowadz</w:t>
      </w:r>
      <w:r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i </w:t>
      </w:r>
      <w:r w:rsidR="00AE09F4" w:rsidRPr="007C1F1A">
        <w:rPr>
          <w:rFonts w:ascii="Arial Nova" w:eastAsiaTheme="minorEastAsia" w:hAnsi="Arial Nova" w:cstheme="majorBidi"/>
          <w:sz w:val="24"/>
          <w:szCs w:val="24"/>
          <w:lang w:val="pl-PL"/>
        </w:rPr>
        <w:t>działalność gospodarczą na dzień złożenia wniosku i prowadzili ją przez cały okres kwalifikowalny</w:t>
      </w:r>
      <w:r>
        <w:rPr>
          <w:rFonts w:ascii="Arial Nova" w:eastAsiaTheme="minorEastAsia" w:hAnsi="Arial Nova" w:cstheme="majorBidi"/>
          <w:sz w:val="24"/>
          <w:szCs w:val="24"/>
          <w:lang w:val="pl-PL"/>
        </w:rPr>
        <w:t>;</w:t>
      </w:r>
      <w:r w:rsidR="00AE09F4" w:rsidRPr="007C1F1A"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 </w:t>
      </w:r>
    </w:p>
    <w:p w14:paraId="0EB4AAFF" w14:textId="77777777" w:rsidR="007C1F1A" w:rsidRPr="007C1F1A" w:rsidRDefault="007C1F1A" w:rsidP="007C1F1A">
      <w:pPr>
        <w:pStyle w:val="AODocTxt"/>
        <w:numPr>
          <w:ilvl w:val="0"/>
          <w:numId w:val="2"/>
        </w:numPr>
        <w:spacing w:before="100" w:beforeAutospacing="1" w:after="100" w:afterAutospacing="1" w:line="24" w:lineRule="atLeast"/>
        <w:ind w:left="708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7C1F1A">
        <w:rPr>
          <w:rFonts w:ascii="Arial Nova" w:hAnsi="Arial Nova"/>
          <w:sz w:val="24"/>
          <w:szCs w:val="24"/>
        </w:rPr>
        <w:t>nie jest przedsiębiorstwem znajdującym się w trudnej sytuacji w rozumieniu komunikatu Komisji – Wytyczne dotyczące pomocy państwa na ratowanie i restrukturyzację przedsiębiorstw niefinansowych znajdujących się w trudnej sytuacji (Dz. Urz. UE C 249 z 31.07.2014, str. 1 oraz Dz. Urz. UE C 224 z 08.07.2020, str. 2);</w:t>
      </w:r>
    </w:p>
    <w:p w14:paraId="58D5AE65" w14:textId="77777777" w:rsidR="007C1F1A" w:rsidRPr="007C1F1A" w:rsidRDefault="007C1F1A" w:rsidP="007C1F1A">
      <w:pPr>
        <w:pStyle w:val="AODocTxt"/>
        <w:numPr>
          <w:ilvl w:val="0"/>
          <w:numId w:val="2"/>
        </w:numPr>
        <w:spacing w:before="100" w:beforeAutospacing="1" w:after="100" w:afterAutospacing="1" w:line="24" w:lineRule="atLeast"/>
        <w:ind w:left="708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7C1F1A">
        <w:rPr>
          <w:rFonts w:ascii="Arial Nova" w:hAnsi="Arial Nova"/>
          <w:sz w:val="24"/>
          <w:szCs w:val="24"/>
        </w:rPr>
        <w:t xml:space="preserve">nie zalega z zapłatą podatków stanowiących dochód budżetu państwa, z wyjątkiem przypadków, gdy uzyskał przewidziane prawem zwolnienie, odroczenie, rozłożenie na raty zaległości podatkowych albo podatku lub wstrzymanie w całości wykonania decyzji właściwego organu podatkowego; </w:t>
      </w:r>
    </w:p>
    <w:p w14:paraId="59940470" w14:textId="77777777" w:rsidR="007C1F1A" w:rsidRPr="007C1F1A" w:rsidRDefault="007C1F1A" w:rsidP="007C1F1A">
      <w:pPr>
        <w:pStyle w:val="AODocTxt"/>
        <w:numPr>
          <w:ilvl w:val="0"/>
          <w:numId w:val="2"/>
        </w:numPr>
        <w:spacing w:before="100" w:beforeAutospacing="1" w:after="100" w:afterAutospacing="1" w:line="24" w:lineRule="atLeast"/>
        <w:ind w:left="708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7C1F1A">
        <w:rPr>
          <w:rFonts w:ascii="Arial Nova" w:hAnsi="Arial Nova"/>
          <w:sz w:val="24"/>
          <w:szCs w:val="24"/>
        </w:rPr>
        <w:t>nie zalega z zapłatą należności z tytułu składek na ubezpieczenia społeczne, z wyjątkiem przypadków, gdy zawarł umowę o odroczeniu terminu płatności</w:t>
      </w:r>
    </w:p>
    <w:p w14:paraId="0A023AEA" w14:textId="5EAC2517" w:rsidR="00AE09F4" w:rsidRPr="007C1F1A" w:rsidRDefault="00AE09F4" w:rsidP="007C1F1A">
      <w:pPr>
        <w:pStyle w:val="AODocTxt"/>
        <w:numPr>
          <w:ilvl w:val="0"/>
          <w:numId w:val="2"/>
        </w:numPr>
        <w:spacing w:before="100" w:beforeAutospacing="1" w:after="100" w:afterAutospacing="1" w:line="24" w:lineRule="atLeast"/>
        <w:ind w:left="708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7C1F1A">
        <w:rPr>
          <w:rFonts w:ascii="Arial Nova" w:eastAsiaTheme="minorEastAsia" w:hAnsi="Arial Nova" w:cstheme="majorBidi"/>
          <w:sz w:val="24"/>
          <w:szCs w:val="24"/>
        </w:rPr>
        <w:t xml:space="preserve">nie </w:t>
      </w:r>
      <w:r w:rsidR="007C1F1A" w:rsidRPr="007C1F1A">
        <w:rPr>
          <w:rFonts w:ascii="Arial Nova" w:eastAsiaTheme="minorEastAsia" w:hAnsi="Arial Nova" w:cstheme="majorBidi"/>
          <w:sz w:val="24"/>
          <w:szCs w:val="24"/>
        </w:rPr>
        <w:t xml:space="preserve">jest </w:t>
      </w:r>
      <w:r w:rsidRPr="007C1F1A">
        <w:rPr>
          <w:rFonts w:ascii="Arial Nova" w:eastAsiaTheme="minorEastAsia" w:hAnsi="Arial Nova" w:cstheme="majorBidi"/>
          <w:sz w:val="24"/>
          <w:szCs w:val="24"/>
        </w:rPr>
        <w:t>obję</w:t>
      </w:r>
      <w:r w:rsidR="007C1F1A" w:rsidRPr="007C1F1A">
        <w:rPr>
          <w:rFonts w:ascii="Arial Nova" w:eastAsiaTheme="minorEastAsia" w:hAnsi="Arial Nova" w:cstheme="majorBidi"/>
          <w:sz w:val="24"/>
          <w:szCs w:val="24"/>
        </w:rPr>
        <w:t>ty</w:t>
      </w:r>
      <w:r w:rsidRPr="007C1F1A">
        <w:rPr>
          <w:rFonts w:ascii="Arial Nova" w:eastAsiaTheme="minorEastAsia" w:hAnsi="Arial Nova" w:cstheme="majorBidi"/>
          <w:sz w:val="24"/>
          <w:szCs w:val="24"/>
        </w:rPr>
        <w:t xml:space="preserve"> sankcjami nałożonymi przez UE.</w:t>
      </w:r>
    </w:p>
    <w:p w14:paraId="1D06E84C" w14:textId="77777777" w:rsidR="007C1F1A" w:rsidRDefault="007C1F1A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</w:p>
    <w:p w14:paraId="04AC011D" w14:textId="77777777" w:rsidR="007C1F1A" w:rsidRDefault="007C1F1A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</w:p>
    <w:p w14:paraId="18EEB4A9" w14:textId="2D0A715E" w:rsidR="00E449C4" w:rsidRPr="00364C58" w:rsidRDefault="00E449C4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b/>
          <w:bCs/>
          <w:sz w:val="24"/>
          <w:szCs w:val="24"/>
        </w:rPr>
      </w:pPr>
      <w:r w:rsidRPr="00364C58">
        <w:rPr>
          <w:rFonts w:ascii="Arial Nova" w:hAnsi="Arial Nova"/>
          <w:b/>
          <w:bCs/>
          <w:sz w:val="24"/>
          <w:szCs w:val="24"/>
        </w:rPr>
        <w:t>Okres naboru</w:t>
      </w:r>
    </w:p>
    <w:p w14:paraId="2D7141CC" w14:textId="1905500A" w:rsidR="00E449C4" w:rsidRPr="00364C58" w:rsidRDefault="00E449C4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lastRenderedPageBreak/>
        <w:t xml:space="preserve">Okres naboru do Programu trwa przez 14 dni od dnia ogłoszenia </w:t>
      </w:r>
      <w:r w:rsidR="00AE37A5" w:rsidRPr="00364C58">
        <w:rPr>
          <w:rFonts w:ascii="Arial Nova" w:hAnsi="Arial Nova" w:cstheme="majorBidi"/>
          <w:sz w:val="24"/>
          <w:szCs w:val="24"/>
        </w:rPr>
        <w:t>naboru przez Operatora.</w:t>
      </w:r>
    </w:p>
    <w:p w14:paraId="7BDC54F0" w14:textId="192F9661" w:rsidR="00FD0210" w:rsidRPr="00364C58" w:rsidRDefault="00FD0210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sz w:val="24"/>
          <w:szCs w:val="24"/>
        </w:rPr>
      </w:pPr>
      <w:r w:rsidRPr="00364C58">
        <w:rPr>
          <w:rFonts w:ascii="Arial Nova" w:hAnsi="Arial Nova" w:cstheme="majorBidi"/>
          <w:b/>
          <w:sz w:val="24"/>
          <w:szCs w:val="24"/>
        </w:rPr>
        <w:t>Sposób składania wniosków</w:t>
      </w:r>
    </w:p>
    <w:p w14:paraId="51A8D9A9" w14:textId="00832E97" w:rsidR="00FD0210" w:rsidRPr="00364C58" w:rsidRDefault="00FD0210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 xml:space="preserve">Przedsiębiorca </w:t>
      </w:r>
      <w:r w:rsidR="00C3334D" w:rsidRPr="00364C58">
        <w:rPr>
          <w:rFonts w:ascii="Arial Nova" w:hAnsi="Arial Nova" w:cstheme="majorBidi"/>
          <w:sz w:val="24"/>
          <w:szCs w:val="24"/>
        </w:rPr>
        <w:t xml:space="preserve">składa </w:t>
      </w:r>
      <w:r w:rsidRPr="00364C58">
        <w:rPr>
          <w:rFonts w:ascii="Arial Nova" w:hAnsi="Arial Nova" w:cstheme="majorBidi"/>
          <w:sz w:val="24"/>
          <w:szCs w:val="24"/>
        </w:rPr>
        <w:t>jeden wniosek za cały okres kwalifikowalny, przy czym wskazane za okres listopad-grudzień 2022 r. koszty kwalifikowalne będą danymi szacunkowymi.</w:t>
      </w:r>
      <w:r w:rsidR="00C3334D" w:rsidRPr="00364C58">
        <w:rPr>
          <w:rFonts w:ascii="Arial Nova" w:hAnsi="Arial Nova" w:cstheme="majorBidi"/>
          <w:sz w:val="24"/>
          <w:szCs w:val="24"/>
        </w:rPr>
        <w:t xml:space="preserve"> </w:t>
      </w:r>
    </w:p>
    <w:p w14:paraId="2FE864F8" w14:textId="01E32FE8" w:rsidR="009950B9" w:rsidRPr="00364C58" w:rsidRDefault="007C4001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>Przedsiębiorca składa wniosek w formie elektronicznej poprzez wypełnienie formularza udostępnionego przez Operatora na stronie internetowej oraz załączając stosowne załączniki podpisane podpisem kwalifikowanym</w:t>
      </w:r>
      <w:r w:rsidR="00263585" w:rsidRPr="00364C58">
        <w:rPr>
          <w:rFonts w:ascii="Arial Nova" w:hAnsi="Arial Nova" w:cstheme="majorBidi"/>
          <w:sz w:val="24"/>
          <w:szCs w:val="24"/>
        </w:rPr>
        <w:t xml:space="preserve"> przez osobę upoważnioną do reprezentowania przedsiębiorcy</w:t>
      </w:r>
      <w:r w:rsidRPr="00364C58">
        <w:rPr>
          <w:rFonts w:ascii="Arial Nova" w:hAnsi="Arial Nova" w:cstheme="majorBidi"/>
          <w:sz w:val="24"/>
          <w:szCs w:val="24"/>
        </w:rPr>
        <w:t>.</w:t>
      </w:r>
    </w:p>
    <w:p w14:paraId="496E08C3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Wniosek zawiera:</w:t>
      </w:r>
    </w:p>
    <w:p w14:paraId="1D52FFA0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1) oznaczenie wnioskodawcy – jego firmę, siedzibę i adres poczty elektronicznej;</w:t>
      </w:r>
    </w:p>
    <w:p w14:paraId="14256E5A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2) numer w rejestrze przedsiębiorców w Krajowym Rejestrze Sądowym, o ile wnioskodawca taki numer posiada albo numer w równoważnym rejestrze państw członkowskich Unii Europejskiej, Konfederacji Szwajcarskiej, państwa członkowskiego Europejskiego Porozumienia o Wolnym Handlu (EFTA) – strony umowy o Europejskim Obszarze Gospodarczym lub Turcji;</w:t>
      </w:r>
    </w:p>
    <w:p w14:paraId="7B072246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3) numer identyfikacji podatkowej (NIP);</w:t>
      </w:r>
    </w:p>
    <w:p w14:paraId="5BBABE61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4) oznaczenie okresu, którego wniosek dotyczy;</w:t>
      </w:r>
    </w:p>
    <w:p w14:paraId="26267F42" w14:textId="42DC5A8C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5) oznaczenie ilości energii elektrycznej lub gazu ziemnego zakupionych i zużytych na własny użytek przez wnioskodawcą w okresie objętym wnioskiem o wypłatę rekompensaty, z dokładnością do czterech miejsc po przecinku;</w:t>
      </w:r>
    </w:p>
    <w:p w14:paraId="2DECCFA9" w14:textId="16288EFF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6) ceny jednostkowe zakupu energii elektrycznej lub gazu ziemnego przez wnioskodawcą w okresie objętym wnioskiem;</w:t>
      </w:r>
    </w:p>
    <w:p w14:paraId="70E74136" w14:textId="77777777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7) referencyjną cenę zakupu energii elektrycznej lub gazu ziemnego przez odbiorcę przemysłowego w okresie od 1 stycznia 2021 r. do 31 grudnia 2021 r.;</w:t>
      </w:r>
    </w:p>
    <w:p w14:paraId="72BDA502" w14:textId="4CE01B0C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8) wnioskowaną wysokość rekompensaty obliczoną zgodnie z</w:t>
      </w:r>
      <w:r w:rsidR="00D12204" w:rsidRPr="00364C58">
        <w:rPr>
          <w:rFonts w:ascii="Arial Nova" w:hAnsi="Arial Nova" w:cs="Helv"/>
          <w:color w:val="000000"/>
          <w:sz w:val="24"/>
          <w:szCs w:val="24"/>
        </w:rPr>
        <w:t xml:space="preserve"> </w:t>
      </w:r>
      <w:r w:rsidR="00364C58" w:rsidRPr="00364C58">
        <w:rPr>
          <w:rFonts w:ascii="Arial Nova" w:hAnsi="Arial Nova" w:cs="Helv"/>
          <w:color w:val="000000"/>
          <w:sz w:val="24"/>
          <w:szCs w:val="24"/>
        </w:rPr>
        <w:t>wytycznymi wskazanymi w sekcji „Sposób obliczania wartości pomocy”</w:t>
      </w:r>
      <w:r w:rsidRPr="00364C58">
        <w:rPr>
          <w:rFonts w:ascii="Arial Nova" w:hAnsi="Arial Nova" w:cs="Helv"/>
          <w:color w:val="000000"/>
          <w:sz w:val="24"/>
          <w:szCs w:val="24"/>
        </w:rPr>
        <w:t>;</w:t>
      </w:r>
    </w:p>
    <w:p w14:paraId="7070293F" w14:textId="47E57BCC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i/>
          <w:iCs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9) potwierdzenie poniesienia straty z działalności operacyjnej</w:t>
      </w:r>
    </w:p>
    <w:p w14:paraId="725898DC" w14:textId="0F49694A" w:rsidR="009950B9" w:rsidRPr="00364C58" w:rsidRDefault="009950B9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9) numer rachunku, na który ma zostać dokonana wypłata rekompensaty.</w:t>
      </w:r>
    </w:p>
    <w:p w14:paraId="237E8021" w14:textId="3EB75ED8" w:rsidR="009950B9" w:rsidRPr="00364C58" w:rsidRDefault="009950B9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bCs/>
          <w:sz w:val="24"/>
          <w:szCs w:val="24"/>
        </w:rPr>
      </w:pPr>
      <w:r w:rsidRPr="00364C58">
        <w:rPr>
          <w:rFonts w:ascii="Arial Nova" w:hAnsi="Arial Nova" w:cstheme="majorBidi"/>
          <w:b/>
          <w:bCs/>
          <w:sz w:val="24"/>
          <w:szCs w:val="24"/>
        </w:rPr>
        <w:t>Załączniki do wniosku</w:t>
      </w:r>
    </w:p>
    <w:p w14:paraId="1BBE4BCE" w14:textId="31A4B2A9" w:rsidR="009950B9" w:rsidRPr="00364C58" w:rsidRDefault="009950B9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>Do wniosku przedsiębiorca załącza następujące załączniki:</w:t>
      </w:r>
    </w:p>
    <w:p w14:paraId="6E5B14F4" w14:textId="77777777" w:rsidR="00D12204" w:rsidRPr="00364C58" w:rsidRDefault="00D12204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1) dokumenty lub ich kopie potwierdzające spełnienie przez wnioskodawcę warunków</w:t>
      </w:r>
    </w:p>
    <w:p w14:paraId="373FD644" w14:textId="66BEA118" w:rsidR="00D12204" w:rsidRPr="00364C58" w:rsidRDefault="00D12204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lastRenderedPageBreak/>
        <w:t>2) oświadczenie "„Jestem świadomy odpowiedzialności karnej za złożenie fałszywego oświadczenia.”</w:t>
      </w:r>
    </w:p>
    <w:p w14:paraId="270BD1D6" w14:textId="77777777" w:rsidR="00D12204" w:rsidRPr="00364C58" w:rsidRDefault="00D12204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3) oświadczenie wnioskodawcy, że nie jest przedsiębiorstwem znajdującym się w trudnej sytuacji w rozumieniu komunikatu Komisji - Wytyczne dotyczące pomocy państwa na ratowanie i restrukturyzację przedsiębiorstw niefinansowych znajdujących się w trudnej sytuacji (Dz.Urz. UE C 249 z 31.07.2014, str. 1 oraz Dz.Urz. UE C 224 z 08.07.2020, str. 2)</w:t>
      </w:r>
    </w:p>
    <w:p w14:paraId="0B7DBE23" w14:textId="77777777" w:rsidR="00D12204" w:rsidRPr="00364C58" w:rsidRDefault="00D12204" w:rsidP="00320CA0">
      <w:pPr>
        <w:autoSpaceDE w:val="0"/>
        <w:autoSpaceDN w:val="0"/>
        <w:adjustRightInd w:val="0"/>
        <w:spacing w:before="100" w:beforeAutospacing="1" w:after="100" w:afterAutospacing="1" w:line="24" w:lineRule="atLeast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4) zaświadczenia właściwych organów potwierdzające, że</w:t>
      </w:r>
    </w:p>
    <w:p w14:paraId="71F3EB73" w14:textId="77777777" w:rsidR="00D12204" w:rsidRPr="00364C58" w:rsidRDefault="00D12204" w:rsidP="00320CA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" w:lineRule="atLeast"/>
        <w:ind w:left="360" w:hanging="360"/>
        <w:jc w:val="both"/>
        <w:rPr>
          <w:rFonts w:ascii="Arial Nova" w:hAnsi="Arial Nova" w:cs="Helv"/>
          <w:color w:val="000000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nie zalega z zapłatą podatków stanowiących dochód budżetu państwa, z wyjątkiem przypadków, gdy uzyskał przewidziane prawem zwolnienie, odroczenie, rozłożenie na raty zaległości podatkowych albo podatku lub wstrzymanie w całości wykonania decyzji właściwego organu podatkowego;</w:t>
      </w:r>
    </w:p>
    <w:p w14:paraId="1666D417" w14:textId="0A497EE5" w:rsidR="009950B9" w:rsidRPr="00364C58" w:rsidRDefault="00D12204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="Helv"/>
          <w:color w:val="000000"/>
          <w:sz w:val="24"/>
          <w:szCs w:val="24"/>
        </w:rPr>
        <w:t>nie zalega z zapłatą należności z tytułu składek na ubezpieczenia społeczne, z wyjątkiem przypadków, gdy zawarł umowę o odroczeniu terminu płatności albo umowę o rozłożeniu na raty należności z tytułu składek na ubezpieczenia społeczne</w:t>
      </w:r>
    </w:p>
    <w:p w14:paraId="0B4A3CEC" w14:textId="535E5126" w:rsidR="00FD0210" w:rsidRPr="00364C58" w:rsidRDefault="00FD0210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bCs/>
          <w:sz w:val="24"/>
          <w:szCs w:val="24"/>
        </w:rPr>
      </w:pPr>
      <w:r w:rsidRPr="00364C58">
        <w:rPr>
          <w:rFonts w:ascii="Arial Nova" w:hAnsi="Arial Nova" w:cstheme="majorBidi"/>
          <w:b/>
          <w:bCs/>
          <w:sz w:val="24"/>
          <w:szCs w:val="24"/>
        </w:rPr>
        <w:t>Okres kwalifikowalny</w:t>
      </w:r>
    </w:p>
    <w:p w14:paraId="645BF605" w14:textId="4FE8F2F2" w:rsidR="00FD0210" w:rsidRPr="00364C58" w:rsidRDefault="00FD0210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 xml:space="preserve">Okres kwalifikowalny do pomocy obejmuje okres od 1 lutego do 31 grudnia 2022 r. </w:t>
      </w:r>
      <w:r w:rsidR="00AE09F4" w:rsidRPr="00364C58">
        <w:rPr>
          <w:rFonts w:ascii="Arial Nova" w:hAnsi="Arial Nova" w:cstheme="majorBidi"/>
          <w:sz w:val="24"/>
          <w:szCs w:val="24"/>
        </w:rPr>
        <w:t>Okres referencyjny dla obliczenia wzrostu cen energii elektrycznej i gazu ziemnego obejmuje okres od 1 stycznia do 31 grudnia 2021 r.</w:t>
      </w:r>
    </w:p>
    <w:p w14:paraId="2898300A" w14:textId="4BA98342" w:rsidR="00E449C4" w:rsidRPr="00364C58" w:rsidRDefault="00E449C4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bCs/>
          <w:sz w:val="24"/>
          <w:szCs w:val="24"/>
        </w:rPr>
      </w:pPr>
      <w:r w:rsidRPr="00364C58">
        <w:rPr>
          <w:rFonts w:ascii="Arial Nova" w:hAnsi="Arial Nova" w:cstheme="majorBidi"/>
          <w:b/>
          <w:bCs/>
          <w:sz w:val="24"/>
          <w:szCs w:val="24"/>
        </w:rPr>
        <w:t>Okres trwania programu</w:t>
      </w:r>
    </w:p>
    <w:p w14:paraId="411D46BB" w14:textId="2255B959" w:rsidR="00E449C4" w:rsidRPr="00364C58" w:rsidRDefault="00E449C4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>Program trwa od momentu ogłoszenia do 31 grudnia 2022 r.</w:t>
      </w:r>
      <w:r w:rsidR="00187B2F" w:rsidRPr="00364C58">
        <w:rPr>
          <w:rFonts w:ascii="Arial Nova" w:hAnsi="Arial Nova" w:cstheme="majorBidi"/>
          <w:sz w:val="24"/>
          <w:szCs w:val="24"/>
        </w:rPr>
        <w:t xml:space="preserve"> Pomoc zostanie </w:t>
      </w:r>
      <w:r w:rsidR="00263585" w:rsidRPr="00364C58">
        <w:rPr>
          <w:rFonts w:ascii="Arial Nova" w:hAnsi="Arial Nova" w:cstheme="majorBidi"/>
          <w:sz w:val="24"/>
          <w:szCs w:val="24"/>
        </w:rPr>
        <w:t>wypłacona</w:t>
      </w:r>
      <w:r w:rsidR="00FD0210" w:rsidRPr="00364C58">
        <w:rPr>
          <w:rFonts w:ascii="Arial Nova" w:hAnsi="Arial Nova" w:cstheme="majorBidi"/>
          <w:sz w:val="24"/>
          <w:szCs w:val="24"/>
        </w:rPr>
        <w:t xml:space="preserve"> do 31 grudnia 2022 r.</w:t>
      </w:r>
    </w:p>
    <w:p w14:paraId="776706F2" w14:textId="47B586A2" w:rsidR="00AE37A5" w:rsidRPr="00364C58" w:rsidRDefault="00AE37A5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bCs/>
          <w:sz w:val="24"/>
          <w:szCs w:val="24"/>
        </w:rPr>
      </w:pPr>
      <w:r w:rsidRPr="00364C58">
        <w:rPr>
          <w:rFonts w:ascii="Arial Nova" w:hAnsi="Arial Nova" w:cstheme="majorBidi"/>
          <w:b/>
          <w:bCs/>
          <w:sz w:val="24"/>
          <w:szCs w:val="24"/>
        </w:rPr>
        <w:t>Budżet</w:t>
      </w:r>
    </w:p>
    <w:p w14:paraId="19FAC5C7" w14:textId="49A4945D" w:rsidR="00AE37A5" w:rsidRPr="00364C58" w:rsidRDefault="00C975BC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>Budżet Programu wynosi 5 079 416 000 zł</w:t>
      </w:r>
      <w:r w:rsidR="00263585" w:rsidRPr="00364C58">
        <w:rPr>
          <w:rFonts w:ascii="Arial Nova" w:hAnsi="Arial Nova" w:cstheme="majorBidi"/>
          <w:sz w:val="24"/>
          <w:szCs w:val="24"/>
        </w:rPr>
        <w:t xml:space="preserve"> i jest finansowany z Funduszu Rekompensat Pośrednich Kosztów Energii</w:t>
      </w:r>
      <w:r w:rsidRPr="00364C58">
        <w:rPr>
          <w:rFonts w:ascii="Arial Nova" w:hAnsi="Arial Nova" w:cstheme="majorBidi"/>
          <w:sz w:val="24"/>
          <w:szCs w:val="24"/>
        </w:rPr>
        <w:t xml:space="preserve">. </w:t>
      </w:r>
    </w:p>
    <w:p w14:paraId="2EE0C579" w14:textId="35155B1B" w:rsidR="00AE37A5" w:rsidRPr="00364C58" w:rsidRDefault="00AE37A5" w:rsidP="00320CA0">
      <w:pPr>
        <w:spacing w:before="100" w:beforeAutospacing="1" w:after="100" w:afterAutospacing="1" w:line="24" w:lineRule="atLeast"/>
        <w:jc w:val="both"/>
        <w:rPr>
          <w:rFonts w:ascii="Arial Nova" w:hAnsi="Arial Nova" w:cstheme="majorBidi"/>
          <w:b/>
          <w:bCs/>
          <w:sz w:val="24"/>
          <w:szCs w:val="24"/>
        </w:rPr>
      </w:pPr>
      <w:r w:rsidRPr="00364C58">
        <w:rPr>
          <w:rFonts w:ascii="Arial Nova" w:hAnsi="Arial Nova" w:cstheme="majorBidi"/>
          <w:b/>
          <w:bCs/>
          <w:sz w:val="24"/>
          <w:szCs w:val="24"/>
        </w:rPr>
        <w:t>Sposób obliczania wartości pomocy</w:t>
      </w:r>
    </w:p>
    <w:p w14:paraId="1DC28494" w14:textId="77777777" w:rsidR="00187B2F" w:rsidRPr="00364C58" w:rsidRDefault="00187B2F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Wysokość przyznanej Pomocy wynika z kosztów poniesionych przez beneficjenta na zakup gazu i energii elektrycznej w okresie od 1 lutego 2022 r. do 31 grudnia 2022 r. Koszt kwalifikowalny jest równy iloczynowi liczby jednostek gazu ziemnego i energii elektrycznej nabytych przez przedsiębiorstwo – w charakterze odbiorcy końcowego – od dostawców zewnętrznych w okresie od 1 lutego 2022 r. najpóźniej do 31 grudnia 2022 r. („okres kwalifikowalny”) i określonego wzrostu ceny, jaką przedsiębiorstwo płaci za zużytą jednostkę (mierzoną na przykład w EUR/MWh). Wzrost ceny oblicza się jako różnicę między ceną jednostkową płaconą przez przedsiębiorstwo w danym miesiącu w okresie kwalifikowalnym a dwukrotnością (200 %) ceny jednostkowej </w:t>
      </w: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lastRenderedPageBreak/>
        <w:t>płaconej przez przedsiębiorstwo w ujęciu średnim w okresie odniesienia, tj. od 1 stycznia 2021 r. do 31 grudnia 2021 r.</w:t>
      </w:r>
    </w:p>
    <w:p w14:paraId="027852DA" w14:textId="77777777" w:rsidR="00187B2F" w:rsidRPr="00364C58" w:rsidRDefault="00187B2F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i/>
          <w:iCs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>Powyższe obrazuje następująca formuła:</w:t>
      </w:r>
    </w:p>
    <w:p w14:paraId="5D0F1C9B" w14:textId="77777777" w:rsidR="00187B2F" w:rsidRPr="00364C58" w:rsidRDefault="00187B2F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val="pl-PL"/>
            </w:rPr>
            <m:t>KK=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pl-PL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11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pl-P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{[J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g</m:t>
                  </m:r>
                </m:sup>
              </m:sSub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*</m:t>
              </m:r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pl-P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(C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g</m:t>
                  </m:r>
                </m:sup>
              </m:sSub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-2*</m:t>
              </m:r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pl-PL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'21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pl-PL"/>
                    </w:rPr>
                    <m:t>g</m:t>
                  </m:r>
                </m:sup>
              </m:sSubSup>
            </m:e>
          </m:nary>
          <m:r>
            <w:rPr>
              <w:rFonts w:ascii="Cambria Math" w:eastAsiaTheme="minorEastAsia" w:hAnsi="Cambria Math" w:cstheme="majorBidi"/>
              <w:sz w:val="24"/>
              <w:szCs w:val="24"/>
              <w:lang w:val="pl-PL"/>
            </w:rPr>
            <m:t xml:space="preserve">)]+ 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pl-PL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[J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i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e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  <w:lang w:val="pl-PL"/>
            </w:rPr>
            <m:t>*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pl-PL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(C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i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e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  <w:lang w:val="pl-PL"/>
            </w:rPr>
            <m:t>-2*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pl-PL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'21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pl-PL"/>
                </w:rPr>
                <m:t>e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  <w:lang w:val="pl-PL"/>
            </w:rPr>
            <m:t>)]}</m:t>
          </m:r>
        </m:oMath>
      </m:oMathPara>
    </w:p>
    <w:p w14:paraId="27C954FB" w14:textId="77777777" w:rsidR="00187B2F" w:rsidRPr="00364C58" w:rsidRDefault="00187B2F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 xml:space="preserve">gdzie: </w:t>
      </w:r>
    </w:p>
    <w:p w14:paraId="71CDF686" w14:textId="77777777" w:rsidR="00187B2F" w:rsidRPr="00320CA0" w:rsidRDefault="00187B2F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sz w:val="23"/>
          <w:szCs w:val="23"/>
          <w:lang w:val="pl-PL"/>
        </w:rPr>
      </w:pPr>
      <m:oMath>
        <m:r>
          <w:rPr>
            <w:rFonts w:ascii="Cambria Math" w:eastAsiaTheme="minorEastAsia" w:hAnsi="Cambria Math" w:cstheme="majorBidi"/>
            <w:sz w:val="23"/>
            <w:szCs w:val="23"/>
            <w:lang w:val="pl-PL"/>
          </w:rPr>
          <m:t>KK</m:t>
        </m:r>
      </m:oMath>
      <w:r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 oznacza koszty kwalifikowalne,</w:t>
      </w:r>
    </w:p>
    <w:p w14:paraId="05776E9D" w14:textId="77777777" w:rsidR="00187B2F" w:rsidRPr="00320CA0" w:rsidRDefault="0002272B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i/>
          <w:iCs/>
          <w:sz w:val="23"/>
          <w:szCs w:val="23"/>
          <w:lang w:val="pl-PL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J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i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g</m:t>
            </m:r>
          </m:sup>
        </m:sSubSup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 oraz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J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i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e</m:t>
            </m:r>
          </m:sup>
        </m:sSubSup>
        <m:r>
          <w:rPr>
            <w:rFonts w:ascii="Cambria Math" w:eastAsiaTheme="minorEastAsia" w:hAnsi="Cambria Math" w:cstheme="majorBidi"/>
            <w:sz w:val="23"/>
            <w:szCs w:val="23"/>
            <w:lang w:val="pl-PL"/>
          </w:rPr>
          <m:t xml:space="preserve"> </m:t>
        </m:r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oznaczają odpowiednio liczbę jednostek gazu ziemnego oraz liczbę jednostek energii elektrycznej zakupionych w miesiącu </w:t>
      </w:r>
      <w:r w:rsidR="00187B2F" w:rsidRPr="00320CA0">
        <w:rPr>
          <w:rFonts w:ascii="Arial Nova" w:eastAsiaTheme="minorEastAsia" w:hAnsi="Arial Nova" w:cstheme="majorBidi"/>
          <w:i/>
          <w:iCs/>
          <w:sz w:val="23"/>
          <w:szCs w:val="23"/>
          <w:lang w:val="pl-PL"/>
        </w:rPr>
        <w:t>i,</w:t>
      </w:r>
    </w:p>
    <w:p w14:paraId="51DB414B" w14:textId="77777777" w:rsidR="00187B2F" w:rsidRPr="00320CA0" w:rsidRDefault="0002272B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sz w:val="23"/>
          <w:szCs w:val="23"/>
          <w:lang w:val="pl-PL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i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g</m:t>
            </m:r>
          </m:sup>
        </m:sSubSup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 oraz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i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e</m:t>
            </m:r>
          </m:sup>
        </m:sSubSup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oznaczają odpowiednio ceny jednostkowe gazu ziemnego i energii elektrycznej, zakupionych przez beneficjenta w miesiącu </w:t>
      </w:r>
      <w:r w:rsidR="00187B2F" w:rsidRPr="00320CA0">
        <w:rPr>
          <w:rFonts w:ascii="Arial Nova" w:eastAsiaTheme="minorEastAsia" w:hAnsi="Arial Nova" w:cstheme="majorBidi"/>
          <w:i/>
          <w:iCs/>
          <w:sz w:val="23"/>
          <w:szCs w:val="23"/>
          <w:lang w:val="pl-PL"/>
        </w:rPr>
        <w:t>i</w:t>
      </w:r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, </w:t>
      </w:r>
    </w:p>
    <w:p w14:paraId="6364C64A" w14:textId="77777777" w:rsidR="00187B2F" w:rsidRPr="00320CA0" w:rsidRDefault="0002272B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sz w:val="23"/>
          <w:szCs w:val="23"/>
          <w:lang w:val="pl-PL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'21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g</m:t>
            </m:r>
          </m:sup>
        </m:sSubSup>
        <m:r>
          <w:rPr>
            <w:rFonts w:ascii="Cambria Math" w:eastAsiaTheme="minorEastAsia" w:hAnsi="Cambria Math" w:cstheme="majorBidi"/>
            <w:sz w:val="23"/>
            <w:szCs w:val="23"/>
            <w:lang w:val="pl-PL"/>
          </w:rPr>
          <m:t xml:space="preserve"> </m:t>
        </m:r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oraz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3"/>
                <w:szCs w:val="23"/>
                <w:lang w:val="pl-PL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'21</m:t>
            </m:r>
          </m:sub>
          <m:sup>
            <m:r>
              <w:rPr>
                <w:rFonts w:ascii="Cambria Math" w:eastAsiaTheme="minorEastAsia" w:hAnsi="Cambria Math" w:cstheme="majorBidi"/>
                <w:sz w:val="23"/>
                <w:szCs w:val="23"/>
                <w:lang w:val="pl-PL"/>
              </w:rPr>
              <m:t>e</m:t>
            </m:r>
          </m:sup>
        </m:sSubSup>
      </m:oMath>
      <w:r w:rsidR="00187B2F"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>oznaczają odpowiednio średnie ceny jednostkowe gazu ziemnego i energii elektrycznej płacone przez beneficjenta w okresie od 1 stycznia do 31 grudnia 2021 r.</w:t>
      </w:r>
    </w:p>
    <w:p w14:paraId="2C18023D" w14:textId="77777777" w:rsidR="00187B2F" w:rsidRPr="00320CA0" w:rsidRDefault="00187B2F" w:rsidP="00320CA0">
      <w:pPr>
        <w:pStyle w:val="AODocTxt"/>
        <w:keepNext/>
        <w:spacing w:before="40" w:after="40" w:line="24" w:lineRule="atLeast"/>
        <w:rPr>
          <w:rFonts w:ascii="Arial Nova" w:eastAsiaTheme="minorEastAsia" w:hAnsi="Arial Nova" w:cstheme="majorBidi"/>
          <w:sz w:val="23"/>
          <w:szCs w:val="23"/>
          <w:lang w:val="pl-PL"/>
        </w:rPr>
      </w:pPr>
      <w:r w:rsidRPr="00320CA0">
        <w:rPr>
          <w:rFonts w:ascii="Arial Nova" w:eastAsiaTheme="minorEastAsia" w:hAnsi="Arial Nova" w:cstheme="majorBidi"/>
          <w:i/>
          <w:iCs/>
          <w:sz w:val="23"/>
          <w:szCs w:val="23"/>
          <w:lang w:val="pl-PL"/>
        </w:rPr>
        <w:t>i</w:t>
      </w:r>
      <w:r w:rsidRPr="00320CA0">
        <w:rPr>
          <w:rFonts w:ascii="Arial Nova" w:eastAsiaTheme="minorEastAsia" w:hAnsi="Arial Nova" w:cstheme="majorBidi"/>
          <w:sz w:val="23"/>
          <w:szCs w:val="23"/>
          <w:lang w:val="pl-PL"/>
        </w:rPr>
        <w:t xml:space="preserve"> jest indeksem oznaczającym kolejne miesiące, rozpoczynając od lutego 2022 r. </w:t>
      </w:r>
    </w:p>
    <w:p w14:paraId="0F54DC99" w14:textId="6D404C3E" w:rsidR="00AE37A5" w:rsidRPr="00364C58" w:rsidRDefault="00187B2F" w:rsidP="00320CA0">
      <w:pPr>
        <w:spacing w:before="240" w:after="100" w:afterAutospacing="1" w:line="24" w:lineRule="atLeast"/>
        <w:jc w:val="both"/>
        <w:rPr>
          <w:rFonts w:ascii="Arial Nova" w:eastAsiaTheme="minorEastAsia" w:hAnsi="Arial Nova" w:cstheme="majorBidi"/>
          <w:b/>
          <w:bCs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 xml:space="preserve">W okresie </w:t>
      </w: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od września do grudnia 2022 r.</w:t>
      </w:r>
      <w:r w:rsidRPr="00364C58">
        <w:rPr>
          <w:rFonts w:ascii="Arial Nova" w:eastAsiaTheme="minorEastAsia" w:hAnsi="Arial Nova" w:cstheme="majorBidi"/>
          <w:sz w:val="24"/>
          <w:szCs w:val="24"/>
        </w:rPr>
        <w:t xml:space="preserve"> ilość gazu ziemnego i energii elektrycznej przyjęta do obliczania kosztów kwalifikowalnych </w:t>
      </w: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nie może przekroczyć 70% zużycia beneficjenta w analogicznym okresie w 2021 r.</w:t>
      </w:r>
    </w:p>
    <w:p w14:paraId="74AE7C3E" w14:textId="77777777" w:rsidR="00187B2F" w:rsidRPr="00364C58" w:rsidRDefault="00187B2F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>Łączna kwota pomocy na beneficjenta nie może przekroczyć 30% kosztów kwalifikowalnych i nie więcej niż 2 mln EUR.</w:t>
      </w:r>
    </w:p>
    <w:p w14:paraId="64E159A5" w14:textId="03198945" w:rsidR="00187B2F" w:rsidRPr="00364C58" w:rsidRDefault="00187B2F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>Beneficjent kwalifikuje się do zwiększonej kwoty pomocy, jeżeli ponosi straty z działalności operacyjnej, przy czym wzrost kosztów kwalifikowalnych musi stanowić co najmniej 50 % straty z działalności operacyjnej w okresie kwalifikowalnym. Łączna kwota pomocy dla takiego beneficjenta wynosi 70% kosztów kwalifikowalnych i maksymalnie 80% strat z działalności operacyjnej, ale nie więcej niż 25 mln EUR.</w:t>
      </w:r>
    </w:p>
    <w:p w14:paraId="05B3D457" w14:textId="318BB002" w:rsidR="009950B9" w:rsidRPr="00364C58" w:rsidRDefault="009950B9" w:rsidP="00320CA0">
      <w:pPr>
        <w:spacing w:before="100" w:beforeAutospacing="1" w:after="100" w:afterAutospacing="1" w:line="24" w:lineRule="atLeast"/>
        <w:jc w:val="both"/>
        <w:rPr>
          <w:rFonts w:ascii="Arial Nova" w:hAnsi="Arial Nova"/>
          <w:sz w:val="24"/>
          <w:szCs w:val="24"/>
        </w:rPr>
      </w:pPr>
      <w:r w:rsidRPr="00364C58">
        <w:rPr>
          <w:rFonts w:ascii="Arial Nova" w:hAnsi="Arial Nova" w:cstheme="majorBidi"/>
          <w:sz w:val="24"/>
          <w:szCs w:val="24"/>
        </w:rPr>
        <w:t>W przypadku, gdy wartość wszystkich pozytywnie rozpatrzonych wniosków o Pomoc przekracza budżet Programu, Operator wypłaci Pomoc w kwocie pomniejszonej proporcjonalnie do udziału kwoty budżetu Programu do łącznej wartości pomocy wynikającej z rozpatrzonych wniosków.</w:t>
      </w:r>
      <w:r w:rsidRPr="00364C58">
        <w:rPr>
          <w:rFonts w:ascii="Arial Nova" w:hAnsi="Arial Nova"/>
          <w:sz w:val="24"/>
          <w:szCs w:val="24"/>
        </w:rPr>
        <w:t xml:space="preserve"> </w:t>
      </w:r>
    </w:p>
    <w:p w14:paraId="2F628B94" w14:textId="7291882D" w:rsidR="00263585" w:rsidRPr="00364C58" w:rsidRDefault="00C975BC" w:rsidP="00320CA0">
      <w:pPr>
        <w:pStyle w:val="AODocTxt"/>
        <w:keepNext/>
        <w:spacing w:before="100" w:beforeAutospacing="1" w:after="100" w:afterAutospacing="1" w:line="24" w:lineRule="atLeast"/>
        <w:rPr>
          <w:rFonts w:ascii="Arial Nova" w:eastAsiaTheme="minorEastAsia" w:hAnsi="Arial Nova" w:cstheme="majorBidi"/>
          <w:sz w:val="24"/>
          <w:szCs w:val="24"/>
          <w:lang w:val="pl-PL"/>
        </w:rPr>
      </w:pPr>
      <w:r w:rsidRPr="00364C58">
        <w:rPr>
          <w:rFonts w:ascii="Arial Nova" w:eastAsiaTheme="minorEastAsia" w:hAnsi="Arial Nova" w:cstheme="majorBidi"/>
          <w:sz w:val="24"/>
          <w:szCs w:val="24"/>
          <w:lang w:val="pl-PL"/>
        </w:rPr>
        <w:t>Na potrzeby określenia limitu kwoty pomocy przyjmuje się średni kurs wymiany euro na polskie złote ogłaszany przez Narodowy Bank Polski w dniu poprzedzającym dzień zawarcia umowy o udzielenie pomocy pomiędzy Operatorem a beneficjentem.</w:t>
      </w:r>
    </w:p>
    <w:p w14:paraId="7EEBB749" w14:textId="71CC0B1F" w:rsidR="00187B2F" w:rsidRPr="00364C58" w:rsidRDefault="00187B2F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b/>
          <w:bCs/>
          <w:sz w:val="24"/>
          <w:szCs w:val="24"/>
        </w:rPr>
      </w:pP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Kumulacja pomocy</w:t>
      </w:r>
    </w:p>
    <w:p w14:paraId="1CB3A5BA" w14:textId="77777777" w:rsidR="00320CA0" w:rsidRDefault="00187B2F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>Pomoc będzie mogła być kumulowana z:</w:t>
      </w:r>
    </w:p>
    <w:p w14:paraId="45E22084" w14:textId="77777777" w:rsidR="00320CA0" w:rsidRDefault="00187B2F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>1) inną pomocą udzielaną zgodnie z sekcją 2.4 komunikatu Komisji Tymczasowe kryzysowe ramy środków pomocy państwa w celu wsparcia gospodarki po agresji Rosji wobec Ukrainy (Dz. Urz. UE CI 131 z 24.03.2022, str. 1), zwanego dalej „komunikatem”,</w:t>
      </w:r>
    </w:p>
    <w:p w14:paraId="56B9D8DD" w14:textId="605C096A" w:rsidR="00187B2F" w:rsidRPr="00364C58" w:rsidRDefault="00187B2F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lastRenderedPageBreak/>
        <w:t>2) inną pomocą udzieloną zgodnie z sekcją 2.1 komunikatu,</w:t>
      </w:r>
      <w:r w:rsidRPr="00364C58">
        <w:rPr>
          <w:rFonts w:ascii="Arial Nova" w:eastAsiaTheme="minorEastAsia" w:hAnsi="Arial Nova" w:cstheme="majorBidi"/>
          <w:sz w:val="24"/>
          <w:szCs w:val="24"/>
        </w:rPr>
        <w:br/>
        <w:t>– pod warunkiem, że łączna kwota udzielonej beneficjentowi pomocy nie przekroczy kwoty odpowiednio: 2 mln EUR albo 25 mln EUR.</w:t>
      </w:r>
    </w:p>
    <w:p w14:paraId="1A60AD1C" w14:textId="597297A7" w:rsidR="00AE09F4" w:rsidRPr="00364C58" w:rsidRDefault="00D12204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b/>
          <w:bCs/>
          <w:sz w:val="24"/>
          <w:szCs w:val="24"/>
        </w:rPr>
      </w:pP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Forma Pomocy</w:t>
      </w:r>
    </w:p>
    <w:p w14:paraId="11DD56C5" w14:textId="544454D3" w:rsidR="00D12204" w:rsidRPr="00364C58" w:rsidRDefault="00D12204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 xml:space="preserve">Pomoc udzielana jest w formie </w:t>
      </w:r>
      <w:r w:rsidR="00DF1C54" w:rsidRPr="00364C58">
        <w:rPr>
          <w:rFonts w:ascii="Arial Nova" w:eastAsiaTheme="minorEastAsia" w:hAnsi="Arial Nova" w:cstheme="majorBidi"/>
          <w:sz w:val="24"/>
          <w:szCs w:val="24"/>
        </w:rPr>
        <w:t>zaliczki</w:t>
      </w:r>
      <w:r w:rsidR="00DE23FA" w:rsidRPr="00364C58">
        <w:rPr>
          <w:rFonts w:ascii="Arial Nova" w:eastAsiaTheme="minorEastAsia" w:hAnsi="Arial Nova" w:cstheme="majorBidi"/>
          <w:sz w:val="24"/>
          <w:szCs w:val="24"/>
        </w:rPr>
        <w:t>.</w:t>
      </w:r>
    </w:p>
    <w:p w14:paraId="3C3B6A44" w14:textId="35C30891" w:rsidR="00DE23FA" w:rsidRPr="00364C58" w:rsidRDefault="00DE23FA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b/>
          <w:bCs/>
          <w:sz w:val="24"/>
          <w:szCs w:val="24"/>
        </w:rPr>
      </w:pP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Rozliczenie Pomocy</w:t>
      </w:r>
    </w:p>
    <w:p w14:paraId="162C76D3" w14:textId="6EF770B4" w:rsidR="00DE23FA" w:rsidRPr="00364C58" w:rsidRDefault="00DE23FA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>Pomoc podlega rozliczeniu do 31 stycznia 2023 r. W ramach rozliczenia przedsiębiorca przedstawia Operatorowi udokumentowane sprawozdanie potwierdzające zgodność kosztów kwalifikowalnych, na podstawie których wypłacono Pomoc z rzeczywi</w:t>
      </w:r>
      <w:r w:rsidR="00605E5D" w:rsidRPr="00364C58">
        <w:rPr>
          <w:rFonts w:ascii="Arial Nova" w:eastAsiaTheme="minorEastAsia" w:hAnsi="Arial Nova" w:cstheme="majorBidi"/>
          <w:sz w:val="24"/>
          <w:szCs w:val="24"/>
        </w:rPr>
        <w:t>ście poniesionymi</w:t>
      </w:r>
      <w:r w:rsidRPr="00364C58">
        <w:rPr>
          <w:rFonts w:ascii="Arial Nova" w:eastAsiaTheme="minorEastAsia" w:hAnsi="Arial Nova" w:cstheme="majorBidi"/>
          <w:sz w:val="24"/>
          <w:szCs w:val="24"/>
        </w:rPr>
        <w:t xml:space="preserve"> kosztami zakupu </w:t>
      </w:r>
      <w:r w:rsidR="00605E5D" w:rsidRPr="00364C58">
        <w:rPr>
          <w:rFonts w:ascii="Arial Nova" w:eastAsiaTheme="minorEastAsia" w:hAnsi="Arial Nova" w:cstheme="majorBidi"/>
          <w:sz w:val="24"/>
          <w:szCs w:val="24"/>
        </w:rPr>
        <w:t>energii elektrycznej lub gazu ziemnego. Złożone rozliczenie podlega weryfikacji przez Operatora.</w:t>
      </w:r>
    </w:p>
    <w:p w14:paraId="25ABAEEA" w14:textId="4AE5A8A4" w:rsidR="000A205B" w:rsidRPr="00364C58" w:rsidRDefault="000A205B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 w:rsidRPr="00364C58">
        <w:rPr>
          <w:rFonts w:ascii="Arial Nova" w:eastAsiaTheme="minorEastAsia" w:hAnsi="Arial Nova" w:cstheme="majorBidi"/>
          <w:sz w:val="24"/>
          <w:szCs w:val="24"/>
        </w:rPr>
        <w:t>Brak złożenia rozliczenia Pomocy w terminie skutkuje rozpoczęciem przez Operatora kontroli.</w:t>
      </w:r>
    </w:p>
    <w:p w14:paraId="13DB644F" w14:textId="192A755E" w:rsidR="00605E5D" w:rsidRPr="00364C58" w:rsidRDefault="00605E5D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b/>
          <w:bCs/>
          <w:sz w:val="24"/>
          <w:szCs w:val="24"/>
        </w:rPr>
      </w:pPr>
      <w:r w:rsidRPr="00364C58">
        <w:rPr>
          <w:rFonts w:ascii="Arial Nova" w:eastAsiaTheme="minorEastAsia" w:hAnsi="Arial Nova" w:cstheme="majorBidi"/>
          <w:b/>
          <w:bCs/>
          <w:sz w:val="24"/>
          <w:szCs w:val="24"/>
        </w:rPr>
        <w:t>Warunki rozliczenia Pomocy</w:t>
      </w:r>
    </w:p>
    <w:p w14:paraId="59FA7594" w14:textId="7848C26E" w:rsidR="00AC4108" w:rsidRPr="00364C58" w:rsidRDefault="00AC4108" w:rsidP="00320CA0">
      <w:pPr>
        <w:pStyle w:val="ARTartustawynprozporzdzenia"/>
        <w:spacing w:before="100" w:beforeAutospacing="1" w:after="100" w:afterAutospacing="1" w:line="24" w:lineRule="atLeast"/>
        <w:rPr>
          <w:rFonts w:ascii="Arial Nova" w:hAnsi="Arial Nova"/>
          <w:szCs w:val="24"/>
        </w:rPr>
      </w:pPr>
      <w:r w:rsidRPr="00364C58">
        <w:rPr>
          <w:rFonts w:ascii="Arial Nova" w:hAnsi="Arial Nova"/>
          <w:szCs w:val="24"/>
        </w:rPr>
        <w:t>W przypadku stwierdzenia przez Operatora, że pomoc została przyznana nienależnie, w wysokości wyższej niż należna lub rozliczenie pomocy nastąpiło z naruszeniem sposobu lub terminu, określonych w umowie pomiędzy Operatorem a beneficjentem, beneficjent dokonuje zwrotu  środków pobranych w wysokości wyższej niż należna wraz z odsetkami obliczonymi z zastosowaniem stopy zwrotu pomocy określonej zgodnie z rozdziałem V rozporządzenia Komisji (WE) nr 794/2004 z dnia 21 kwietnia 2004 r. w sprawie wykonania rozporządzenia Rady (UE) nr 2015/1589 ustanawiającego szczegółowe zasady stosowania art. 108 Traktatu o funkcjonowaniu Unii Europejskiej (Dz.   Urz. UE L 140 z 30.04.2004, str. 1, z późn. zm.</w:t>
      </w:r>
      <w:r w:rsidRPr="00364C58">
        <w:rPr>
          <w:rStyle w:val="Odwoanieprzypisudolnego"/>
          <w:rFonts w:ascii="Arial Nova" w:hAnsi="Arial Nova"/>
          <w:szCs w:val="24"/>
        </w:rPr>
        <w:footnoteReference w:id="1"/>
      </w:r>
      <w:r w:rsidRPr="00364C58">
        <w:rPr>
          <w:rStyle w:val="IGindeksgrny"/>
          <w:rFonts w:ascii="Arial Nova" w:hAnsi="Arial Nova"/>
          <w:szCs w:val="24"/>
        </w:rPr>
        <w:t>)</w:t>
      </w:r>
      <w:r w:rsidRPr="00364C58">
        <w:rPr>
          <w:rFonts w:ascii="Arial Nova" w:hAnsi="Arial Nova"/>
          <w:szCs w:val="24"/>
        </w:rPr>
        <w:t>) w przeliczeniu na złote według średniego kursu euro ogłaszanego przez Narodowy Bank Polski w dniu poprzedzającym dzień zawarcia umowy, o której mowa w art. 7 ust. 1,  począwszy od dnia przekazania pomocy na rachunek beneficjenta.</w:t>
      </w:r>
    </w:p>
    <w:p w14:paraId="0CE5544B" w14:textId="58FE3227" w:rsidR="00605E5D" w:rsidRDefault="00605E5D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</w:p>
    <w:p w14:paraId="4E84C7F5" w14:textId="56F7D5FF" w:rsidR="007C1F1A" w:rsidRDefault="007C1F1A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</w:p>
    <w:p w14:paraId="7CD9893A" w14:textId="08CB55CD" w:rsidR="007C1F1A" w:rsidRDefault="007C1F1A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  <w:r>
        <w:rPr>
          <w:rFonts w:ascii="Arial Nova" w:eastAsiaTheme="minorEastAsia" w:hAnsi="Arial Nova" w:cstheme="majorBidi"/>
          <w:sz w:val="24"/>
          <w:szCs w:val="24"/>
        </w:rPr>
        <w:t>Załącznik</w:t>
      </w:r>
    </w:p>
    <w:p w14:paraId="59FE11F1" w14:textId="77777777" w:rsidR="007C1F1A" w:rsidRPr="007C1F1A" w:rsidRDefault="007C1F1A" w:rsidP="007C1F1A">
      <w:pPr>
        <w:rPr>
          <w:rFonts w:ascii="Arial Nova" w:hAnsi="Arial Nova" w:cstheme="minorHAnsi"/>
          <w:b/>
          <w:bCs/>
          <w:sz w:val="18"/>
          <w:szCs w:val="18"/>
        </w:rPr>
      </w:pPr>
      <w:r w:rsidRPr="007C1F1A">
        <w:rPr>
          <w:rFonts w:ascii="Arial Nova" w:hAnsi="Arial Nova" w:cstheme="minorHAnsi"/>
          <w:b/>
          <w:bCs/>
          <w:sz w:val="18"/>
          <w:szCs w:val="18"/>
        </w:rPr>
        <w:t>Lista kodów PKD planowanych do programu na rok 2022 „sektory szczególnie odczuwające skutki kryzysu”</w:t>
      </w:r>
    </w:p>
    <w:tbl>
      <w:tblPr>
        <w:tblW w:w="50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094"/>
      </w:tblGrid>
      <w:tr w:rsidR="007C1F1A" w:rsidRPr="007C1F1A" w14:paraId="178E3A98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5D4A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CAEE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odzieży skórzanej</w:t>
            </w:r>
          </w:p>
        </w:tc>
      </w:tr>
      <w:tr w:rsidR="007C1F1A" w:rsidRPr="007C1F1A" w14:paraId="456EA8BD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AA3E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lastRenderedPageBreak/>
              <w:t>24.42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F724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aluminium</w:t>
            </w:r>
          </w:p>
        </w:tc>
      </w:tr>
      <w:tr w:rsidR="007C1F1A" w:rsidRPr="007C1F1A" w14:paraId="4C23F2CA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C29EF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19669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pozostałych podstawowych chemikaliów nieorganicznych</w:t>
            </w:r>
          </w:p>
        </w:tc>
      </w:tr>
      <w:tr w:rsidR="007C1F1A" w:rsidRPr="007C1F1A" w14:paraId="1623B5B3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61583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40C2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ołowiu, cynku i cyny</w:t>
            </w:r>
          </w:p>
        </w:tc>
      </w:tr>
      <w:tr w:rsidR="007C1F1A" w:rsidRPr="007C1F1A" w14:paraId="20993782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E52F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1BDC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masy włóknistej</w:t>
            </w:r>
          </w:p>
        </w:tc>
      </w:tr>
      <w:tr w:rsidR="007C1F1A" w:rsidRPr="007C1F1A" w14:paraId="325F3052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3380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07.29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8B75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Górnictwo pozostałych rud metali nieżelaznych</w:t>
            </w:r>
          </w:p>
        </w:tc>
      </w:tr>
      <w:tr w:rsidR="007C1F1A" w:rsidRPr="007C1F1A" w14:paraId="51BDABC6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D82D9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17621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papieru i tektury</w:t>
            </w:r>
          </w:p>
        </w:tc>
      </w:tr>
      <w:tr w:rsidR="007C1F1A" w:rsidRPr="007C1F1A" w14:paraId="5B0B5216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3B85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3297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surówki żelazostopów, żeliwa i stali oraz wyrobów hutniczych</w:t>
            </w:r>
          </w:p>
        </w:tc>
      </w:tr>
      <w:tr w:rsidR="007C1F1A" w:rsidRPr="007C1F1A" w14:paraId="6FE0B22A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9003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B13BA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kauczuku syntetycznego w formach podstawowych</w:t>
            </w:r>
          </w:p>
        </w:tc>
      </w:tr>
      <w:tr w:rsidR="007C1F1A" w:rsidRPr="007C1F1A" w14:paraId="33168594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FEF2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24.51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70C7A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Odlewnictwo żeliwa</w:t>
            </w:r>
          </w:p>
        </w:tc>
      </w:tr>
      <w:tr w:rsidR="007C1F1A" w:rsidRPr="007C1F1A" w14:paraId="167BBE7B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F4FC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3D33E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włókien chemicznych</w:t>
            </w:r>
          </w:p>
        </w:tc>
      </w:tr>
      <w:tr w:rsidR="007C1F1A" w:rsidRPr="007C1F1A" w14:paraId="7E4AF5F9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72DB5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134FF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Wytwarzanie i przetwarzanie produktów rafinacji ropy naftowej</w:t>
            </w:r>
          </w:p>
        </w:tc>
      </w:tr>
      <w:tr w:rsidR="007C1F1A" w:rsidRPr="007C1F1A" w14:paraId="572D55C7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B3B68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2D8A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miedzi</w:t>
            </w:r>
          </w:p>
        </w:tc>
      </w:tr>
      <w:tr w:rsidR="007C1F1A" w:rsidRPr="007C1F1A" w14:paraId="4E0AB9FD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0A37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BBC7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tworzyw sztucznych w formach podstawowych</w:t>
            </w:r>
          </w:p>
        </w:tc>
      </w:tr>
      <w:tr w:rsidR="007C1F1A" w:rsidRPr="007C1F1A" w14:paraId="632085E1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DF53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4258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Przygotowanie i przędzenie włókien tekstylnych</w:t>
            </w:r>
          </w:p>
        </w:tc>
      </w:tr>
      <w:tr w:rsidR="007C1F1A" w:rsidRPr="007C1F1A" w14:paraId="1FAE6917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D00C5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38551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pozostałych metali nieżelaznych</w:t>
            </w:r>
          </w:p>
        </w:tc>
      </w:tr>
      <w:tr w:rsidR="007C1F1A" w:rsidRPr="007C1F1A" w14:paraId="5EC47569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26A28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23.31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F28FE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ceramicznych kafli i płytek</w:t>
            </w:r>
          </w:p>
        </w:tc>
      </w:tr>
      <w:tr w:rsidR="007C1F1A" w:rsidRPr="007C1F1A" w14:paraId="0C44305D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919F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68E0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włóknin i wyrobów wykonanych z włóknin, z wyłączeniem odzieży</w:t>
            </w:r>
          </w:p>
        </w:tc>
      </w:tr>
      <w:tr w:rsidR="007C1F1A" w:rsidRPr="007C1F1A" w14:paraId="49C02A73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016B5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3FD1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włókien szklanych</w:t>
            </w:r>
          </w:p>
        </w:tc>
      </w:tr>
      <w:tr w:rsidR="007C1F1A" w:rsidRPr="007C1F1A" w14:paraId="0B7D03CF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95D3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AB06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nawozów i związków azotowych</w:t>
            </w:r>
          </w:p>
        </w:tc>
      </w:tr>
      <w:tr w:rsidR="007C1F1A" w:rsidRPr="007C1F1A" w14:paraId="40A00477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7C0C3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16.21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AEB4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arkuszy fornirowych i płyt wykonanych na bazie drewna</w:t>
            </w:r>
          </w:p>
        </w:tc>
      </w:tr>
      <w:tr w:rsidR="007C1F1A" w:rsidRPr="007C1F1A" w14:paraId="0FA4BA15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19A1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C228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szkła płaskiego</w:t>
            </w:r>
          </w:p>
        </w:tc>
      </w:tr>
      <w:tr w:rsidR="007C1F1A" w:rsidRPr="007C1F1A" w14:paraId="48FEFCBD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37DD6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F5C25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Produkcja szkła gospodarczego</w:t>
            </w:r>
          </w:p>
        </w:tc>
      </w:tr>
      <w:tr w:rsidR="007C1F1A" w:rsidRPr="007C1F1A" w14:paraId="1C2BB1A7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2BDE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BCED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Następujące podsektory w ramach sektora gazów technicznych (20.11):</w:t>
            </w:r>
          </w:p>
        </w:tc>
      </w:tr>
      <w:tr w:rsidR="007C1F1A" w:rsidRPr="007C1F1A" w14:paraId="5F3DF82E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B2471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bookmarkStart w:id="1" w:name="_Hlk113538638"/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20.11.11.50</w:t>
            </w:r>
          </w:p>
          <w:p w14:paraId="04C1D58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20.11.12.90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A352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Wodór</w:t>
            </w:r>
          </w:p>
          <w:p w14:paraId="3D46C69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Nieorganiczne związki tlenowe niemetali</w:t>
            </w:r>
          </w:p>
        </w:tc>
      </w:tr>
      <w:tr w:rsidR="007C1F1A" w:rsidRPr="007C1F1A" w14:paraId="7ABD4B5F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6EEA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F474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Następujące podsektory w ramach sektora produkcji pozostałych podstawowych chemikaliów organicznych (20.14):</w:t>
            </w:r>
          </w:p>
        </w:tc>
      </w:tr>
      <w:tr w:rsidR="007C1F1A" w:rsidRPr="007C1F1A" w14:paraId="7EC3A932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175B8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20.14.12.13</w:t>
            </w:r>
          </w:p>
          <w:p w14:paraId="120DF79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20.14.12.23</w:t>
            </w:r>
          </w:p>
          <w:p w14:paraId="3CDF932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20.14.12.25</w:t>
            </w:r>
          </w:p>
          <w:p w14:paraId="681DF7D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20.14.12.43</w:t>
            </w:r>
          </w:p>
          <w:p w14:paraId="60B9F2C8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20.14.12.45</w:t>
            </w:r>
          </w:p>
          <w:p w14:paraId="58A3D046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lastRenderedPageBreak/>
              <w:t>20.14.12.47</w:t>
            </w:r>
          </w:p>
          <w:p w14:paraId="1F7A03A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20.14.12.50</w:t>
            </w:r>
          </w:p>
          <w:p w14:paraId="26EB82BA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20.14.12.60</w:t>
            </w:r>
          </w:p>
          <w:p w14:paraId="3402D79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20.14.12.70</w:t>
            </w:r>
          </w:p>
          <w:p w14:paraId="6C1664C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20.14.12.90</w:t>
            </w:r>
          </w:p>
          <w:p w14:paraId="3225B9E1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20.14.23.10</w:t>
            </w:r>
          </w:p>
          <w:p w14:paraId="6C58C99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20.14.63.33</w:t>
            </w:r>
          </w:p>
          <w:p w14:paraId="2539E844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20.14.63.73</w:t>
            </w:r>
          </w:p>
          <w:p w14:paraId="399046D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20.14.73.20</w:t>
            </w:r>
          </w:p>
          <w:p w14:paraId="6EFB045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20.14.73.40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2741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lastRenderedPageBreak/>
              <w:t>Cykloheksan</w:t>
            </w:r>
          </w:p>
          <w:p w14:paraId="408B90C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Benzen</w:t>
            </w:r>
          </w:p>
          <w:p w14:paraId="453D417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Toluen</w:t>
            </w:r>
          </w:p>
          <w:p w14:paraId="5A06182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o-Ksylen</w:t>
            </w:r>
          </w:p>
          <w:p w14:paraId="36DA3FEE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p-Ksylen</w:t>
            </w:r>
          </w:p>
          <w:p w14:paraId="6DD34F2C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lastRenderedPageBreak/>
              <w:t>m-Ksylen; mieszaniny izomerów ksylenu</w:t>
            </w:r>
          </w:p>
          <w:p w14:paraId="5E913049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Styren</w:t>
            </w:r>
          </w:p>
          <w:p w14:paraId="02F6508B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Etylobenzen</w:t>
            </w:r>
          </w:p>
          <w:p w14:paraId="3E7C86D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Kumen</w:t>
            </w:r>
          </w:p>
          <w:p w14:paraId="4A4CBABF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Pozostałe węglowodory cykliczne</w:t>
            </w:r>
          </w:p>
          <w:p w14:paraId="7CA5126A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Glikol etylenowy (etanodiol)</w:t>
            </w:r>
          </w:p>
          <w:p w14:paraId="63C07553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2,2-Oksydietanol (glikol dietylenowy, digol)</w:t>
            </w:r>
          </w:p>
          <w:p w14:paraId="6961E51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Oksiran (tlenek etylenu)</w:t>
            </w:r>
          </w:p>
          <w:p w14:paraId="6B9D96F0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val="en-US"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val="en-US" w:eastAsia="en-US"/>
              </w:rPr>
              <w:t>Benzol (benzen); toluol (toluen) i ksylol (ksyleny)</w:t>
            </w:r>
          </w:p>
          <w:p w14:paraId="17B46642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Naftalen i pozostałe mieszaniny węglowodorów aromatycznych, z wyłączeniem benzolu, toluolu i ksylolu</w:t>
            </w:r>
          </w:p>
        </w:tc>
      </w:tr>
      <w:tr w:rsidR="007C1F1A" w:rsidRPr="007C1F1A" w14:paraId="1CC5C102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EDE59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4C77D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Następujący podsektor w ramach sektora produkcji wyrobów z pozostałych mineralnych surowców niemetalicznych, gdzie indziej niesklasyfikowanej (23.99):</w:t>
            </w:r>
          </w:p>
        </w:tc>
      </w:tr>
      <w:tr w:rsidR="007C1F1A" w:rsidRPr="007C1F1A" w14:paraId="72ADF84B" w14:textId="77777777" w:rsidTr="003C04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A1ED9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23.99.19.10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E62B7" w14:textId="77777777" w:rsidR="007C1F1A" w:rsidRPr="007C1F1A" w:rsidRDefault="007C1F1A" w:rsidP="003C04B6">
            <w:pPr>
              <w:pStyle w:val="oj-tbl-txt"/>
              <w:spacing w:before="60" w:beforeAutospacing="0" w:after="60" w:afterAutospacing="0" w:line="312" w:lineRule="atLeast"/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</w:pPr>
            <w:r w:rsidRPr="007C1F1A">
              <w:rPr>
                <w:rFonts w:ascii="Arial Nova" w:hAnsi="Arial Nova" w:cstheme="minorHAnsi"/>
                <w:color w:val="333333"/>
                <w:sz w:val="18"/>
                <w:szCs w:val="18"/>
                <w:lang w:eastAsia="en-US"/>
              </w:rPr>
              <w:t>Wełna żużlowa, wełna skalna i podobne wełny mineralne, włącznie z ich mieszaninami, luzem, w arkuszach lub w belach</w:t>
            </w:r>
          </w:p>
        </w:tc>
      </w:tr>
      <w:bookmarkEnd w:id="1"/>
    </w:tbl>
    <w:p w14:paraId="7BA73DE2" w14:textId="77777777" w:rsidR="007C1F1A" w:rsidRPr="007C1F1A" w:rsidRDefault="007C1F1A" w:rsidP="00320CA0">
      <w:pPr>
        <w:spacing w:before="100" w:beforeAutospacing="1" w:after="100" w:afterAutospacing="1" w:line="24" w:lineRule="atLeast"/>
        <w:jc w:val="both"/>
        <w:rPr>
          <w:rFonts w:ascii="Arial Nova" w:eastAsiaTheme="minorEastAsia" w:hAnsi="Arial Nova" w:cstheme="majorBidi"/>
          <w:sz w:val="24"/>
          <w:szCs w:val="24"/>
        </w:rPr>
      </w:pPr>
    </w:p>
    <w:sectPr w:rsidR="007C1F1A" w:rsidRPr="007C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6A48B" w14:textId="77777777" w:rsidR="00D72B5E" w:rsidRDefault="00D72B5E" w:rsidP="00AC4108">
      <w:pPr>
        <w:spacing w:after="0" w:line="240" w:lineRule="auto"/>
      </w:pPr>
      <w:r>
        <w:separator/>
      </w:r>
    </w:p>
  </w:endnote>
  <w:endnote w:type="continuationSeparator" w:id="0">
    <w:p w14:paraId="44DE8DC0" w14:textId="77777777" w:rsidR="00D72B5E" w:rsidRDefault="00D72B5E" w:rsidP="00AC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67C72" w14:textId="77777777" w:rsidR="00D72B5E" w:rsidRDefault="00D72B5E" w:rsidP="00AC4108">
      <w:pPr>
        <w:spacing w:after="0" w:line="240" w:lineRule="auto"/>
      </w:pPr>
      <w:r>
        <w:separator/>
      </w:r>
    </w:p>
  </w:footnote>
  <w:footnote w:type="continuationSeparator" w:id="0">
    <w:p w14:paraId="18F37392" w14:textId="77777777" w:rsidR="00D72B5E" w:rsidRDefault="00D72B5E" w:rsidP="00AC4108">
      <w:pPr>
        <w:spacing w:after="0" w:line="240" w:lineRule="auto"/>
      </w:pPr>
      <w:r>
        <w:continuationSeparator/>
      </w:r>
    </w:p>
  </w:footnote>
  <w:footnote w:id="1">
    <w:p w14:paraId="0749C1CE" w14:textId="77777777" w:rsidR="00AC4108" w:rsidRDefault="00AC4108" w:rsidP="00AC4108">
      <w:pPr>
        <w:pStyle w:val="ODNONIKtreodnonika"/>
      </w:pPr>
      <w:r>
        <w:rPr>
          <w:rStyle w:val="Odwoanieprzypisudolnego"/>
        </w:rPr>
        <w:footnoteRef/>
      </w:r>
      <w:r w:rsidRPr="0093272D">
        <w:rPr>
          <w:rStyle w:val="IGindeksgrny"/>
        </w:rPr>
        <w:t>)</w:t>
      </w:r>
      <w:r>
        <w:tab/>
      </w:r>
      <w:r w:rsidRPr="0093272D">
        <w:t>Zmiany wymienionego rozporządzenia zostały ogłoszone w Dz. Urz. UE L 302 z 01.11.2006, str. 10, Dz. Urz. UE L 407 z 30.12.2006, str. 1, Dz. Urz. UE L 82 z 25.03.2008, str. 1, Dz. Urz. UE L 313 z 22.11.2008, str. 1, Dz. Urz. UE L 81 z 27.03.2009, str. 15, Dz. Urz. UE L 308 z 24.11.2009, str. 5, Dz. Urz. UE L 109 z 12.04.2014, str. 14, Dz. Urz. UE L 325 z 10.12.2015, str. 1, Dz. Urz. UE L 51 z 26.02.2016, str. 1 oraz Dz. Urz. UE L 327 z 02.12.2016, str. 19.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9AC6B34"/>
    <w:lvl w:ilvl="0">
      <w:numFmt w:val="bullet"/>
      <w:lvlText w:val="*"/>
      <w:lvlJc w:val="left"/>
    </w:lvl>
  </w:abstractNum>
  <w:abstractNum w:abstractNumId="1" w15:restartNumberingAfterBreak="0">
    <w:nsid w:val="3A6034F7"/>
    <w:multiLevelType w:val="hybridMultilevel"/>
    <w:tmpl w:val="922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2F80"/>
    <w:multiLevelType w:val="hybridMultilevel"/>
    <w:tmpl w:val="FFFFFFFF"/>
    <w:lvl w:ilvl="0" w:tplc="1DEAEA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CE12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B0C2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2618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87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B4A2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98C0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D4003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7CA6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15"/>
    <w:rsid w:val="000A205B"/>
    <w:rsid w:val="000D6B87"/>
    <w:rsid w:val="00124303"/>
    <w:rsid w:val="0016627A"/>
    <w:rsid w:val="00187B2F"/>
    <w:rsid w:val="00263585"/>
    <w:rsid w:val="00320CA0"/>
    <w:rsid w:val="00364C58"/>
    <w:rsid w:val="00605E5D"/>
    <w:rsid w:val="006E1CB3"/>
    <w:rsid w:val="007820CA"/>
    <w:rsid w:val="007C1F1A"/>
    <w:rsid w:val="007C4001"/>
    <w:rsid w:val="007F0563"/>
    <w:rsid w:val="009214DB"/>
    <w:rsid w:val="009950B9"/>
    <w:rsid w:val="009B0A3D"/>
    <w:rsid w:val="00AC4108"/>
    <w:rsid w:val="00AE09F4"/>
    <w:rsid w:val="00AE37A5"/>
    <w:rsid w:val="00C3334D"/>
    <w:rsid w:val="00C975BC"/>
    <w:rsid w:val="00D12204"/>
    <w:rsid w:val="00D62807"/>
    <w:rsid w:val="00D72B5E"/>
    <w:rsid w:val="00DE23FA"/>
    <w:rsid w:val="00DF1C54"/>
    <w:rsid w:val="00DF2D15"/>
    <w:rsid w:val="00E449C4"/>
    <w:rsid w:val="00EA2B9B"/>
    <w:rsid w:val="00EC7EF4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4998"/>
  <w15:chartTrackingRefBased/>
  <w15:docId w15:val="{472B778D-7B3C-436F-AF78-59134EB6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AC410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DED20F74.dotm</Template>
  <TotalTime>1</TotalTime>
  <Pages>7</Pages>
  <Words>1838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Mariański Piotr</cp:lastModifiedBy>
  <cp:revision>2</cp:revision>
  <dcterms:created xsi:type="dcterms:W3CDTF">2022-09-22T11:04:00Z</dcterms:created>
  <dcterms:modified xsi:type="dcterms:W3CDTF">2022-09-22T11:04:00Z</dcterms:modified>
</cp:coreProperties>
</file>