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2DB" w:rsidRPr="005272DB" w:rsidRDefault="005272DB" w:rsidP="005272DB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  <w:r w:rsidRPr="005272DB">
        <w:rPr>
          <w:rFonts w:ascii="Verdana" w:hAnsi="Verdana"/>
          <w:b/>
          <w:sz w:val="20"/>
          <w:szCs w:val="20"/>
        </w:rPr>
        <w:t>Komunikat</w:t>
      </w:r>
    </w:p>
    <w:p w:rsidR="005272DB" w:rsidRPr="005272DB" w:rsidRDefault="005272DB" w:rsidP="005272DB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  <w:r w:rsidRPr="005272DB">
        <w:rPr>
          <w:rFonts w:ascii="Verdana" w:hAnsi="Verdana"/>
          <w:b/>
          <w:sz w:val="20"/>
          <w:szCs w:val="20"/>
        </w:rPr>
        <w:t xml:space="preserve">  Giełdy Papierów Wartościowych w Warszawie</w:t>
      </w:r>
    </w:p>
    <w:p w:rsidR="005272DB" w:rsidRPr="007C5754" w:rsidRDefault="00B43ABC" w:rsidP="005272DB">
      <w:pPr>
        <w:spacing w:after="0" w:line="36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 dnia 27 grudnia</w:t>
      </w:r>
      <w:r w:rsidR="005272DB" w:rsidRPr="005272DB">
        <w:rPr>
          <w:rFonts w:ascii="Verdana" w:hAnsi="Verdana"/>
          <w:b/>
          <w:sz w:val="20"/>
          <w:szCs w:val="20"/>
        </w:rPr>
        <w:t xml:space="preserve"> 2018 r.</w:t>
      </w:r>
    </w:p>
    <w:p w:rsidR="005272DB" w:rsidRPr="007C5754" w:rsidRDefault="005272DB" w:rsidP="005272DB">
      <w:pPr>
        <w:spacing w:after="0" w:line="360" w:lineRule="auto"/>
        <w:ind w:left="2124" w:firstLine="708"/>
        <w:jc w:val="both"/>
        <w:rPr>
          <w:rFonts w:ascii="Verdana" w:eastAsia="Times New Roman" w:hAnsi="Verdana" w:cs="Tahoma"/>
          <w:b/>
          <w:sz w:val="20"/>
          <w:szCs w:val="20"/>
          <w:lang w:eastAsia="pl-PL"/>
        </w:rPr>
      </w:pPr>
    </w:p>
    <w:p w:rsidR="005272DB" w:rsidRPr="00427855" w:rsidRDefault="005272DB" w:rsidP="005272DB">
      <w:pPr>
        <w:spacing w:after="0" w:line="360" w:lineRule="auto"/>
        <w:jc w:val="both"/>
        <w:rPr>
          <w:rFonts w:ascii="Verdana" w:eastAsia="Times New Roman" w:hAnsi="Verdana" w:cs="Tahom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 xml:space="preserve">W </w:t>
      </w:r>
      <w:r w:rsidR="00B43ABC">
        <w:rPr>
          <w:rFonts w:ascii="Verdana" w:hAnsi="Verdana"/>
          <w:sz w:val="20"/>
          <w:szCs w:val="20"/>
          <w:lang w:eastAsia="pl-PL"/>
        </w:rPr>
        <w:t>związku z informacją LiveChat Software Spółki Akcyjnej (LIVECHAT</w:t>
      </w:r>
      <w:r w:rsidRPr="007C5754">
        <w:rPr>
          <w:rFonts w:ascii="Verdana" w:hAnsi="Verdana"/>
          <w:sz w:val="20"/>
          <w:szCs w:val="20"/>
          <w:lang w:eastAsia="pl-PL"/>
        </w:rPr>
        <w:t xml:space="preserve"> </w:t>
      </w:r>
      <w:r>
        <w:rPr>
          <w:rFonts w:ascii="Verdana" w:hAnsi="Verdana"/>
          <w:sz w:val="20"/>
          <w:szCs w:val="20"/>
          <w:lang w:eastAsia="pl-PL"/>
        </w:rPr>
        <w:t>S.A.)</w:t>
      </w:r>
      <w:r w:rsidR="00613243">
        <w:rPr>
          <w:rFonts w:ascii="Verdana" w:hAnsi="Verdana"/>
          <w:sz w:val="20"/>
          <w:szCs w:val="20"/>
          <w:lang w:eastAsia="pl-PL"/>
        </w:rPr>
        <w:t xml:space="preserve"> </w:t>
      </w:r>
      <w:r w:rsidR="00613243" w:rsidRPr="00613243">
        <w:rPr>
          <w:rFonts w:ascii="Verdana" w:hAnsi="Verdana"/>
          <w:sz w:val="20"/>
          <w:szCs w:val="20"/>
          <w:lang w:eastAsia="pl-PL"/>
        </w:rPr>
        <w:t xml:space="preserve">o </w:t>
      </w:r>
      <w:r w:rsidR="00B43ABC">
        <w:rPr>
          <w:rFonts w:ascii="Verdana" w:hAnsi="Verdana"/>
          <w:sz w:val="20"/>
          <w:szCs w:val="20"/>
          <w:lang w:eastAsia="pl-PL"/>
        </w:rPr>
        <w:t>podjęciu</w:t>
      </w:r>
      <w:r w:rsidR="00613243" w:rsidRPr="00613243">
        <w:rPr>
          <w:rFonts w:ascii="Verdana" w:hAnsi="Verdana"/>
          <w:sz w:val="20"/>
          <w:szCs w:val="20"/>
          <w:lang w:eastAsia="pl-PL"/>
        </w:rPr>
        <w:t xml:space="preserve"> </w:t>
      </w:r>
      <w:r w:rsidR="006701E1">
        <w:rPr>
          <w:rFonts w:ascii="Verdana" w:hAnsi="Verdana"/>
          <w:sz w:val="20"/>
          <w:szCs w:val="20"/>
          <w:lang w:eastAsia="pl-PL"/>
        </w:rPr>
        <w:t xml:space="preserve">w dniu 4 grudnia 2018 r. </w:t>
      </w:r>
      <w:r w:rsidR="00613243" w:rsidRPr="00613243">
        <w:rPr>
          <w:rFonts w:ascii="Verdana" w:hAnsi="Verdana"/>
          <w:sz w:val="20"/>
          <w:szCs w:val="20"/>
          <w:lang w:eastAsia="pl-PL"/>
        </w:rPr>
        <w:t>przez Zarząd oraz Radę Nadzorczą Spółki decyzji</w:t>
      </w:r>
      <w:r>
        <w:rPr>
          <w:rFonts w:ascii="Verdana" w:hAnsi="Verdana"/>
          <w:sz w:val="20"/>
          <w:szCs w:val="20"/>
          <w:lang w:eastAsia="pl-PL"/>
        </w:rPr>
        <w:t xml:space="preserve"> </w:t>
      </w:r>
      <w:r w:rsidRPr="007C5754">
        <w:rPr>
          <w:rFonts w:ascii="Verdana" w:hAnsi="Verdana"/>
          <w:sz w:val="20"/>
          <w:szCs w:val="20"/>
          <w:lang w:eastAsia="pl-PL"/>
        </w:rPr>
        <w:t xml:space="preserve">o </w:t>
      </w:r>
      <w:r w:rsidR="00613243">
        <w:rPr>
          <w:rFonts w:ascii="Verdana" w:hAnsi="Verdana"/>
          <w:sz w:val="20"/>
          <w:szCs w:val="20"/>
          <w:lang w:eastAsia="pl-PL"/>
        </w:rPr>
        <w:t xml:space="preserve"> </w:t>
      </w:r>
      <w:r w:rsidRPr="007C5754">
        <w:rPr>
          <w:rFonts w:ascii="Verdana" w:hAnsi="Verdana"/>
          <w:sz w:val="20"/>
          <w:szCs w:val="20"/>
          <w:lang w:eastAsia="pl-PL"/>
        </w:rPr>
        <w:t xml:space="preserve">wypłacie zaliczki na poczet dywidendy przewidywanej </w:t>
      </w:r>
      <w:r w:rsidR="00613243">
        <w:rPr>
          <w:rFonts w:ascii="Verdana" w:hAnsi="Verdana"/>
          <w:sz w:val="20"/>
          <w:szCs w:val="20"/>
          <w:lang w:eastAsia="pl-PL"/>
        </w:rPr>
        <w:t>z zysku Spółki za</w:t>
      </w:r>
      <w:r>
        <w:rPr>
          <w:rFonts w:ascii="Verdana" w:hAnsi="Verdana"/>
          <w:sz w:val="20"/>
          <w:szCs w:val="20"/>
          <w:lang w:eastAsia="pl-PL"/>
        </w:rPr>
        <w:t xml:space="preserve"> </w:t>
      </w:r>
      <w:r w:rsidRPr="007C5754">
        <w:rPr>
          <w:rFonts w:ascii="Verdana" w:hAnsi="Verdana"/>
          <w:sz w:val="20"/>
          <w:szCs w:val="20"/>
          <w:lang w:eastAsia="pl-PL"/>
        </w:rPr>
        <w:t>201</w:t>
      </w:r>
      <w:r>
        <w:rPr>
          <w:rFonts w:ascii="Verdana" w:hAnsi="Verdana"/>
          <w:sz w:val="20"/>
          <w:szCs w:val="20"/>
          <w:lang w:eastAsia="pl-PL"/>
        </w:rPr>
        <w:t>8</w:t>
      </w:r>
      <w:r w:rsidR="00613243">
        <w:rPr>
          <w:rFonts w:ascii="Verdana" w:hAnsi="Verdana"/>
          <w:sz w:val="20"/>
          <w:szCs w:val="20"/>
          <w:lang w:eastAsia="pl-PL"/>
        </w:rPr>
        <w:t xml:space="preserve"> r.</w:t>
      </w:r>
      <w:r w:rsidRPr="007C5754">
        <w:rPr>
          <w:rFonts w:ascii="Verdana" w:hAnsi="Verdana"/>
          <w:sz w:val="20"/>
          <w:szCs w:val="20"/>
          <w:lang w:eastAsia="pl-PL"/>
        </w:rPr>
        <w:t xml:space="preserve">, </w:t>
      </w:r>
      <w:r w:rsidRPr="007C5754">
        <w:rPr>
          <w:rFonts w:ascii="Verdana" w:eastAsia="Times New Roman" w:hAnsi="Verdana" w:cs="Tahoma"/>
          <w:sz w:val="20"/>
          <w:szCs w:val="20"/>
          <w:lang w:eastAsia="pl-PL"/>
        </w:rPr>
        <w:t>Giełda Papierów Wartościowych w Warszawie S.A. informuje,</w:t>
      </w:r>
      <w:r>
        <w:rPr>
          <w:rFonts w:ascii="Verdana" w:eastAsia="Times New Roman" w:hAnsi="Verdana" w:cs="Tahoma"/>
          <w:sz w:val="20"/>
          <w:szCs w:val="20"/>
          <w:lang w:eastAsia="pl-PL"/>
        </w:rPr>
        <w:t xml:space="preserve"> </w:t>
      </w:r>
      <w:r w:rsidRPr="007C5754">
        <w:rPr>
          <w:rFonts w:ascii="Verdana" w:eastAsia="Times New Roman" w:hAnsi="Verdana" w:cs="Tahoma"/>
          <w:sz w:val="20"/>
          <w:szCs w:val="20"/>
          <w:lang w:eastAsia="pl-PL"/>
        </w:rPr>
        <w:t xml:space="preserve">że zgodnie z przepisami </w:t>
      </w:r>
      <w:r>
        <w:rPr>
          <w:rFonts w:ascii="Verdana" w:hAnsi="Verdana"/>
          <w:sz w:val="20"/>
          <w:szCs w:val="20"/>
          <w:lang w:eastAsia="pl-PL"/>
        </w:rPr>
        <w:t>§ 91</w:t>
      </w:r>
      <w:r w:rsidRPr="007C5754">
        <w:rPr>
          <w:rFonts w:ascii="Verdana" w:hAnsi="Verdana"/>
          <w:sz w:val="20"/>
          <w:szCs w:val="20"/>
          <w:lang w:eastAsia="pl-PL"/>
        </w:rPr>
        <w:t xml:space="preserve"> Dział</w:t>
      </w:r>
      <w:r>
        <w:rPr>
          <w:rFonts w:ascii="Verdana" w:hAnsi="Verdana"/>
          <w:sz w:val="20"/>
          <w:szCs w:val="20"/>
          <w:lang w:eastAsia="pl-PL"/>
        </w:rPr>
        <w:t>u</w:t>
      </w:r>
      <w:r w:rsidRPr="007C5754">
        <w:rPr>
          <w:rFonts w:ascii="Verdana" w:hAnsi="Verdana"/>
          <w:sz w:val="20"/>
          <w:szCs w:val="20"/>
          <w:lang w:eastAsia="pl-PL"/>
        </w:rPr>
        <w:t xml:space="preserve"> IV Szczegółowych Zasad Obrotu Giełdowego</w:t>
      </w:r>
      <w:r>
        <w:rPr>
          <w:rFonts w:ascii="Verdana" w:hAnsi="Verdana"/>
          <w:sz w:val="20"/>
          <w:szCs w:val="20"/>
          <w:lang w:eastAsia="pl-PL"/>
        </w:rPr>
        <w:t xml:space="preserve"> w systemie UTP</w:t>
      </w:r>
      <w:r w:rsidRPr="007C5754">
        <w:rPr>
          <w:rFonts w:ascii="Verdana" w:hAnsi="Verdana"/>
          <w:sz w:val="20"/>
          <w:szCs w:val="20"/>
          <w:lang w:eastAsia="pl-PL"/>
        </w:rPr>
        <w:t xml:space="preserve">, na sesję </w:t>
      </w:r>
      <w:r>
        <w:rPr>
          <w:rFonts w:ascii="Verdana" w:hAnsi="Verdana"/>
          <w:sz w:val="20"/>
          <w:szCs w:val="20"/>
          <w:lang w:eastAsia="pl-PL"/>
        </w:rPr>
        <w:t xml:space="preserve">giełdową </w:t>
      </w:r>
      <w:r w:rsidRPr="007C5754">
        <w:rPr>
          <w:rFonts w:ascii="Verdana" w:hAnsi="Verdana"/>
          <w:sz w:val="20"/>
          <w:szCs w:val="20"/>
          <w:lang w:eastAsia="pl-PL"/>
        </w:rPr>
        <w:t>w dniu</w:t>
      </w:r>
      <w:r w:rsidR="00B43ABC">
        <w:rPr>
          <w:rFonts w:ascii="Verdana" w:hAnsi="Verdana"/>
          <w:sz w:val="20"/>
          <w:szCs w:val="20"/>
          <w:lang w:eastAsia="pl-PL"/>
        </w:rPr>
        <w:t xml:space="preserve"> 28</w:t>
      </w:r>
      <w:r w:rsidRPr="007C5754">
        <w:rPr>
          <w:rFonts w:ascii="Verdana" w:hAnsi="Verdana"/>
          <w:sz w:val="20"/>
          <w:szCs w:val="20"/>
          <w:lang w:eastAsia="pl-PL"/>
        </w:rPr>
        <w:t xml:space="preserve"> </w:t>
      </w:r>
      <w:r w:rsidR="00B43ABC">
        <w:rPr>
          <w:rFonts w:ascii="Verdana" w:hAnsi="Verdana"/>
          <w:sz w:val="20"/>
          <w:szCs w:val="20"/>
          <w:lang w:eastAsia="pl-PL"/>
        </w:rPr>
        <w:t>grudnia</w:t>
      </w:r>
      <w:r w:rsidRPr="007C5754">
        <w:rPr>
          <w:rFonts w:ascii="Verdana" w:hAnsi="Verdana"/>
          <w:sz w:val="20"/>
          <w:szCs w:val="20"/>
          <w:lang w:eastAsia="pl-PL"/>
        </w:rPr>
        <w:t xml:space="preserve"> 201</w:t>
      </w:r>
      <w:r>
        <w:rPr>
          <w:rFonts w:ascii="Verdana" w:hAnsi="Verdana"/>
          <w:sz w:val="20"/>
          <w:szCs w:val="20"/>
          <w:lang w:eastAsia="pl-PL"/>
        </w:rPr>
        <w:t>8</w:t>
      </w:r>
      <w:r w:rsidRPr="007C5754">
        <w:rPr>
          <w:rFonts w:ascii="Verdana" w:hAnsi="Verdana"/>
          <w:sz w:val="20"/>
          <w:szCs w:val="20"/>
          <w:lang w:eastAsia="pl-PL"/>
        </w:rPr>
        <w:t xml:space="preserve"> r. (pierwszy dzień notowania akcji </w:t>
      </w:r>
      <w:r w:rsidR="00B43ABC">
        <w:rPr>
          <w:rFonts w:ascii="Verdana" w:hAnsi="Verdana"/>
          <w:sz w:val="20"/>
          <w:szCs w:val="20"/>
          <w:lang w:eastAsia="pl-PL"/>
        </w:rPr>
        <w:t>LIVECHAT</w:t>
      </w:r>
      <w:r w:rsidR="00B43ABC" w:rsidRPr="007C5754">
        <w:rPr>
          <w:rFonts w:ascii="Verdana" w:hAnsi="Verdana"/>
          <w:sz w:val="20"/>
          <w:szCs w:val="20"/>
          <w:lang w:eastAsia="pl-PL"/>
        </w:rPr>
        <w:t xml:space="preserve"> </w:t>
      </w:r>
      <w:r>
        <w:rPr>
          <w:rFonts w:ascii="Verdana" w:hAnsi="Verdana"/>
          <w:sz w:val="20"/>
          <w:szCs w:val="20"/>
          <w:lang w:eastAsia="pl-PL"/>
        </w:rPr>
        <w:t xml:space="preserve">S.A. </w:t>
      </w:r>
      <w:r w:rsidRPr="007C5754">
        <w:rPr>
          <w:rFonts w:ascii="Verdana" w:hAnsi="Verdana"/>
          <w:sz w:val="20"/>
          <w:szCs w:val="20"/>
          <w:lang w:eastAsia="pl-PL"/>
        </w:rPr>
        <w:t xml:space="preserve">bez prawa do zaliczki na poczet przewidywanej dywidendy) zmieniony </w:t>
      </w:r>
      <w:r>
        <w:rPr>
          <w:rFonts w:ascii="Verdana" w:hAnsi="Verdana"/>
          <w:sz w:val="20"/>
          <w:szCs w:val="20"/>
          <w:lang w:eastAsia="pl-PL"/>
        </w:rPr>
        <w:t>zostaje</w:t>
      </w:r>
      <w:r w:rsidRPr="007C5754">
        <w:rPr>
          <w:rFonts w:ascii="Verdana" w:hAnsi="Verdana"/>
          <w:sz w:val="20"/>
          <w:szCs w:val="20"/>
          <w:lang w:eastAsia="pl-PL"/>
        </w:rPr>
        <w:t xml:space="preserve"> kurs odniesienia </w:t>
      </w:r>
      <w:r>
        <w:rPr>
          <w:rFonts w:ascii="Verdana" w:hAnsi="Verdana"/>
          <w:sz w:val="20"/>
          <w:szCs w:val="20"/>
          <w:lang w:eastAsia="pl-PL"/>
        </w:rPr>
        <w:t xml:space="preserve">oraz liczba akcji przypadająca na jeden kontrakt dla serii kontraktów na akcje </w:t>
      </w:r>
      <w:r w:rsidR="00B43ABC">
        <w:rPr>
          <w:rFonts w:ascii="Verdana" w:hAnsi="Verdana"/>
          <w:sz w:val="20"/>
          <w:szCs w:val="20"/>
          <w:lang w:eastAsia="pl-PL"/>
        </w:rPr>
        <w:t>LIVECHAT</w:t>
      </w:r>
      <w:r w:rsidR="00B43ABC" w:rsidRPr="007C5754">
        <w:rPr>
          <w:rFonts w:ascii="Verdana" w:hAnsi="Verdana"/>
          <w:sz w:val="20"/>
          <w:szCs w:val="20"/>
          <w:lang w:eastAsia="pl-PL"/>
        </w:rPr>
        <w:t xml:space="preserve"> </w:t>
      </w:r>
      <w:r>
        <w:rPr>
          <w:rFonts w:ascii="Verdana" w:hAnsi="Verdana"/>
          <w:sz w:val="20"/>
          <w:szCs w:val="20"/>
          <w:lang w:eastAsia="pl-PL"/>
        </w:rPr>
        <w:t xml:space="preserve">S.A. Kurs odniesienia zostaje zmieniony dla wszystkich </w:t>
      </w:r>
      <w:r w:rsidRPr="007C5754">
        <w:rPr>
          <w:rFonts w:ascii="Verdana" w:hAnsi="Verdana"/>
          <w:sz w:val="20"/>
          <w:szCs w:val="20"/>
          <w:lang w:eastAsia="pl-PL"/>
        </w:rPr>
        <w:t xml:space="preserve">serii </w:t>
      </w:r>
      <w:r>
        <w:rPr>
          <w:rFonts w:ascii="Verdana" w:hAnsi="Verdana"/>
          <w:sz w:val="20"/>
          <w:szCs w:val="20"/>
          <w:lang w:eastAsia="pl-PL"/>
        </w:rPr>
        <w:t>tych kontraktów tj. serii o nazwach skróconych</w:t>
      </w:r>
      <w:r w:rsidRPr="007C5754">
        <w:rPr>
          <w:rFonts w:ascii="Verdana" w:hAnsi="Verdana"/>
          <w:sz w:val="20"/>
          <w:szCs w:val="20"/>
          <w:lang w:eastAsia="pl-PL"/>
        </w:rPr>
        <w:t xml:space="preserve"> </w:t>
      </w:r>
      <w:r w:rsidR="00F14C4C">
        <w:rPr>
          <w:rFonts w:ascii="Verdana" w:hAnsi="Verdana"/>
          <w:sz w:val="20"/>
          <w:szCs w:val="20"/>
          <w:lang w:eastAsia="pl-PL"/>
        </w:rPr>
        <w:t>FLVCH19</w:t>
      </w:r>
      <w:r w:rsidRPr="007C5754">
        <w:rPr>
          <w:rFonts w:ascii="Verdana" w:eastAsia="Times New Roman" w:hAnsi="Verdana" w:cs="Tahoma"/>
          <w:sz w:val="20"/>
          <w:szCs w:val="20"/>
          <w:lang w:eastAsia="pl-PL"/>
        </w:rPr>
        <w:t xml:space="preserve">, </w:t>
      </w:r>
      <w:r w:rsidR="00F14C4C">
        <w:rPr>
          <w:rFonts w:ascii="Verdana" w:eastAsia="Times New Roman" w:hAnsi="Verdana" w:cs="Tahoma"/>
          <w:sz w:val="20"/>
          <w:szCs w:val="20"/>
          <w:lang w:eastAsia="pl-PL"/>
        </w:rPr>
        <w:t>FLVCM19</w:t>
      </w:r>
      <w:r w:rsidRPr="007C5754">
        <w:rPr>
          <w:rFonts w:ascii="Verdana" w:eastAsia="Times New Roman" w:hAnsi="Verdana" w:cs="Tahoma"/>
          <w:sz w:val="20"/>
          <w:szCs w:val="20"/>
          <w:lang w:eastAsia="pl-PL"/>
        </w:rPr>
        <w:t xml:space="preserve"> oraz F</w:t>
      </w:r>
      <w:r w:rsidR="00F14C4C">
        <w:rPr>
          <w:rFonts w:ascii="Verdana" w:eastAsia="Times New Roman" w:hAnsi="Verdana" w:cs="Tahoma"/>
          <w:sz w:val="20"/>
          <w:szCs w:val="20"/>
          <w:lang w:eastAsia="pl-PL"/>
        </w:rPr>
        <w:t>LVCU19</w:t>
      </w:r>
      <w:r w:rsidRPr="007C5754">
        <w:rPr>
          <w:rFonts w:ascii="Verdana" w:eastAsia="Times New Roman" w:hAnsi="Verdana" w:cs="Tahoma"/>
          <w:sz w:val="20"/>
          <w:szCs w:val="20"/>
          <w:lang w:eastAsia="pl-PL"/>
        </w:rPr>
        <w:t xml:space="preserve">. </w:t>
      </w:r>
      <w:r>
        <w:rPr>
          <w:rFonts w:ascii="Verdana" w:eastAsia="Times New Roman" w:hAnsi="Verdana" w:cs="Tahoma"/>
          <w:sz w:val="20"/>
          <w:szCs w:val="20"/>
          <w:lang w:eastAsia="pl-PL"/>
        </w:rPr>
        <w:t>Liczba akcji przypadająca na jeden kontrakt zostaje natomiast zmienion</w:t>
      </w:r>
      <w:r w:rsidR="00F14C4C">
        <w:rPr>
          <w:rFonts w:ascii="Verdana" w:eastAsia="Times New Roman" w:hAnsi="Verdana" w:cs="Tahoma"/>
          <w:sz w:val="20"/>
          <w:szCs w:val="20"/>
          <w:lang w:eastAsia="pl-PL"/>
        </w:rPr>
        <w:t>a dla serii kontraktów o nazwie skróconej</w:t>
      </w:r>
      <w:r>
        <w:rPr>
          <w:rFonts w:ascii="Verdana" w:eastAsia="Times New Roman" w:hAnsi="Verdana" w:cs="Tahoma"/>
          <w:sz w:val="20"/>
          <w:szCs w:val="20"/>
          <w:lang w:eastAsia="pl-PL"/>
        </w:rPr>
        <w:t xml:space="preserve"> </w:t>
      </w:r>
      <w:r w:rsidR="00F14C4C">
        <w:rPr>
          <w:rFonts w:ascii="Verdana" w:hAnsi="Verdana"/>
          <w:sz w:val="20"/>
          <w:szCs w:val="20"/>
          <w:lang w:eastAsia="pl-PL"/>
        </w:rPr>
        <w:t>FLVCH19</w:t>
      </w:r>
      <w:r w:rsidR="00F14C4C">
        <w:rPr>
          <w:rFonts w:ascii="Verdana" w:eastAsia="Times New Roman" w:hAnsi="Verdana" w:cs="Tahoma"/>
          <w:sz w:val="20"/>
          <w:szCs w:val="20"/>
          <w:lang w:eastAsia="pl-PL"/>
        </w:rPr>
        <w:t>. Jest to seria dla której po zakończeniu sesji w dniu 27 grudnia</w:t>
      </w:r>
      <w:r w:rsidRPr="00427855">
        <w:rPr>
          <w:rFonts w:ascii="Verdana" w:eastAsia="Times New Roman" w:hAnsi="Verdana" w:cs="Tahoma"/>
          <w:sz w:val="20"/>
          <w:szCs w:val="20"/>
          <w:lang w:eastAsia="pl-PL"/>
        </w:rPr>
        <w:t xml:space="preserve"> 2018 r. była otwarta co najmniej jedna pozycja. Liczba akcji przypadająca na jeden kontrakt dla </w:t>
      </w:r>
      <w:r w:rsidR="00F14C4C">
        <w:rPr>
          <w:rFonts w:ascii="Verdana" w:eastAsia="Times New Roman" w:hAnsi="Verdana" w:cs="Tahoma"/>
          <w:sz w:val="20"/>
          <w:szCs w:val="20"/>
          <w:lang w:eastAsia="pl-PL"/>
        </w:rPr>
        <w:t>serii FLVCM19 oraz FLVCU19</w:t>
      </w:r>
      <w:r w:rsidRPr="00427855">
        <w:rPr>
          <w:rFonts w:ascii="Verdana" w:eastAsia="Times New Roman" w:hAnsi="Verdana" w:cs="Tahoma"/>
          <w:sz w:val="20"/>
          <w:szCs w:val="20"/>
          <w:lang w:eastAsia="pl-PL"/>
        </w:rPr>
        <w:t xml:space="preserve"> pozostanie tym samym bez </w:t>
      </w:r>
      <w:r w:rsidR="00F14C4C">
        <w:rPr>
          <w:rFonts w:ascii="Verdana" w:eastAsia="Times New Roman" w:hAnsi="Verdana" w:cs="Tahoma"/>
          <w:sz w:val="20"/>
          <w:szCs w:val="20"/>
          <w:lang w:eastAsia="pl-PL"/>
        </w:rPr>
        <w:t>zmiany i nadal będzie wynosić 1</w:t>
      </w:r>
      <w:r w:rsidRPr="00427855">
        <w:rPr>
          <w:rFonts w:ascii="Verdana" w:eastAsia="Times New Roman" w:hAnsi="Verdana" w:cs="Tahoma"/>
          <w:sz w:val="20"/>
          <w:szCs w:val="20"/>
          <w:lang w:eastAsia="pl-PL"/>
        </w:rPr>
        <w:t>00.</w:t>
      </w:r>
    </w:p>
    <w:p w:rsidR="005272DB" w:rsidRDefault="005272DB" w:rsidP="005272DB">
      <w:pPr>
        <w:spacing w:after="0" w:line="360" w:lineRule="auto"/>
        <w:jc w:val="both"/>
        <w:rPr>
          <w:rFonts w:ascii="Verdana" w:eastAsia="Times New Roman" w:hAnsi="Verdana" w:cs="Tahoma"/>
          <w:sz w:val="20"/>
          <w:szCs w:val="20"/>
          <w:lang w:eastAsia="pl-PL"/>
        </w:rPr>
      </w:pPr>
    </w:p>
    <w:p w:rsidR="005272DB" w:rsidRPr="007C5754" w:rsidRDefault="005272DB" w:rsidP="005272DB">
      <w:pPr>
        <w:spacing w:after="0" w:line="360" w:lineRule="auto"/>
        <w:jc w:val="both"/>
        <w:rPr>
          <w:rFonts w:ascii="Verdana" w:eastAsia="Times New Roman" w:hAnsi="Verdana" w:cs="Tahoma"/>
          <w:sz w:val="20"/>
          <w:szCs w:val="20"/>
          <w:lang w:eastAsia="pl-PL"/>
        </w:rPr>
      </w:pPr>
      <w:r w:rsidRPr="007C5754">
        <w:rPr>
          <w:rFonts w:ascii="Verdana" w:eastAsia="Times New Roman" w:hAnsi="Verdana" w:cs="Tahoma"/>
          <w:sz w:val="20"/>
          <w:szCs w:val="20"/>
          <w:lang w:eastAsia="pl-PL"/>
        </w:rPr>
        <w:t xml:space="preserve">Kurs odniesienia na sesję w dniu </w:t>
      </w:r>
      <w:r w:rsidR="00F14C4C">
        <w:rPr>
          <w:rFonts w:ascii="Verdana" w:eastAsia="Times New Roman" w:hAnsi="Verdana" w:cs="Tahoma"/>
          <w:sz w:val="20"/>
          <w:szCs w:val="20"/>
          <w:lang w:eastAsia="pl-PL"/>
        </w:rPr>
        <w:t>28</w:t>
      </w:r>
      <w:r>
        <w:rPr>
          <w:rFonts w:ascii="Verdana" w:eastAsia="Times New Roman" w:hAnsi="Verdana" w:cs="Tahoma"/>
          <w:sz w:val="20"/>
          <w:szCs w:val="20"/>
          <w:lang w:eastAsia="pl-PL"/>
        </w:rPr>
        <w:t xml:space="preserve"> </w:t>
      </w:r>
      <w:r w:rsidR="00F14C4C">
        <w:rPr>
          <w:rFonts w:ascii="Verdana" w:eastAsia="Times New Roman" w:hAnsi="Verdana" w:cs="Tahoma"/>
          <w:sz w:val="20"/>
          <w:szCs w:val="20"/>
          <w:lang w:eastAsia="pl-PL"/>
        </w:rPr>
        <w:t>grudnia</w:t>
      </w:r>
      <w:r w:rsidRPr="007C5754">
        <w:rPr>
          <w:rFonts w:ascii="Verdana" w:eastAsia="Times New Roman" w:hAnsi="Verdana" w:cs="Tahoma"/>
          <w:sz w:val="20"/>
          <w:szCs w:val="20"/>
          <w:lang w:eastAsia="pl-PL"/>
        </w:rPr>
        <w:t xml:space="preserve"> 201</w:t>
      </w:r>
      <w:r>
        <w:rPr>
          <w:rFonts w:ascii="Verdana" w:eastAsia="Times New Roman" w:hAnsi="Verdana" w:cs="Tahoma"/>
          <w:sz w:val="20"/>
          <w:szCs w:val="20"/>
          <w:lang w:eastAsia="pl-PL"/>
        </w:rPr>
        <w:t>8</w:t>
      </w:r>
      <w:r w:rsidRPr="007C5754">
        <w:rPr>
          <w:rFonts w:ascii="Verdana" w:eastAsia="Times New Roman" w:hAnsi="Verdana" w:cs="Tahoma"/>
          <w:sz w:val="20"/>
          <w:szCs w:val="20"/>
          <w:lang w:eastAsia="pl-PL"/>
        </w:rPr>
        <w:t xml:space="preserve"> r. oraz obowiązująca od tego dnia nowa </w:t>
      </w:r>
      <w:r>
        <w:rPr>
          <w:rFonts w:ascii="Verdana" w:eastAsia="Times New Roman" w:hAnsi="Verdana" w:cs="Tahoma"/>
          <w:sz w:val="20"/>
          <w:szCs w:val="20"/>
          <w:lang w:eastAsia="pl-PL"/>
        </w:rPr>
        <w:t>liczba akcji przypadająca</w:t>
      </w:r>
      <w:r w:rsidRPr="007C5754">
        <w:rPr>
          <w:rFonts w:ascii="Verdana" w:eastAsia="Times New Roman" w:hAnsi="Verdana" w:cs="Tahoma"/>
          <w:sz w:val="20"/>
          <w:szCs w:val="20"/>
          <w:lang w:eastAsia="pl-PL"/>
        </w:rPr>
        <w:t xml:space="preserve"> na jeden kontrakt będ</w:t>
      </w:r>
      <w:r>
        <w:rPr>
          <w:rFonts w:ascii="Verdana" w:eastAsia="Times New Roman" w:hAnsi="Verdana" w:cs="Tahoma"/>
          <w:sz w:val="20"/>
          <w:szCs w:val="20"/>
          <w:lang w:eastAsia="pl-PL"/>
        </w:rPr>
        <w:t>ą</w:t>
      </w:r>
      <w:r w:rsidRPr="007C5754">
        <w:rPr>
          <w:rFonts w:ascii="Verdana" w:eastAsia="Times New Roman" w:hAnsi="Verdana" w:cs="Tahoma"/>
          <w:sz w:val="20"/>
          <w:szCs w:val="20"/>
          <w:lang w:eastAsia="pl-PL"/>
        </w:rPr>
        <w:t xml:space="preserve"> następując</w:t>
      </w:r>
      <w:r>
        <w:rPr>
          <w:rFonts w:ascii="Verdana" w:eastAsia="Times New Roman" w:hAnsi="Verdana" w:cs="Tahoma"/>
          <w:sz w:val="20"/>
          <w:szCs w:val="20"/>
          <w:lang w:eastAsia="pl-PL"/>
        </w:rPr>
        <w:t>e</w:t>
      </w:r>
      <w:r w:rsidRPr="007C5754">
        <w:rPr>
          <w:rFonts w:ascii="Verdana" w:eastAsia="Times New Roman" w:hAnsi="Verdana" w:cs="Tahoma"/>
          <w:sz w:val="20"/>
          <w:szCs w:val="20"/>
          <w:lang w:eastAsia="pl-PL"/>
        </w:rPr>
        <w:t>:</w:t>
      </w:r>
    </w:p>
    <w:tbl>
      <w:tblPr>
        <w:tblW w:w="7237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2552"/>
        <w:gridCol w:w="3409"/>
      </w:tblGrid>
      <w:tr w:rsidR="005272DB" w:rsidRPr="007C5754" w:rsidTr="00C2626F">
        <w:trPr>
          <w:trHeight w:val="290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72DB" w:rsidRPr="007C5754" w:rsidRDefault="005272DB" w:rsidP="00C2626F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7C575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Nazwa skrócona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72DB" w:rsidRPr="007C5754" w:rsidRDefault="005272DB" w:rsidP="00C2626F">
            <w:pPr>
              <w:spacing w:after="0" w:line="360" w:lineRule="auto"/>
              <w:ind w:left="124" w:right="142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7C575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Kurs odniesienia 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br/>
            </w:r>
            <w:r w:rsidRPr="007C575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na sesję w dniu </w:t>
            </w:r>
            <w:r w:rsidR="00270D8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br/>
              <w:t>28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</w:t>
            </w:r>
            <w:r w:rsidR="00270D8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grudnia</w:t>
            </w:r>
            <w:r w:rsidRPr="007C575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201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8</w:t>
            </w:r>
            <w:r w:rsidRPr="007C575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3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72DB" w:rsidRPr="007C5754" w:rsidRDefault="005272DB" w:rsidP="00C2626F">
            <w:pPr>
              <w:spacing w:after="0" w:line="360" w:lineRule="auto"/>
              <w:ind w:left="142" w:right="149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7C575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L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iczba akcji przypadająca</w:t>
            </w:r>
            <w:r w:rsidRPr="007C575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na jeden kontrakt, jaka będzie obowiązywała od dnia </w:t>
            </w:r>
            <w:r w:rsidR="00270D8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br/>
              <w:t>28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</w:t>
            </w:r>
            <w:r w:rsidR="00270D8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grudnia</w:t>
            </w:r>
            <w:r w:rsidRPr="007C575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201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8</w:t>
            </w:r>
            <w:r w:rsidRPr="007C575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r.</w:t>
            </w:r>
          </w:p>
        </w:tc>
      </w:tr>
      <w:tr w:rsidR="005272DB" w:rsidRPr="007C5754" w:rsidTr="007A7072">
        <w:trPr>
          <w:trHeight w:val="483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72DB" w:rsidRPr="00427855" w:rsidRDefault="00F14C4C" w:rsidP="00427855">
            <w:pPr>
              <w:spacing w:after="0" w:line="336" w:lineRule="atLeast"/>
              <w:jc w:val="center"/>
              <w:rPr>
                <w:rFonts w:ascii="Verdana" w:eastAsia="Times New Roman" w:hAnsi="Verdana" w:cs="Helvetica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Helvetica"/>
                <w:sz w:val="20"/>
                <w:szCs w:val="20"/>
                <w:lang w:eastAsia="pl-PL"/>
              </w:rPr>
              <w:t>FLVCH19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72DB" w:rsidRPr="00427855" w:rsidRDefault="00163893" w:rsidP="007A7072">
            <w:pPr>
              <w:spacing w:after="0" w:line="336" w:lineRule="atLeast"/>
              <w:jc w:val="center"/>
              <w:rPr>
                <w:rFonts w:ascii="Verdana" w:eastAsia="Times New Roman" w:hAnsi="Verdana" w:cs="Helvetica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Helvetica"/>
                <w:sz w:val="20"/>
                <w:szCs w:val="20"/>
                <w:lang w:eastAsia="pl-PL"/>
              </w:rPr>
              <w:t>24,87</w:t>
            </w:r>
          </w:p>
        </w:tc>
        <w:tc>
          <w:tcPr>
            <w:tcW w:w="3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72DB" w:rsidRPr="00427855" w:rsidRDefault="00F14C4C" w:rsidP="00427855">
            <w:pPr>
              <w:spacing w:after="0" w:line="336" w:lineRule="atLeast"/>
              <w:jc w:val="center"/>
              <w:rPr>
                <w:rFonts w:ascii="Verdana" w:eastAsia="Times New Roman" w:hAnsi="Verdana" w:cs="Helvetica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Helvetica"/>
                <w:sz w:val="20"/>
                <w:szCs w:val="20"/>
                <w:lang w:eastAsia="pl-PL"/>
              </w:rPr>
              <w:t>102</w:t>
            </w:r>
          </w:p>
        </w:tc>
      </w:tr>
      <w:tr w:rsidR="00F14C4C" w:rsidRPr="007C5754" w:rsidTr="007A7072">
        <w:trPr>
          <w:trHeight w:val="483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4C4C" w:rsidRPr="00427855" w:rsidRDefault="00F14C4C" w:rsidP="00F14C4C">
            <w:pPr>
              <w:spacing w:after="0" w:line="336" w:lineRule="atLeast"/>
              <w:jc w:val="center"/>
              <w:rPr>
                <w:rFonts w:ascii="Verdana" w:eastAsia="Times New Roman" w:hAnsi="Verdana" w:cs="Helvetica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Helvetica"/>
                <w:sz w:val="20"/>
                <w:szCs w:val="20"/>
                <w:lang w:eastAsia="pl-PL"/>
              </w:rPr>
              <w:t>FLVCM</w:t>
            </w:r>
            <w:r w:rsidRPr="00427855">
              <w:rPr>
                <w:rFonts w:ascii="Verdana" w:eastAsia="Times New Roman" w:hAnsi="Verdana" w:cs="Helvetica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4C4C" w:rsidRPr="00427855" w:rsidRDefault="00163893" w:rsidP="00F14C4C">
            <w:pPr>
              <w:spacing w:after="0" w:line="336" w:lineRule="atLeast"/>
              <w:jc w:val="center"/>
              <w:rPr>
                <w:rFonts w:ascii="Verdana" w:eastAsia="Times New Roman" w:hAnsi="Verdana" w:cs="Helvetica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Helvetica"/>
                <w:sz w:val="20"/>
                <w:szCs w:val="20"/>
                <w:lang w:eastAsia="pl-PL"/>
              </w:rPr>
              <w:t>25,03</w:t>
            </w:r>
          </w:p>
        </w:tc>
        <w:tc>
          <w:tcPr>
            <w:tcW w:w="3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14C4C" w:rsidRPr="00427855" w:rsidRDefault="00F14C4C" w:rsidP="00F14C4C">
            <w:pPr>
              <w:spacing w:after="0" w:line="336" w:lineRule="atLeast"/>
              <w:jc w:val="center"/>
              <w:rPr>
                <w:rFonts w:ascii="Verdana" w:eastAsia="Times New Roman" w:hAnsi="Verdana" w:cs="Helvetica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Helvetica"/>
                <w:sz w:val="20"/>
                <w:szCs w:val="20"/>
                <w:lang w:eastAsia="pl-PL"/>
              </w:rPr>
              <w:t>100</w:t>
            </w:r>
            <w:r w:rsidRPr="00427855">
              <w:rPr>
                <w:rFonts w:ascii="Verdana" w:eastAsia="Times New Roman" w:hAnsi="Verdana" w:cs="Helvetica"/>
                <w:sz w:val="20"/>
                <w:szCs w:val="20"/>
                <w:lang w:eastAsia="pl-PL"/>
              </w:rPr>
              <w:t xml:space="preserve"> (bez zmiany)</w:t>
            </w:r>
          </w:p>
        </w:tc>
      </w:tr>
      <w:tr w:rsidR="00F14C4C" w:rsidRPr="007C5754" w:rsidTr="007A7072">
        <w:trPr>
          <w:trHeight w:val="483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4C4C" w:rsidRPr="00427855" w:rsidRDefault="00F14C4C" w:rsidP="00F14C4C">
            <w:pPr>
              <w:spacing w:after="0" w:line="336" w:lineRule="atLeast"/>
              <w:jc w:val="center"/>
              <w:rPr>
                <w:rFonts w:ascii="Verdana" w:eastAsia="Times New Roman" w:hAnsi="Verdana" w:cs="Helvetica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Helvetica"/>
                <w:sz w:val="20"/>
                <w:szCs w:val="20"/>
                <w:lang w:eastAsia="pl-PL"/>
              </w:rPr>
              <w:t>FLVCU</w:t>
            </w:r>
            <w:r w:rsidRPr="00427855">
              <w:rPr>
                <w:rFonts w:ascii="Verdana" w:eastAsia="Times New Roman" w:hAnsi="Verdana" w:cs="Helvetica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4C4C" w:rsidRPr="00427855" w:rsidRDefault="00163893" w:rsidP="00F14C4C">
            <w:pPr>
              <w:spacing w:after="0" w:line="336" w:lineRule="atLeast"/>
              <w:jc w:val="center"/>
              <w:rPr>
                <w:rFonts w:ascii="Verdana" w:eastAsia="Times New Roman" w:hAnsi="Verdana" w:cs="Helvetica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Helvetica"/>
                <w:sz w:val="20"/>
                <w:szCs w:val="20"/>
                <w:lang w:eastAsia="pl-PL"/>
              </w:rPr>
              <w:t>25,13</w:t>
            </w:r>
            <w:bookmarkStart w:id="0" w:name="_GoBack"/>
            <w:bookmarkEnd w:id="0"/>
          </w:p>
        </w:tc>
        <w:tc>
          <w:tcPr>
            <w:tcW w:w="3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14C4C" w:rsidRPr="00427855" w:rsidRDefault="00F14C4C" w:rsidP="00F14C4C">
            <w:pPr>
              <w:spacing w:after="0" w:line="336" w:lineRule="atLeast"/>
              <w:jc w:val="center"/>
              <w:rPr>
                <w:rFonts w:ascii="Verdana" w:eastAsia="Times New Roman" w:hAnsi="Verdana" w:cs="Helvetica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Helvetica"/>
                <w:sz w:val="20"/>
                <w:szCs w:val="20"/>
                <w:lang w:eastAsia="pl-PL"/>
              </w:rPr>
              <w:t>100</w:t>
            </w:r>
            <w:r w:rsidRPr="00427855">
              <w:rPr>
                <w:rFonts w:ascii="Verdana" w:eastAsia="Times New Roman" w:hAnsi="Verdana" w:cs="Helvetica"/>
                <w:sz w:val="20"/>
                <w:szCs w:val="20"/>
                <w:lang w:eastAsia="pl-PL"/>
              </w:rPr>
              <w:t xml:space="preserve"> (bez zmiany)</w:t>
            </w:r>
          </w:p>
        </w:tc>
      </w:tr>
    </w:tbl>
    <w:p w:rsidR="005272DB" w:rsidRPr="007C5754" w:rsidRDefault="005272DB" w:rsidP="005272DB">
      <w:pPr>
        <w:spacing w:after="0" w:line="360" w:lineRule="auto"/>
        <w:jc w:val="both"/>
        <w:rPr>
          <w:rFonts w:ascii="Verdana" w:hAnsi="Verdana"/>
          <w:sz w:val="20"/>
          <w:szCs w:val="20"/>
          <w:lang w:eastAsia="pl-PL"/>
        </w:rPr>
      </w:pPr>
    </w:p>
    <w:p w:rsidR="005272DB" w:rsidRPr="007C5754" w:rsidRDefault="005272DB" w:rsidP="005272DB">
      <w:pPr>
        <w:spacing w:after="0" w:line="360" w:lineRule="auto"/>
        <w:jc w:val="both"/>
        <w:rPr>
          <w:rFonts w:ascii="Verdana" w:eastAsia="Times New Roman" w:hAnsi="Verdana" w:cs="Tahoma"/>
          <w:sz w:val="20"/>
          <w:szCs w:val="20"/>
          <w:lang w:eastAsia="pl-PL"/>
        </w:rPr>
      </w:pPr>
      <w:r>
        <w:rPr>
          <w:rFonts w:ascii="Verdana" w:eastAsia="Times New Roman" w:hAnsi="Verdana" w:cs="Tahoma"/>
          <w:sz w:val="20"/>
          <w:szCs w:val="20"/>
          <w:lang w:eastAsia="pl-PL"/>
        </w:rPr>
        <w:t xml:space="preserve">Zgodnie z przepisami § 91 ust. 4 </w:t>
      </w:r>
      <w:r w:rsidRPr="007C5754">
        <w:rPr>
          <w:rFonts w:ascii="Verdana" w:hAnsi="Verdana"/>
          <w:sz w:val="20"/>
          <w:szCs w:val="20"/>
          <w:lang w:eastAsia="pl-PL"/>
        </w:rPr>
        <w:t>Dział</w:t>
      </w:r>
      <w:r>
        <w:rPr>
          <w:rFonts w:ascii="Verdana" w:hAnsi="Verdana"/>
          <w:sz w:val="20"/>
          <w:szCs w:val="20"/>
          <w:lang w:eastAsia="pl-PL"/>
        </w:rPr>
        <w:t>u</w:t>
      </w:r>
      <w:r w:rsidRPr="007C5754">
        <w:rPr>
          <w:rFonts w:ascii="Verdana" w:hAnsi="Verdana"/>
          <w:sz w:val="20"/>
          <w:szCs w:val="20"/>
          <w:lang w:eastAsia="pl-PL"/>
        </w:rPr>
        <w:t xml:space="preserve"> IV Szczegółowych Zasad Obrotu Giełdowego</w:t>
      </w:r>
      <w:r>
        <w:rPr>
          <w:rFonts w:ascii="Verdana" w:hAnsi="Verdana"/>
          <w:sz w:val="20"/>
          <w:szCs w:val="20"/>
          <w:lang w:eastAsia="pl-PL"/>
        </w:rPr>
        <w:t xml:space="preserve"> w systemie UTP</w:t>
      </w:r>
      <w:r w:rsidRPr="007C5754">
        <w:rPr>
          <w:rFonts w:ascii="Verdana" w:eastAsia="Times New Roman" w:hAnsi="Verdana" w:cs="Tahoma"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 w:cs="Tahoma"/>
          <w:sz w:val="20"/>
          <w:szCs w:val="20"/>
          <w:lang w:eastAsia="pl-PL"/>
        </w:rPr>
        <w:t>w</w:t>
      </w:r>
      <w:r w:rsidRPr="007C5754">
        <w:rPr>
          <w:rFonts w:ascii="Verdana" w:eastAsia="Times New Roman" w:hAnsi="Verdana" w:cs="Tahoma"/>
          <w:sz w:val="20"/>
          <w:szCs w:val="20"/>
          <w:lang w:eastAsia="pl-PL"/>
        </w:rPr>
        <w:t>szystkie zlecenia maklerskie na ww. serie kontraktów terminowych przekazane na giełdę,</w:t>
      </w:r>
      <w:r>
        <w:rPr>
          <w:rFonts w:ascii="Verdana" w:eastAsia="Times New Roman" w:hAnsi="Verdana" w:cs="Tahoma"/>
          <w:sz w:val="20"/>
          <w:szCs w:val="20"/>
          <w:lang w:eastAsia="pl-PL"/>
        </w:rPr>
        <w:t xml:space="preserve"> </w:t>
      </w:r>
      <w:r w:rsidRPr="007C5754">
        <w:rPr>
          <w:rFonts w:ascii="Verdana" w:eastAsia="Times New Roman" w:hAnsi="Verdana" w:cs="Tahoma"/>
          <w:sz w:val="20"/>
          <w:szCs w:val="20"/>
          <w:lang w:eastAsia="pl-PL"/>
        </w:rPr>
        <w:t xml:space="preserve">a niezrealizowane do końca sesji w dniu </w:t>
      </w:r>
      <w:r w:rsidR="00347B2C">
        <w:rPr>
          <w:rFonts w:ascii="Verdana" w:eastAsia="Times New Roman" w:hAnsi="Verdana" w:cs="Tahoma"/>
          <w:sz w:val="20"/>
          <w:szCs w:val="20"/>
          <w:lang w:eastAsia="pl-PL"/>
        </w:rPr>
        <w:t>27</w:t>
      </w:r>
      <w:r>
        <w:rPr>
          <w:rFonts w:ascii="Verdana" w:eastAsia="Times New Roman" w:hAnsi="Verdana" w:cs="Tahoma"/>
          <w:sz w:val="20"/>
          <w:szCs w:val="20"/>
          <w:lang w:eastAsia="pl-PL"/>
        </w:rPr>
        <w:t xml:space="preserve"> </w:t>
      </w:r>
      <w:r w:rsidR="00347B2C">
        <w:rPr>
          <w:rFonts w:ascii="Verdana" w:eastAsia="Times New Roman" w:hAnsi="Verdana" w:cs="Tahoma"/>
          <w:sz w:val="20"/>
          <w:szCs w:val="20"/>
          <w:lang w:eastAsia="pl-PL"/>
        </w:rPr>
        <w:t>grudnia</w:t>
      </w:r>
      <w:r w:rsidRPr="007C5754">
        <w:rPr>
          <w:rFonts w:ascii="Verdana" w:eastAsia="Times New Roman" w:hAnsi="Verdana" w:cs="Tahoma"/>
          <w:sz w:val="20"/>
          <w:szCs w:val="20"/>
          <w:lang w:eastAsia="pl-PL"/>
        </w:rPr>
        <w:t xml:space="preserve"> 201</w:t>
      </w:r>
      <w:r>
        <w:rPr>
          <w:rFonts w:ascii="Verdana" w:eastAsia="Times New Roman" w:hAnsi="Verdana" w:cs="Tahoma"/>
          <w:sz w:val="20"/>
          <w:szCs w:val="20"/>
          <w:lang w:eastAsia="pl-PL"/>
        </w:rPr>
        <w:t>8</w:t>
      </w:r>
      <w:r w:rsidRPr="007C5754">
        <w:rPr>
          <w:rFonts w:ascii="Verdana" w:eastAsia="Times New Roman" w:hAnsi="Verdana" w:cs="Tahoma"/>
          <w:sz w:val="20"/>
          <w:szCs w:val="20"/>
          <w:lang w:eastAsia="pl-PL"/>
        </w:rPr>
        <w:t xml:space="preserve"> r.</w:t>
      </w:r>
      <w:r>
        <w:rPr>
          <w:rFonts w:ascii="Verdana" w:eastAsia="Times New Roman" w:hAnsi="Verdana" w:cs="Tahoma"/>
          <w:sz w:val="20"/>
          <w:szCs w:val="20"/>
          <w:lang w:eastAsia="pl-PL"/>
        </w:rPr>
        <w:t>,</w:t>
      </w:r>
      <w:r w:rsidRPr="007C5754">
        <w:rPr>
          <w:rFonts w:ascii="Verdana" w:eastAsia="Times New Roman" w:hAnsi="Verdana" w:cs="Tahoma"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 w:cs="Tahoma"/>
          <w:sz w:val="20"/>
          <w:szCs w:val="20"/>
          <w:lang w:eastAsia="pl-PL"/>
        </w:rPr>
        <w:t>s</w:t>
      </w:r>
      <w:r w:rsidRPr="007C5754">
        <w:rPr>
          <w:rFonts w:ascii="Verdana" w:eastAsia="Times New Roman" w:hAnsi="Verdana" w:cs="Tahoma"/>
          <w:sz w:val="20"/>
          <w:szCs w:val="20"/>
          <w:lang w:eastAsia="pl-PL"/>
        </w:rPr>
        <w:t>tracą ważność</w:t>
      </w:r>
      <w:r>
        <w:rPr>
          <w:rFonts w:ascii="Verdana" w:eastAsia="Times New Roman" w:hAnsi="Verdana" w:cs="Tahoma"/>
          <w:sz w:val="20"/>
          <w:szCs w:val="20"/>
          <w:lang w:eastAsia="pl-PL"/>
        </w:rPr>
        <w:t xml:space="preserve"> po zakończeniu sesji w tym dniu</w:t>
      </w:r>
      <w:r w:rsidRPr="007C5754">
        <w:rPr>
          <w:rFonts w:ascii="Verdana" w:eastAsia="Times New Roman" w:hAnsi="Verdana" w:cs="Tahoma"/>
          <w:sz w:val="20"/>
          <w:szCs w:val="20"/>
          <w:lang w:eastAsia="pl-PL"/>
        </w:rPr>
        <w:t>.</w:t>
      </w:r>
    </w:p>
    <w:p w:rsidR="005272DB" w:rsidRPr="007C5754" w:rsidRDefault="005272DB" w:rsidP="005272DB">
      <w:pPr>
        <w:spacing w:after="0" w:line="360" w:lineRule="auto"/>
        <w:jc w:val="both"/>
        <w:rPr>
          <w:rFonts w:ascii="Verdana" w:eastAsia="Times New Roman" w:hAnsi="Verdana" w:cs="Tahoma"/>
          <w:sz w:val="20"/>
          <w:szCs w:val="20"/>
          <w:lang w:eastAsia="pl-PL"/>
        </w:rPr>
      </w:pPr>
    </w:p>
    <w:p w:rsidR="005272DB" w:rsidRDefault="005272DB" w:rsidP="005272DB">
      <w:pPr>
        <w:spacing w:after="0" w:line="360" w:lineRule="auto"/>
        <w:jc w:val="both"/>
        <w:rPr>
          <w:rFonts w:ascii="Verdana" w:eastAsia="Times New Roman" w:hAnsi="Verdana" w:cs="Tahoma"/>
          <w:sz w:val="20"/>
          <w:szCs w:val="20"/>
          <w:lang w:eastAsia="pl-PL"/>
        </w:rPr>
      </w:pPr>
      <w:r w:rsidRPr="00427855">
        <w:rPr>
          <w:rFonts w:ascii="Verdana" w:eastAsia="Times New Roman" w:hAnsi="Verdana" w:cs="Tahoma"/>
          <w:sz w:val="20"/>
          <w:szCs w:val="20"/>
          <w:lang w:eastAsia="pl-PL"/>
        </w:rPr>
        <w:t>Jednocześnie informujemy, że dla serii kontr</w:t>
      </w:r>
      <w:r w:rsidR="00347B2C">
        <w:rPr>
          <w:rFonts w:ascii="Verdana" w:eastAsia="Times New Roman" w:hAnsi="Verdana" w:cs="Tahoma"/>
          <w:sz w:val="20"/>
          <w:szCs w:val="20"/>
          <w:lang w:eastAsia="pl-PL"/>
        </w:rPr>
        <w:t>aktów terminowych na akcje LIVECHAT</w:t>
      </w:r>
      <w:r w:rsidRPr="00427855">
        <w:rPr>
          <w:rFonts w:ascii="Verdana" w:eastAsia="Times New Roman" w:hAnsi="Verdana" w:cs="Tahoma"/>
          <w:sz w:val="20"/>
          <w:szCs w:val="20"/>
          <w:lang w:eastAsia="pl-PL"/>
        </w:rPr>
        <w:t xml:space="preserve"> S.A., które będą wprowa</w:t>
      </w:r>
      <w:r w:rsidR="00347B2C">
        <w:rPr>
          <w:rFonts w:ascii="Verdana" w:eastAsia="Times New Roman" w:hAnsi="Verdana" w:cs="Tahoma"/>
          <w:sz w:val="20"/>
          <w:szCs w:val="20"/>
          <w:lang w:eastAsia="pl-PL"/>
        </w:rPr>
        <w:t xml:space="preserve">dzane do obrotu począwszy </w:t>
      </w:r>
      <w:r w:rsidR="00347B2C">
        <w:rPr>
          <w:rFonts w:ascii="Verdana" w:eastAsia="Times New Roman" w:hAnsi="Verdana" w:cs="Tahoma"/>
          <w:sz w:val="20"/>
          <w:szCs w:val="20"/>
          <w:lang w:eastAsia="pl-PL"/>
        </w:rPr>
        <w:br/>
        <w:t>od 18 marca 2019 r. (seria FLVCZ</w:t>
      </w:r>
      <w:r w:rsidRPr="00427855">
        <w:rPr>
          <w:rFonts w:ascii="Verdana" w:eastAsia="Times New Roman" w:hAnsi="Verdana" w:cs="Tahoma"/>
          <w:sz w:val="20"/>
          <w:szCs w:val="20"/>
          <w:lang w:eastAsia="pl-PL"/>
        </w:rPr>
        <w:t>19 i następne), liczba akcji przypadająca na jeden ko</w:t>
      </w:r>
      <w:r w:rsidR="00347B2C">
        <w:rPr>
          <w:rFonts w:ascii="Verdana" w:eastAsia="Times New Roman" w:hAnsi="Verdana" w:cs="Tahoma"/>
          <w:sz w:val="20"/>
          <w:szCs w:val="20"/>
          <w:lang w:eastAsia="pl-PL"/>
        </w:rPr>
        <w:t>ntrakt wynosić będzie 100</w:t>
      </w:r>
      <w:r w:rsidRPr="00427855">
        <w:rPr>
          <w:rFonts w:ascii="Verdana" w:eastAsia="Times New Roman" w:hAnsi="Verdana" w:cs="Tahoma"/>
          <w:sz w:val="20"/>
          <w:szCs w:val="20"/>
          <w:lang w:eastAsia="pl-PL"/>
        </w:rPr>
        <w:t>. Oznacza to, że do</w:t>
      </w:r>
      <w:r w:rsidR="00347B2C">
        <w:rPr>
          <w:rFonts w:ascii="Verdana" w:eastAsia="Times New Roman" w:hAnsi="Verdana" w:cs="Tahoma"/>
          <w:sz w:val="20"/>
          <w:szCs w:val="20"/>
          <w:lang w:eastAsia="pl-PL"/>
        </w:rPr>
        <w:t xml:space="preserve"> czasu wygaśnięcia serii FLVCH19</w:t>
      </w:r>
      <w:r w:rsidRPr="00427855">
        <w:rPr>
          <w:rFonts w:ascii="Verdana" w:eastAsia="Times New Roman" w:hAnsi="Verdana" w:cs="Tahoma"/>
          <w:sz w:val="20"/>
          <w:szCs w:val="20"/>
          <w:lang w:eastAsia="pl-PL"/>
        </w:rPr>
        <w:t xml:space="preserve"> w obrocie </w:t>
      </w:r>
      <w:r w:rsidRPr="005B5A0D">
        <w:rPr>
          <w:rFonts w:ascii="Verdana" w:eastAsia="Times New Roman" w:hAnsi="Verdana" w:cs="Tahoma"/>
          <w:sz w:val="20"/>
          <w:szCs w:val="20"/>
          <w:lang w:eastAsia="pl-PL"/>
        </w:rPr>
        <w:t>giełdowym znajdować się będą serie kontr</w:t>
      </w:r>
      <w:r w:rsidR="00347B2C">
        <w:rPr>
          <w:rFonts w:ascii="Verdana" w:eastAsia="Times New Roman" w:hAnsi="Verdana" w:cs="Tahoma"/>
          <w:sz w:val="20"/>
          <w:szCs w:val="20"/>
          <w:lang w:eastAsia="pl-PL"/>
        </w:rPr>
        <w:t>aktów terminowych na akcje LIVECHAT</w:t>
      </w:r>
      <w:r w:rsidRPr="005B5A0D">
        <w:rPr>
          <w:rFonts w:ascii="Verdana" w:eastAsia="Times New Roman" w:hAnsi="Verdana" w:cs="Tahoma"/>
          <w:sz w:val="20"/>
          <w:szCs w:val="20"/>
          <w:lang w:eastAsia="pl-PL"/>
        </w:rPr>
        <w:t xml:space="preserve"> </w:t>
      </w:r>
      <w:r w:rsidRPr="007C5754">
        <w:rPr>
          <w:rFonts w:ascii="Verdana" w:eastAsia="Times New Roman" w:hAnsi="Verdana" w:cs="Tahoma"/>
          <w:sz w:val="20"/>
          <w:szCs w:val="20"/>
          <w:lang w:eastAsia="pl-PL"/>
        </w:rPr>
        <w:t>S.A. o różnej liczbie akcji przypadającej na jeden kontrakt.</w:t>
      </w:r>
    </w:p>
    <w:p w:rsidR="004A5845" w:rsidRDefault="004A5845" w:rsidP="005272DB">
      <w:pPr>
        <w:spacing w:after="0" w:line="360" w:lineRule="auto"/>
        <w:jc w:val="both"/>
        <w:rPr>
          <w:rFonts w:ascii="Verdana" w:eastAsia="Times New Roman" w:hAnsi="Verdana" w:cs="Tahoma"/>
          <w:sz w:val="20"/>
          <w:szCs w:val="20"/>
          <w:lang w:eastAsia="pl-PL"/>
        </w:rPr>
      </w:pPr>
    </w:p>
    <w:p w:rsidR="004A5845" w:rsidRDefault="004A5845" w:rsidP="005272DB">
      <w:pPr>
        <w:spacing w:after="0" w:line="360" w:lineRule="auto"/>
        <w:jc w:val="both"/>
        <w:rPr>
          <w:rFonts w:ascii="Verdana" w:eastAsia="Times New Roman" w:hAnsi="Verdana" w:cs="Tahoma"/>
          <w:sz w:val="20"/>
          <w:szCs w:val="20"/>
          <w:lang w:eastAsia="pl-PL"/>
        </w:rPr>
      </w:pPr>
    </w:p>
    <w:p w:rsidR="004A5845" w:rsidRPr="009B48E7" w:rsidRDefault="004A5845" w:rsidP="004A5845">
      <w:p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Wiced</w:t>
      </w:r>
      <w:r w:rsidRPr="009B48E7">
        <w:rPr>
          <w:rFonts w:ascii="Verdana" w:hAnsi="Verdana"/>
          <w:sz w:val="18"/>
          <w:szCs w:val="18"/>
        </w:rPr>
        <w:t>yrektor Działu Notowań</w:t>
      </w:r>
    </w:p>
    <w:p w:rsidR="004A5845" w:rsidRPr="005272DB" w:rsidRDefault="004A5845" w:rsidP="004A5845">
      <w:pPr>
        <w:spacing w:after="0" w:line="360" w:lineRule="auto"/>
        <w:jc w:val="both"/>
        <w:rPr>
          <w:rFonts w:ascii="Verdana" w:eastAsia="Times New Roman" w:hAnsi="Verdana" w:cs="Tahoma"/>
          <w:sz w:val="20"/>
          <w:szCs w:val="20"/>
          <w:lang w:eastAsia="pl-PL"/>
        </w:rPr>
      </w:pPr>
      <w:r>
        <w:rPr>
          <w:rFonts w:ascii="Verdana" w:hAnsi="Verdana"/>
          <w:sz w:val="18"/>
          <w:szCs w:val="18"/>
        </w:rPr>
        <w:t>Arkadiusz Detyniecki</w:t>
      </w:r>
    </w:p>
    <w:sectPr w:rsidR="004A5845" w:rsidRPr="005272DB" w:rsidSect="00427855">
      <w:footerReference w:type="default" r:id="rId7"/>
      <w:headerReference w:type="first" r:id="rId8"/>
      <w:footerReference w:type="first" r:id="rId9"/>
      <w:type w:val="continuous"/>
      <w:pgSz w:w="11906" w:h="16838" w:code="9"/>
      <w:pgMar w:top="2836" w:right="1841" w:bottom="1985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3D2" w:rsidRDefault="00F943D2" w:rsidP="0086331F">
      <w:pPr>
        <w:spacing w:after="0" w:line="240" w:lineRule="auto"/>
      </w:pPr>
      <w:r>
        <w:separator/>
      </w:r>
    </w:p>
  </w:endnote>
  <w:endnote w:type="continuationSeparator" w:id="0">
    <w:p w:rsidR="00F943D2" w:rsidRDefault="00F943D2" w:rsidP="00863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330" w:rsidRDefault="0035399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-1372235</wp:posOffset>
          </wp:positionH>
          <wp:positionV relativeFrom="paragraph">
            <wp:posOffset>-465455</wp:posOffset>
          </wp:positionV>
          <wp:extent cx="7564755" cy="1068705"/>
          <wp:effectExtent l="0" t="0" r="0" b="0"/>
          <wp:wrapNone/>
          <wp:docPr id="22" name="Obraz 22" descr="papier firmowy nowe logo ogolny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papier firmowy nowe logo ogolny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755" cy="1068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330" w:rsidRDefault="00353997" w:rsidP="00360C09">
    <w:pPr>
      <w:pStyle w:val="Stopka"/>
      <w:tabs>
        <w:tab w:val="clear" w:pos="4536"/>
        <w:tab w:val="clear" w:pos="9072"/>
        <w:tab w:val="left" w:pos="4120"/>
      </w:tabs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-1430738</wp:posOffset>
          </wp:positionH>
          <wp:positionV relativeFrom="paragraph">
            <wp:posOffset>-459740</wp:posOffset>
          </wp:positionV>
          <wp:extent cx="7564755" cy="1068705"/>
          <wp:effectExtent l="0" t="0" r="0" b="0"/>
          <wp:wrapNone/>
          <wp:docPr id="24" name="Obraz 24" descr="papier firmowy nowe logo ogolny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papier firmowy nowe logo ogolny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755" cy="1068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0C09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3D2" w:rsidRDefault="00F943D2" w:rsidP="0086331F">
      <w:pPr>
        <w:spacing w:after="0" w:line="240" w:lineRule="auto"/>
      </w:pPr>
      <w:r>
        <w:separator/>
      </w:r>
    </w:p>
  </w:footnote>
  <w:footnote w:type="continuationSeparator" w:id="0">
    <w:p w:rsidR="00F943D2" w:rsidRDefault="00F943D2" w:rsidP="00863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330" w:rsidRPr="00D070CB" w:rsidRDefault="0035399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-1430738</wp:posOffset>
          </wp:positionH>
          <wp:positionV relativeFrom="paragraph">
            <wp:posOffset>-447040</wp:posOffset>
          </wp:positionV>
          <wp:extent cx="7564755" cy="1068705"/>
          <wp:effectExtent l="0" t="0" r="0" b="0"/>
          <wp:wrapNone/>
          <wp:docPr id="23" name="Obraz 23" descr="papier firmowy nowe logo ogolny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papier firmowy nowe logo ogolny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755" cy="1068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4621F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48D3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F6E7D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8EC86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C1498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03E64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1CE8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FF2FC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A4F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6FCDA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7E17B2"/>
    <w:multiLevelType w:val="hybridMultilevel"/>
    <w:tmpl w:val="9AE4A1E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D61CD6"/>
    <w:multiLevelType w:val="hybridMultilevel"/>
    <w:tmpl w:val="0076262C"/>
    <w:lvl w:ilvl="0" w:tplc="51B87F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237077"/>
    <w:multiLevelType w:val="hybridMultilevel"/>
    <w:tmpl w:val="B008D0C2"/>
    <w:lvl w:ilvl="0" w:tplc="51B87F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111B1D"/>
    <w:multiLevelType w:val="hybridMultilevel"/>
    <w:tmpl w:val="B2A60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3D2"/>
    <w:rsid w:val="00016F74"/>
    <w:rsid w:val="000321F5"/>
    <w:rsid w:val="00042968"/>
    <w:rsid w:val="00053CD6"/>
    <w:rsid w:val="00056858"/>
    <w:rsid w:val="00085AE6"/>
    <w:rsid w:val="000D1033"/>
    <w:rsid w:val="000E6EDA"/>
    <w:rsid w:val="00120EA3"/>
    <w:rsid w:val="001326A9"/>
    <w:rsid w:val="00147200"/>
    <w:rsid w:val="00163893"/>
    <w:rsid w:val="001B08C7"/>
    <w:rsid w:val="001C6A53"/>
    <w:rsid w:val="001D47CF"/>
    <w:rsid w:val="001D6962"/>
    <w:rsid w:val="00205E34"/>
    <w:rsid w:val="00215474"/>
    <w:rsid w:val="00240CEA"/>
    <w:rsid w:val="002547DE"/>
    <w:rsid w:val="00267453"/>
    <w:rsid w:val="00270D84"/>
    <w:rsid w:val="00297051"/>
    <w:rsid w:val="002E4242"/>
    <w:rsid w:val="002F20C8"/>
    <w:rsid w:val="003014D9"/>
    <w:rsid w:val="003052E0"/>
    <w:rsid w:val="003430BE"/>
    <w:rsid w:val="00347B2C"/>
    <w:rsid w:val="00353997"/>
    <w:rsid w:val="00360C09"/>
    <w:rsid w:val="00377A1F"/>
    <w:rsid w:val="003C10BA"/>
    <w:rsid w:val="003C7D30"/>
    <w:rsid w:val="003E5D6D"/>
    <w:rsid w:val="00427855"/>
    <w:rsid w:val="00436B8E"/>
    <w:rsid w:val="004506C8"/>
    <w:rsid w:val="004944AF"/>
    <w:rsid w:val="004A5845"/>
    <w:rsid w:val="004D053E"/>
    <w:rsid w:val="005272DB"/>
    <w:rsid w:val="005578BF"/>
    <w:rsid w:val="00613243"/>
    <w:rsid w:val="00625FB7"/>
    <w:rsid w:val="0062633D"/>
    <w:rsid w:val="00630206"/>
    <w:rsid w:val="00634EB0"/>
    <w:rsid w:val="006701E1"/>
    <w:rsid w:val="00672DD0"/>
    <w:rsid w:val="00682ACC"/>
    <w:rsid w:val="00697CBA"/>
    <w:rsid w:val="006C545A"/>
    <w:rsid w:val="00726330"/>
    <w:rsid w:val="00747ED2"/>
    <w:rsid w:val="007852F4"/>
    <w:rsid w:val="007A609C"/>
    <w:rsid w:val="007A7072"/>
    <w:rsid w:val="007C4D3F"/>
    <w:rsid w:val="007E7961"/>
    <w:rsid w:val="007F1930"/>
    <w:rsid w:val="0080731C"/>
    <w:rsid w:val="0081548E"/>
    <w:rsid w:val="008220C3"/>
    <w:rsid w:val="00856201"/>
    <w:rsid w:val="0086331F"/>
    <w:rsid w:val="008974A6"/>
    <w:rsid w:val="008D4EC5"/>
    <w:rsid w:val="008D58F4"/>
    <w:rsid w:val="009249AA"/>
    <w:rsid w:val="009343C4"/>
    <w:rsid w:val="00940CD2"/>
    <w:rsid w:val="00967834"/>
    <w:rsid w:val="009956A2"/>
    <w:rsid w:val="009C2B5C"/>
    <w:rsid w:val="009D70BF"/>
    <w:rsid w:val="009F4CB6"/>
    <w:rsid w:val="00A04CFC"/>
    <w:rsid w:val="00A36CD1"/>
    <w:rsid w:val="00A4180F"/>
    <w:rsid w:val="00A608EA"/>
    <w:rsid w:val="00A85B76"/>
    <w:rsid w:val="00B21B52"/>
    <w:rsid w:val="00B424CB"/>
    <w:rsid w:val="00B43ABC"/>
    <w:rsid w:val="00B72AB8"/>
    <w:rsid w:val="00B80E79"/>
    <w:rsid w:val="00B90EC4"/>
    <w:rsid w:val="00BD0E82"/>
    <w:rsid w:val="00C31C0C"/>
    <w:rsid w:val="00C50DC1"/>
    <w:rsid w:val="00C60D5B"/>
    <w:rsid w:val="00CA5DF2"/>
    <w:rsid w:val="00CC54CE"/>
    <w:rsid w:val="00CF75FF"/>
    <w:rsid w:val="00D070CB"/>
    <w:rsid w:val="00D27031"/>
    <w:rsid w:val="00D60338"/>
    <w:rsid w:val="00D82025"/>
    <w:rsid w:val="00DB70B1"/>
    <w:rsid w:val="00DD6E0A"/>
    <w:rsid w:val="00DF142E"/>
    <w:rsid w:val="00E16F21"/>
    <w:rsid w:val="00E71FAE"/>
    <w:rsid w:val="00E81440"/>
    <w:rsid w:val="00E96812"/>
    <w:rsid w:val="00EF4E65"/>
    <w:rsid w:val="00EF64FE"/>
    <w:rsid w:val="00F12B86"/>
    <w:rsid w:val="00F14C4C"/>
    <w:rsid w:val="00F2301B"/>
    <w:rsid w:val="00F4690E"/>
    <w:rsid w:val="00F943D2"/>
    <w:rsid w:val="00FB4C88"/>
    <w:rsid w:val="00FD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5:chartTrackingRefBased/>
  <w15:docId w15:val="{B0F0C8CA-9F87-470E-AE0D-C61B67861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43D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05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5E3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63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331F"/>
  </w:style>
  <w:style w:type="paragraph" w:styleId="Stopka">
    <w:name w:val="footer"/>
    <w:basedOn w:val="Normalny"/>
    <w:link w:val="StopkaZnak"/>
    <w:uiPriority w:val="99"/>
    <w:unhideWhenUsed/>
    <w:rsid w:val="00863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331F"/>
  </w:style>
  <w:style w:type="paragraph" w:styleId="Bezodstpw">
    <w:name w:val="No Spacing"/>
    <w:link w:val="BezodstpwZnak"/>
    <w:uiPriority w:val="1"/>
    <w:qFormat/>
    <w:rsid w:val="00C60D5B"/>
    <w:rPr>
      <w:rFonts w:eastAsia="Times New Roman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C60D5B"/>
    <w:rPr>
      <w:rFonts w:eastAsia="Times New Roman"/>
      <w:sz w:val="22"/>
      <w:szCs w:val="22"/>
      <w:lang w:val="pl-PL" w:eastAsia="en-US" w:bidi="ar-SA"/>
    </w:rPr>
  </w:style>
  <w:style w:type="paragraph" w:styleId="Tytu">
    <w:name w:val="Title"/>
    <w:basedOn w:val="Normalny"/>
    <w:link w:val="TytuZnak"/>
    <w:qFormat/>
    <w:rsid w:val="00F943D2"/>
    <w:pPr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F943D2"/>
    <w:rPr>
      <w:rFonts w:ascii="Arial" w:eastAsia="Times New Roman" w:hAnsi="Arial"/>
      <w:b/>
      <w:sz w:val="24"/>
    </w:rPr>
  </w:style>
  <w:style w:type="paragraph" w:styleId="Akapitzlist">
    <w:name w:val="List Paragraph"/>
    <w:basedOn w:val="Normalny"/>
    <w:uiPriority w:val="34"/>
    <w:qFormat/>
    <w:rsid w:val="003E5D6D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672DD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7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gdalena.Goluch\Documents\Niestandardowe%20szablony%20pakietu%20Office\Papier%20firmowy%20PL%20czyst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PL czysty</Template>
  <TotalTime>92</TotalTime>
  <Pages>1</Pages>
  <Words>347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Racibórz, dn</vt:lpstr>
    </vt:vector>
  </TitlesOfParts>
  <Company>TOSHIBA</Company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Racibórz, dn</dc:title>
  <dc:subject/>
  <dc:creator>Magdalena.Goluch</dc:creator>
  <cp:keywords/>
  <cp:lastModifiedBy>Rostek Bartłomiej</cp:lastModifiedBy>
  <cp:revision>7</cp:revision>
  <cp:lastPrinted>2018-01-02T13:57:00Z</cp:lastPrinted>
  <dcterms:created xsi:type="dcterms:W3CDTF">2018-12-27T10:48:00Z</dcterms:created>
  <dcterms:modified xsi:type="dcterms:W3CDTF">2018-12-27T16:17:00Z</dcterms:modified>
</cp:coreProperties>
</file>